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D49185">
      <w:pPr>
        <w:rPr>
          <w:rFonts w:hint="default" w:ascii="Times New Roman" w:hAnsi="Times New Roman" w:cs="Times New Roman" w:eastAsiaTheme="minorEastAsia"/>
          <w:b/>
          <w:bCs/>
          <w:color w:val="C0000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C00000"/>
          <w:lang w:val="en-US" w:eastAsia="zh-CN"/>
        </w:rPr>
        <w:t>Table S1. Distribution of TLS location and maturity.</w:t>
      </w:r>
    </w:p>
    <w:tbl>
      <w:tblPr>
        <w:tblW w:w="8396" w:type="dxa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77"/>
        <w:gridCol w:w="1162"/>
        <w:gridCol w:w="1769"/>
        <w:gridCol w:w="1646"/>
        <w:gridCol w:w="1042"/>
      </w:tblGrid>
      <w:tr w14:paraId="5FD97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2732" w:type="dxa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vAlign w:val="center"/>
          </w:tcPr>
          <w:p w14:paraId="2875A2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C00000"/>
                <w:kern w:val="0"/>
                <w:sz w:val="22"/>
                <w:szCs w:val="22"/>
                <w:lang w:val="en-US" w:eastAsia="zh-CN" w:bidi="ar"/>
              </w:rPr>
              <w:t>Variable</w:t>
            </w:r>
          </w:p>
        </w:tc>
        <w:tc>
          <w:tcPr>
            <w:tcW w:w="1132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2E2F45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C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C00000"/>
                <w:kern w:val="0"/>
                <w:sz w:val="22"/>
                <w:szCs w:val="22"/>
                <w:lang w:val="en-US" w:eastAsia="zh-CN" w:bidi="ar"/>
              </w:rPr>
              <w:t xml:space="preserve">Overall </w:t>
            </w:r>
          </w:p>
          <w:p w14:paraId="2114F7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C00000"/>
                <w:kern w:val="0"/>
                <w:sz w:val="22"/>
                <w:szCs w:val="22"/>
                <w:lang w:val="en-US" w:eastAsia="zh-CN" w:bidi="ar"/>
              </w:rPr>
              <w:t>(n=83)</w:t>
            </w:r>
          </w:p>
        </w:tc>
        <w:tc>
          <w:tcPr>
            <w:tcW w:w="1739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46AFDB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C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C00000"/>
                <w:kern w:val="0"/>
                <w:sz w:val="22"/>
                <w:szCs w:val="22"/>
                <w:lang w:val="en-US" w:eastAsia="zh-CN" w:bidi="ar"/>
              </w:rPr>
              <w:t xml:space="preserve">Intratumoral </w:t>
            </w:r>
          </w:p>
          <w:p w14:paraId="4A0F5A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C00000"/>
                <w:kern w:val="0"/>
                <w:sz w:val="22"/>
                <w:szCs w:val="22"/>
                <w:lang w:val="en-US" w:eastAsia="zh-CN" w:bidi="ar"/>
              </w:rPr>
              <w:t>(n=49)</w:t>
            </w:r>
          </w:p>
        </w:tc>
        <w:tc>
          <w:tcPr>
            <w:tcW w:w="1616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1EE1F9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C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C00000"/>
                <w:kern w:val="0"/>
                <w:sz w:val="22"/>
                <w:szCs w:val="22"/>
                <w:lang w:val="en-US" w:eastAsia="zh-CN" w:bidi="ar"/>
              </w:rPr>
              <w:t xml:space="preserve">Peritumoral </w:t>
            </w:r>
          </w:p>
          <w:p w14:paraId="020D73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C00000"/>
                <w:kern w:val="0"/>
                <w:sz w:val="22"/>
                <w:szCs w:val="22"/>
                <w:lang w:val="en-US" w:eastAsia="zh-CN" w:bidi="ar"/>
              </w:rPr>
              <w:t>(n=34)</w:t>
            </w:r>
          </w:p>
        </w:tc>
        <w:tc>
          <w:tcPr>
            <w:tcW w:w="997" w:type="dxa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6DC3C5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C00000"/>
                <w:kern w:val="0"/>
                <w:sz w:val="22"/>
                <w:szCs w:val="22"/>
                <w:lang w:val="en-US" w:eastAsia="zh-CN" w:bidi="ar"/>
              </w:rPr>
              <w:t>P value</w:t>
            </w:r>
          </w:p>
        </w:tc>
      </w:tr>
      <w:tr w14:paraId="21F84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732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72DE9B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TLS location</w:t>
            </w:r>
          </w:p>
        </w:tc>
        <w:tc>
          <w:tcPr>
            <w:tcW w:w="1132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40214B1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3EE0F7B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0C7B1D7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5D13C6E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</w:p>
        </w:tc>
      </w:tr>
      <w:tr w14:paraId="05506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732" w:type="dxa"/>
            <w:shd w:val="clear" w:color="auto" w:fill="FFFFFF"/>
            <w:vAlign w:val="center"/>
          </w:tcPr>
          <w:p w14:paraId="23EE93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220" w:firstLineChars="100"/>
              <w:jc w:val="left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 xml:space="preserve">- </w:t>
            </w: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Intratumoral</w:t>
            </w:r>
          </w:p>
        </w:tc>
        <w:tc>
          <w:tcPr>
            <w:tcW w:w="1132" w:type="dxa"/>
            <w:shd w:val="clear" w:color="auto" w:fill="FFFFFF"/>
            <w:vAlign w:val="center"/>
          </w:tcPr>
          <w:p w14:paraId="0158B8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49 (59.0%)</w:t>
            </w:r>
          </w:p>
        </w:tc>
        <w:tc>
          <w:tcPr>
            <w:tcW w:w="1739" w:type="dxa"/>
            <w:shd w:val="clear" w:color="auto" w:fill="FFFFFF"/>
            <w:vAlign w:val="center"/>
          </w:tcPr>
          <w:p w14:paraId="44ED15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49 (100%)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390C50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0 (0%)</w:t>
            </w:r>
          </w:p>
        </w:tc>
        <w:tc>
          <w:tcPr>
            <w:tcW w:w="997" w:type="dxa"/>
            <w:shd w:val="clear" w:color="auto" w:fill="FFFFFF"/>
            <w:vAlign w:val="center"/>
          </w:tcPr>
          <w:p w14:paraId="4430A1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—</w:t>
            </w:r>
          </w:p>
        </w:tc>
      </w:tr>
      <w:tr w14:paraId="6814B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732" w:type="dxa"/>
            <w:shd w:val="clear" w:color="auto" w:fill="FFFFFF"/>
            <w:vAlign w:val="center"/>
          </w:tcPr>
          <w:p w14:paraId="1E980F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220" w:firstLineChars="100"/>
              <w:jc w:val="left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 xml:space="preserve">- </w:t>
            </w: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Peritumoral</w:t>
            </w:r>
          </w:p>
        </w:tc>
        <w:tc>
          <w:tcPr>
            <w:tcW w:w="1132" w:type="dxa"/>
            <w:shd w:val="clear" w:color="auto" w:fill="FFFFFF"/>
            <w:vAlign w:val="center"/>
          </w:tcPr>
          <w:p w14:paraId="6E6246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34 (41.0%)</w:t>
            </w:r>
          </w:p>
        </w:tc>
        <w:tc>
          <w:tcPr>
            <w:tcW w:w="1739" w:type="dxa"/>
            <w:shd w:val="clear" w:color="auto" w:fill="FFFFFF"/>
            <w:vAlign w:val="center"/>
          </w:tcPr>
          <w:p w14:paraId="1E6FCF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0 (0%)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12F92E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34 (100%)</w:t>
            </w:r>
          </w:p>
        </w:tc>
        <w:tc>
          <w:tcPr>
            <w:tcW w:w="997" w:type="dxa"/>
            <w:shd w:val="clear" w:color="auto" w:fill="FFFFFF"/>
            <w:vAlign w:val="center"/>
          </w:tcPr>
          <w:p w14:paraId="17029F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—</w:t>
            </w:r>
          </w:p>
        </w:tc>
      </w:tr>
      <w:tr w14:paraId="5F822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732" w:type="dxa"/>
            <w:shd w:val="clear" w:color="auto" w:fill="FFFFFF"/>
            <w:vAlign w:val="center"/>
          </w:tcPr>
          <w:p w14:paraId="38D3DA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TLS maturity (TLS_Status)</w:t>
            </w:r>
          </w:p>
        </w:tc>
        <w:tc>
          <w:tcPr>
            <w:tcW w:w="1132" w:type="dxa"/>
            <w:shd w:val="clear" w:color="auto" w:fill="FFFFFF"/>
            <w:vAlign w:val="center"/>
          </w:tcPr>
          <w:p w14:paraId="6D5EA67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</w:p>
        </w:tc>
        <w:tc>
          <w:tcPr>
            <w:tcW w:w="1739" w:type="dxa"/>
            <w:shd w:val="clear" w:color="auto" w:fill="FFFFFF"/>
            <w:vAlign w:val="center"/>
          </w:tcPr>
          <w:p w14:paraId="77EF09F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</w:p>
        </w:tc>
        <w:tc>
          <w:tcPr>
            <w:tcW w:w="1616" w:type="dxa"/>
            <w:shd w:val="clear" w:color="auto" w:fill="FFFFFF"/>
            <w:vAlign w:val="center"/>
          </w:tcPr>
          <w:p w14:paraId="46C6DB8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</w:p>
        </w:tc>
        <w:tc>
          <w:tcPr>
            <w:tcW w:w="997" w:type="dxa"/>
            <w:shd w:val="clear" w:color="auto" w:fill="FFFFFF"/>
            <w:vAlign w:val="center"/>
          </w:tcPr>
          <w:p w14:paraId="78C999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0.00043</w:t>
            </w: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*</w:t>
            </w:r>
          </w:p>
        </w:tc>
      </w:tr>
      <w:tr w14:paraId="7D221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732" w:type="dxa"/>
            <w:shd w:val="clear" w:color="auto" w:fill="FFFFFF"/>
            <w:vAlign w:val="center"/>
          </w:tcPr>
          <w:p w14:paraId="6DF15B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220" w:firstLineChars="100"/>
              <w:jc w:val="left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 xml:space="preserve">- </w:t>
            </w: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Immature TLS</w:t>
            </w:r>
          </w:p>
        </w:tc>
        <w:tc>
          <w:tcPr>
            <w:tcW w:w="1132" w:type="dxa"/>
            <w:shd w:val="clear" w:color="auto" w:fill="FFFFFF"/>
            <w:vAlign w:val="center"/>
          </w:tcPr>
          <w:p w14:paraId="114E3B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43 (51.8%)</w:t>
            </w:r>
          </w:p>
        </w:tc>
        <w:tc>
          <w:tcPr>
            <w:tcW w:w="1739" w:type="dxa"/>
            <w:shd w:val="clear" w:color="auto" w:fill="FFFFFF"/>
            <w:vAlign w:val="center"/>
          </w:tcPr>
          <w:p w14:paraId="3EFEBD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17 (34.7%)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771D8D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26 (76.5%)</w:t>
            </w:r>
          </w:p>
        </w:tc>
        <w:tc>
          <w:tcPr>
            <w:tcW w:w="997" w:type="dxa"/>
            <w:shd w:val="clear" w:color="auto" w:fill="FFFFFF"/>
            <w:vAlign w:val="center"/>
          </w:tcPr>
          <w:p w14:paraId="582DEE6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</w:p>
        </w:tc>
      </w:tr>
      <w:tr w14:paraId="7B1C1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732" w:type="dxa"/>
            <w:shd w:val="clear" w:color="auto" w:fill="FFFFFF"/>
            <w:vAlign w:val="center"/>
          </w:tcPr>
          <w:p w14:paraId="6D3DEE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220" w:firstLineChars="100"/>
              <w:jc w:val="left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 xml:space="preserve">- </w:t>
            </w: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Mature TLS</w:t>
            </w:r>
          </w:p>
        </w:tc>
        <w:tc>
          <w:tcPr>
            <w:tcW w:w="1132" w:type="dxa"/>
            <w:shd w:val="clear" w:color="auto" w:fill="FFFFFF"/>
            <w:vAlign w:val="center"/>
          </w:tcPr>
          <w:p w14:paraId="78515C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40 (48.2%)</w:t>
            </w:r>
          </w:p>
        </w:tc>
        <w:tc>
          <w:tcPr>
            <w:tcW w:w="1739" w:type="dxa"/>
            <w:shd w:val="clear" w:color="auto" w:fill="FFFFFF"/>
            <w:vAlign w:val="center"/>
          </w:tcPr>
          <w:p w14:paraId="74C5FE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32 (65.3%)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6AA32C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8 (23.5%)</w:t>
            </w:r>
          </w:p>
        </w:tc>
        <w:tc>
          <w:tcPr>
            <w:tcW w:w="997" w:type="dxa"/>
            <w:shd w:val="clear" w:color="auto" w:fill="FFFFFF"/>
            <w:vAlign w:val="center"/>
          </w:tcPr>
          <w:p w14:paraId="6928F93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</w:p>
        </w:tc>
      </w:tr>
      <w:tr w14:paraId="53236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732" w:type="dxa"/>
            <w:shd w:val="clear" w:color="auto" w:fill="FFFFFF"/>
            <w:vAlign w:val="center"/>
          </w:tcPr>
          <w:p w14:paraId="48A894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TLS maturation stage</w:t>
            </w:r>
          </w:p>
        </w:tc>
        <w:tc>
          <w:tcPr>
            <w:tcW w:w="1132" w:type="dxa"/>
            <w:shd w:val="clear" w:color="auto" w:fill="FFFFFF"/>
            <w:vAlign w:val="center"/>
          </w:tcPr>
          <w:p w14:paraId="43D5497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</w:p>
        </w:tc>
        <w:tc>
          <w:tcPr>
            <w:tcW w:w="1739" w:type="dxa"/>
            <w:shd w:val="clear" w:color="auto" w:fill="FFFFFF"/>
            <w:vAlign w:val="center"/>
          </w:tcPr>
          <w:p w14:paraId="0BD6686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</w:p>
        </w:tc>
        <w:tc>
          <w:tcPr>
            <w:tcW w:w="1616" w:type="dxa"/>
            <w:shd w:val="clear" w:color="auto" w:fill="FFFFFF"/>
            <w:vAlign w:val="center"/>
          </w:tcPr>
          <w:p w14:paraId="18778A8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</w:p>
        </w:tc>
        <w:tc>
          <w:tcPr>
            <w:tcW w:w="997" w:type="dxa"/>
            <w:shd w:val="clear" w:color="auto" w:fill="FFFFFF"/>
            <w:vAlign w:val="center"/>
          </w:tcPr>
          <w:p w14:paraId="526545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—</w:t>
            </w:r>
          </w:p>
        </w:tc>
      </w:tr>
      <w:tr w14:paraId="78F04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732" w:type="dxa"/>
            <w:shd w:val="clear" w:color="auto" w:fill="FFFFFF"/>
            <w:vAlign w:val="center"/>
          </w:tcPr>
          <w:p w14:paraId="0F354E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220" w:firstLineChars="100"/>
              <w:jc w:val="left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 xml:space="preserve">- </w:t>
            </w: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E-TLS</w:t>
            </w:r>
          </w:p>
        </w:tc>
        <w:tc>
          <w:tcPr>
            <w:tcW w:w="1132" w:type="dxa"/>
            <w:shd w:val="clear" w:color="auto" w:fill="FFFFFF"/>
            <w:vAlign w:val="center"/>
          </w:tcPr>
          <w:p w14:paraId="230E01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43 (51.8%)</w:t>
            </w:r>
          </w:p>
        </w:tc>
        <w:tc>
          <w:tcPr>
            <w:tcW w:w="1739" w:type="dxa"/>
            <w:shd w:val="clear" w:color="auto" w:fill="FFFFFF"/>
            <w:vAlign w:val="center"/>
          </w:tcPr>
          <w:p w14:paraId="1E4785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17 (34.7%)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71D5BB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26 (76.5%)</w:t>
            </w:r>
          </w:p>
        </w:tc>
        <w:tc>
          <w:tcPr>
            <w:tcW w:w="997" w:type="dxa"/>
            <w:shd w:val="clear" w:color="auto" w:fill="FFFFFF"/>
            <w:vAlign w:val="center"/>
          </w:tcPr>
          <w:p w14:paraId="2ECF832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</w:p>
        </w:tc>
      </w:tr>
      <w:tr w14:paraId="79642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732" w:type="dxa"/>
            <w:shd w:val="clear" w:color="auto" w:fill="FFFFFF"/>
            <w:vAlign w:val="center"/>
          </w:tcPr>
          <w:p w14:paraId="25A919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220" w:firstLineChars="100"/>
              <w:jc w:val="left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 xml:space="preserve">- </w:t>
            </w: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PFL-TLS</w:t>
            </w:r>
          </w:p>
        </w:tc>
        <w:tc>
          <w:tcPr>
            <w:tcW w:w="1132" w:type="dxa"/>
            <w:shd w:val="clear" w:color="auto" w:fill="FFFFFF"/>
            <w:vAlign w:val="center"/>
          </w:tcPr>
          <w:p w14:paraId="3DD834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22 (26.5%)</w:t>
            </w:r>
          </w:p>
        </w:tc>
        <w:tc>
          <w:tcPr>
            <w:tcW w:w="1739" w:type="dxa"/>
            <w:shd w:val="clear" w:color="auto" w:fill="FFFFFF"/>
            <w:vAlign w:val="center"/>
          </w:tcPr>
          <w:p w14:paraId="798D10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17 (34.7%)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641FA9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5 (14.7%)</w:t>
            </w:r>
          </w:p>
        </w:tc>
        <w:tc>
          <w:tcPr>
            <w:tcW w:w="997" w:type="dxa"/>
            <w:shd w:val="clear" w:color="auto" w:fill="FFFFFF"/>
            <w:vAlign w:val="center"/>
          </w:tcPr>
          <w:p w14:paraId="11AB8B9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</w:p>
        </w:tc>
      </w:tr>
      <w:tr w14:paraId="126EC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732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53FDFC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220" w:firstLineChars="100"/>
              <w:jc w:val="left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 xml:space="preserve">- </w:t>
            </w: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S-TLS</w:t>
            </w:r>
          </w:p>
        </w:tc>
        <w:tc>
          <w:tcPr>
            <w:tcW w:w="1132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52EF15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18 (21.7%)</w:t>
            </w:r>
          </w:p>
        </w:tc>
        <w:tc>
          <w:tcPr>
            <w:tcW w:w="1739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5E7F36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15 (30.6%)</w:t>
            </w:r>
          </w:p>
        </w:tc>
        <w:tc>
          <w:tcPr>
            <w:tcW w:w="1616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28299B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C00000"/>
                <w:kern w:val="0"/>
                <w:sz w:val="22"/>
                <w:szCs w:val="22"/>
                <w:lang w:val="en-US" w:eastAsia="zh-CN" w:bidi="ar"/>
              </w:rPr>
              <w:t>3 (8.8%)</w:t>
            </w:r>
          </w:p>
        </w:tc>
        <w:tc>
          <w:tcPr>
            <w:tcW w:w="997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1F77C3A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color w:val="C00000"/>
                <w:sz w:val="22"/>
                <w:szCs w:val="22"/>
              </w:rPr>
            </w:pPr>
          </w:p>
        </w:tc>
      </w:tr>
    </w:tbl>
    <w:p w14:paraId="25BC66ED">
      <w:pPr>
        <w:rPr>
          <w:rFonts w:hint="default" w:ascii="Times New Roman" w:hAnsi="Times New Roman" w:cs="Times New Roman"/>
          <w:b w:val="0"/>
          <w:bCs w:val="0"/>
          <w:color w:val="C00000"/>
        </w:rPr>
      </w:pPr>
      <w:r>
        <w:rPr>
          <w:rFonts w:hint="default" w:ascii="Times New Roman" w:hAnsi="Times New Roman" w:cs="Times New Roman"/>
          <w:b w:val="0"/>
          <w:bCs w:val="0"/>
          <w:color w:val="C00000"/>
        </w:rPr>
        <w:t>*P value calculated using Chi-square test for association between TLS maturity and TLS location</w:t>
      </w:r>
      <w:r>
        <w:rPr>
          <w:rFonts w:hint="default" w:ascii="Times New Roman" w:hAnsi="Times New Roman" w:cs="Times New Roman"/>
          <w:b w:val="0"/>
          <w:bCs w:val="0"/>
          <w:color w:val="C00000"/>
        </w:rPr>
        <w:br w:type="page"/>
      </w:r>
    </w:p>
    <w:p w14:paraId="30184124">
      <w:pPr>
        <w:rPr>
          <w:rFonts w:hint="eastAsia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/>
          <w:b/>
          <w:bCs/>
        </w:rPr>
        <w:t xml:space="preserve">Table 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</w:rPr>
        <w:t>. Immune cell characteristics by TLS subtype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.</w:t>
      </w:r>
    </w:p>
    <w:tbl>
      <w:tblPr>
        <w:tblStyle w:val="2"/>
        <w:tblW w:w="8905" w:type="dxa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2937"/>
        <w:gridCol w:w="1513"/>
        <w:gridCol w:w="1758"/>
        <w:gridCol w:w="1757"/>
        <w:gridCol w:w="940"/>
      </w:tblGrid>
      <w:tr w14:paraId="70910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340" w:hRule="atLeast"/>
          <w:tblCellSpacing w:w="15" w:type="dxa"/>
          <w:jc w:val="center"/>
        </w:trPr>
        <w:tc>
          <w:tcPr>
            <w:tcW w:w="289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7D0EC4DB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Variable</w:t>
            </w:r>
          </w:p>
        </w:tc>
        <w:tc>
          <w:tcPr>
            <w:tcW w:w="148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F78430A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E-TLS(n=43)</w:t>
            </w:r>
          </w:p>
        </w:tc>
        <w:tc>
          <w:tcPr>
            <w:tcW w:w="172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40EEEFE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PFL-TLS(n=21)</w:t>
            </w:r>
          </w:p>
        </w:tc>
        <w:tc>
          <w:tcPr>
            <w:tcW w:w="172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A692BDA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SFL-TLS(n=19)</w:t>
            </w:r>
          </w:p>
        </w:tc>
        <w:tc>
          <w:tcPr>
            <w:tcW w:w="89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D6E7C7E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p-value</w:t>
            </w:r>
          </w:p>
        </w:tc>
      </w:tr>
      <w:tr w14:paraId="0A80D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340" w:hRule="atLeast"/>
          <w:tblCellSpacing w:w="15" w:type="dxa"/>
          <w:jc w:val="center"/>
        </w:trPr>
        <w:tc>
          <w:tcPr>
            <w:tcW w:w="289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357921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CD8</w:t>
            </w:r>
            <w:r>
              <w:rPr>
                <w:rStyle w:val="4"/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vertAlign w:val="superscript"/>
                <w:lang w:val="en-US" w:eastAsia="zh-CN" w:bidi="ar"/>
              </w:rPr>
              <w:t xml:space="preserve">+ </w:t>
            </w:r>
            <w:r>
              <w:rPr>
                <w:rStyle w:val="4"/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T cell density (/HPF)</w:t>
            </w:r>
          </w:p>
        </w:tc>
        <w:tc>
          <w:tcPr>
            <w:tcW w:w="148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3C8003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158.1 ± 9.5</w:t>
            </w:r>
          </w:p>
        </w:tc>
        <w:tc>
          <w:tcPr>
            <w:tcW w:w="172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1BF9D2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169.4 ± 8.7</w:t>
            </w:r>
          </w:p>
        </w:tc>
        <w:tc>
          <w:tcPr>
            <w:tcW w:w="172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633F56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177.3 ± 7.8</w:t>
            </w:r>
          </w:p>
        </w:tc>
        <w:tc>
          <w:tcPr>
            <w:tcW w:w="89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04F578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0.047</w:t>
            </w:r>
          </w:p>
        </w:tc>
      </w:tr>
      <w:tr w14:paraId="2FDE9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340" w:hRule="atLeast"/>
          <w:tblCellSpacing w:w="15" w:type="dxa"/>
          <w:jc w:val="center"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8A4E43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CD8</w:t>
            </w:r>
            <w:r>
              <w:rPr>
                <w:rStyle w:val="4"/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vertAlign w:val="superscript"/>
                <w:lang w:val="en-US" w:eastAsia="zh-CN" w:bidi="ar"/>
              </w:rPr>
              <w:t xml:space="preserve">+ </w:t>
            </w:r>
            <w:r>
              <w:rPr>
                <w:rStyle w:val="4"/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/DAPI ratio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A16A82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0.185 ± 0.012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91D38D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0.198 ± 0.013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63610B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0.209 ± 0.014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14B6C0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0.043</w:t>
            </w:r>
          </w:p>
        </w:tc>
      </w:tr>
      <w:tr w14:paraId="5D51E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340" w:hRule="atLeast"/>
          <w:tblCellSpacing w:w="15" w:type="dxa"/>
          <w:jc w:val="center"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17C66A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B cell score (0–3)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98B232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0.98 ± 0.32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C68231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2.00 ± 0.00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E0DD18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3.00 ± 0.00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111EC8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</w:tr>
      <w:tr w14:paraId="6B1C3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340" w:hRule="atLeast"/>
          <w:tblCellSpacing w:w="15" w:type="dxa"/>
          <w:jc w:val="center"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BC3553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Style w:val="4"/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Exhausted CTLs </w:t>
            </w:r>
          </w:p>
          <w:p w14:paraId="5E2158D2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(PD-1</w:t>
            </w:r>
            <w:r>
              <w:rPr>
                <w:rStyle w:val="4"/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vertAlign w:val="superscript"/>
                <w:lang w:val="en-US" w:eastAsia="zh-CN" w:bidi="ar"/>
              </w:rPr>
              <w:t xml:space="preserve">+ </w:t>
            </w:r>
            <w:r>
              <w:rPr>
                <w:rStyle w:val="4"/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CD8</w:t>
            </w:r>
            <w:r>
              <w:rPr>
                <w:rStyle w:val="4"/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vertAlign w:val="superscript"/>
                <w:lang w:val="en-US" w:eastAsia="zh-CN" w:bidi="ar"/>
              </w:rPr>
              <w:t>+</w:t>
            </w:r>
            <w:r>
              <w:rPr>
                <w:rStyle w:val="4"/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402864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30.1 ± 3.2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7A9B53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26.4 ± 2.8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C5053F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24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.3 ± 1.1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EAC118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0.0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15</w:t>
            </w:r>
          </w:p>
        </w:tc>
      </w:tr>
      <w:tr w14:paraId="01916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340" w:hRule="atLeast"/>
          <w:tblCellSpacing w:w="15" w:type="dxa"/>
          <w:jc w:val="center"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B53859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Style w:val="4"/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TAM density </w:t>
            </w:r>
          </w:p>
          <w:p w14:paraId="71EFA8B4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(CD68</w:t>
            </w:r>
            <w:r>
              <w:rPr>
                <w:rStyle w:val="4"/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vertAlign w:val="superscript"/>
                <w:lang w:val="en-US" w:eastAsia="zh-CN" w:bidi="ar"/>
              </w:rPr>
              <w:t xml:space="preserve">+ </w:t>
            </w:r>
            <w:r>
              <w:rPr>
                <w:rStyle w:val="4"/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CD163</w:t>
            </w:r>
            <w:r>
              <w:rPr>
                <w:rStyle w:val="4"/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vertAlign w:val="superscript"/>
                <w:lang w:val="en-US" w:eastAsia="zh-CN" w:bidi="ar"/>
              </w:rPr>
              <w:t xml:space="preserve">+ </w:t>
            </w:r>
            <w:r>
              <w:rPr>
                <w:rStyle w:val="4"/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PD-L1</w:t>
            </w:r>
            <w:r>
              <w:rPr>
                <w:rStyle w:val="4"/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vertAlign w:val="superscript"/>
                <w:lang w:val="en-US" w:eastAsia="zh-CN" w:bidi="ar"/>
              </w:rPr>
              <w:t xml:space="preserve">+ </w:t>
            </w:r>
            <w:r>
              <w:rPr>
                <w:rStyle w:val="4"/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4C105B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3.7 ± 3.4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BBB51F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.7 ± 2.1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F54A31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49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.4 ± 2.0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102F45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0.0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  <w:tr w14:paraId="464AD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340" w:hRule="atLeast"/>
          <w:tblCellSpacing w:w="15" w:type="dxa"/>
          <w:jc w:val="center"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3DAA75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Tumor PD-L1 (% TPS)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817C61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39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.1 ± 2.4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6734BA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34.1 ± 1.5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DDA689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.3 ± 1.2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EAB123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0.0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47</w:t>
            </w:r>
          </w:p>
        </w:tc>
      </w:tr>
      <w:tr w14:paraId="30B81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340" w:hRule="atLeast"/>
          <w:tblCellSpacing w:w="15" w:type="dxa"/>
          <w:jc w:val="center"/>
        </w:trPr>
        <w:tc>
          <w:tcPr>
            <w:tcW w:w="289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FBF3277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Immune PD-L1 (% IC)</w:t>
            </w:r>
          </w:p>
        </w:tc>
        <w:tc>
          <w:tcPr>
            <w:tcW w:w="148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6B21160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.2 ± 4.8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93642B1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44.6 ± 4.1</w:t>
            </w:r>
          </w:p>
        </w:tc>
        <w:tc>
          <w:tcPr>
            <w:tcW w:w="172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CE1F959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.1 ± 3.7</w:t>
            </w:r>
          </w:p>
        </w:tc>
        <w:tc>
          <w:tcPr>
            <w:tcW w:w="89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C0376FF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0"/>
                <w:szCs w:val="20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0.0</w:t>
            </w:r>
            <w:r>
              <w:rPr>
                <w:rStyle w:val="4"/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8</w:t>
            </w:r>
            <w:r>
              <w:rPr>
                <w:rStyle w:val="4"/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</w:tbl>
    <w:p w14:paraId="6219318C">
      <w:pPr>
        <w:rPr>
          <w:rFonts w:hint="default" w:ascii="Times New Roman" w:hAnsi="Times New Roman" w:cs="Times New Roman"/>
        </w:rPr>
      </w:pPr>
    </w:p>
    <w:p w14:paraId="39DBD04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1CBC22A9">
      <w:pPr>
        <w:rPr>
          <w:rFonts w:hint="eastAsia" w:ascii="Times New Roman" w:hAnsi="Times New Roman" w:cs="Times New Roman"/>
          <w:b/>
          <w:bCs/>
          <w:color w:val="C0000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C00000"/>
        </w:rPr>
        <w:t xml:space="preserve">Table </w:t>
      </w:r>
      <w:r>
        <w:rPr>
          <w:rFonts w:hint="default" w:ascii="Times New Roman" w:hAnsi="Times New Roman" w:cs="Times New Roman"/>
          <w:b/>
          <w:bCs/>
          <w:color w:val="C00000"/>
          <w:lang w:val="en-US" w:eastAsia="zh-CN"/>
        </w:rPr>
        <w:t>S</w:t>
      </w:r>
      <w:r>
        <w:rPr>
          <w:rFonts w:hint="eastAsia" w:ascii="Times New Roman" w:hAnsi="Times New Roman" w:cs="Times New Roman"/>
          <w:b/>
          <w:bCs/>
          <w:color w:val="C00000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color w:val="C00000"/>
        </w:rPr>
        <w:t>. Structural</w:t>
      </w:r>
      <w:r>
        <w:rPr>
          <w:rFonts w:hint="eastAsia" w:ascii="Times New Roman" w:hAnsi="Times New Roman" w:cs="Times New Roman"/>
          <w:b/>
          <w:bCs/>
          <w:color w:val="C00000"/>
          <w:lang w:val="en-US" w:eastAsia="zh-CN"/>
        </w:rPr>
        <w:t>-</w:t>
      </w:r>
      <w:r>
        <w:rPr>
          <w:rFonts w:hint="default" w:ascii="Times New Roman" w:hAnsi="Times New Roman" w:cs="Times New Roman"/>
          <w:b/>
          <w:bCs/>
          <w:color w:val="C00000"/>
        </w:rPr>
        <w:t>immune associations between TLS size and immune contexture features</w:t>
      </w:r>
      <w:r>
        <w:rPr>
          <w:rFonts w:hint="eastAsia" w:ascii="Times New Roman" w:hAnsi="Times New Roman" w:cs="Times New Roman"/>
          <w:b/>
          <w:bCs/>
          <w:color w:val="C00000"/>
          <w:lang w:val="en-US" w:eastAsia="zh-CN"/>
        </w:rPr>
        <w:t>.</w:t>
      </w:r>
    </w:p>
    <w:tbl>
      <w:tblPr>
        <w:tblW w:w="9597" w:type="dxa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90"/>
        <w:gridCol w:w="1460"/>
        <w:gridCol w:w="1575"/>
        <w:gridCol w:w="1318"/>
        <w:gridCol w:w="870"/>
        <w:gridCol w:w="802"/>
        <w:gridCol w:w="1782"/>
      </w:tblGrid>
      <w:tr w14:paraId="77D04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tblHeader/>
          <w:tblCellSpacing w:w="15" w:type="dxa"/>
          <w:jc w:val="center"/>
        </w:trPr>
        <w:tc>
          <w:tcPr>
            <w:tcW w:w="1745" w:type="dxa"/>
            <w:tcBorders>
              <w:top w:val="single" w:color="auto" w:sz="12" w:space="0"/>
              <w:bottom w:val="single" w:color="auto" w:sz="4" w:space="0"/>
            </w:tcBorders>
            <w:shd w:val="clear"/>
            <w:vAlign w:val="center"/>
          </w:tcPr>
          <w:p w14:paraId="3F9335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Immune feature</w:t>
            </w:r>
          </w:p>
        </w:tc>
        <w:tc>
          <w:tcPr>
            <w:tcW w:w="1430" w:type="dxa"/>
            <w:tcBorders>
              <w:top w:val="single" w:color="auto" w:sz="12" w:space="0"/>
              <w:bottom w:val="single" w:color="auto" w:sz="4" w:space="0"/>
            </w:tcBorders>
            <w:shd w:val="clear"/>
            <w:vAlign w:val="center"/>
          </w:tcPr>
          <w:p w14:paraId="7E2C88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Category</w:t>
            </w:r>
          </w:p>
        </w:tc>
        <w:tc>
          <w:tcPr>
            <w:tcW w:w="1545" w:type="dxa"/>
            <w:tcBorders>
              <w:top w:val="single" w:color="auto" w:sz="12" w:space="0"/>
              <w:bottom w:val="single" w:color="auto" w:sz="4" w:space="0"/>
            </w:tcBorders>
            <w:shd w:val="clear"/>
            <w:vAlign w:val="center"/>
          </w:tcPr>
          <w:p w14:paraId="2CDB87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Definition / unit</w:t>
            </w:r>
          </w:p>
        </w:tc>
        <w:tc>
          <w:tcPr>
            <w:tcW w:w="1288" w:type="dxa"/>
            <w:tcBorders>
              <w:top w:val="single" w:color="auto" w:sz="12" w:space="0"/>
              <w:bottom w:val="single" w:color="auto" w:sz="4" w:space="0"/>
            </w:tcBorders>
            <w:shd w:val="clear"/>
            <w:vAlign w:val="center"/>
          </w:tcPr>
          <w:p w14:paraId="5C473E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Spearman ρ</w:t>
            </w:r>
          </w:p>
        </w:tc>
        <w:tc>
          <w:tcPr>
            <w:tcW w:w="840" w:type="dxa"/>
            <w:tcBorders>
              <w:top w:val="single" w:color="auto" w:sz="12" w:space="0"/>
              <w:bottom w:val="single" w:color="auto" w:sz="4" w:space="0"/>
            </w:tcBorders>
            <w:shd w:val="clear"/>
            <w:vAlign w:val="center"/>
          </w:tcPr>
          <w:p w14:paraId="7AFE4A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P value</w:t>
            </w:r>
          </w:p>
        </w:tc>
        <w:tc>
          <w:tcPr>
            <w:tcW w:w="772" w:type="dxa"/>
            <w:tcBorders>
              <w:top w:val="single" w:color="auto" w:sz="12" w:space="0"/>
              <w:bottom w:val="single" w:color="auto" w:sz="4" w:space="0"/>
            </w:tcBorders>
            <w:shd w:val="clear"/>
            <w:vAlign w:val="center"/>
          </w:tcPr>
          <w:p w14:paraId="7480A2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FDR q value</w:t>
            </w:r>
          </w:p>
        </w:tc>
        <w:tc>
          <w:tcPr>
            <w:tcW w:w="1737" w:type="dxa"/>
            <w:tcBorders>
              <w:top w:val="single" w:color="auto" w:sz="12" w:space="0"/>
              <w:bottom w:val="single" w:color="auto" w:sz="4" w:space="0"/>
            </w:tcBorders>
            <w:shd w:val="clear"/>
            <w:vAlign w:val="center"/>
          </w:tcPr>
          <w:p w14:paraId="0F7549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 xml:space="preserve">Direction </w:t>
            </w:r>
          </w:p>
          <w:p w14:paraId="460A39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(larger TLS →)</w:t>
            </w:r>
          </w:p>
        </w:tc>
      </w:tr>
      <w:tr w14:paraId="4EDBB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tblCellSpacing w:w="15" w:type="dxa"/>
          <w:jc w:val="center"/>
        </w:trPr>
        <w:tc>
          <w:tcPr>
            <w:tcW w:w="1745" w:type="dxa"/>
            <w:shd w:val="clear"/>
            <w:vAlign w:val="center"/>
          </w:tcPr>
          <w:p w14:paraId="21B1C4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CD8⁺ T-cell density (peri-TLS ROI)</w:t>
            </w:r>
          </w:p>
        </w:tc>
        <w:tc>
          <w:tcPr>
            <w:tcW w:w="1430" w:type="dxa"/>
            <w:shd w:val="clear"/>
            <w:vAlign w:val="center"/>
          </w:tcPr>
          <w:p w14:paraId="637603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Effector T</w:t>
            </w:r>
          </w:p>
        </w:tc>
        <w:tc>
          <w:tcPr>
            <w:tcW w:w="1545" w:type="dxa"/>
            <w:shd w:val="clear"/>
            <w:vAlign w:val="center"/>
          </w:tcPr>
          <w:p w14:paraId="1B4149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CD8⁺ cells per mm² in TLS-adjacent microenvironment</w:t>
            </w:r>
          </w:p>
        </w:tc>
        <w:tc>
          <w:tcPr>
            <w:tcW w:w="1288" w:type="dxa"/>
            <w:shd w:val="clear"/>
            <w:vAlign w:val="center"/>
          </w:tcPr>
          <w:p w14:paraId="38891D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0.22</w:t>
            </w:r>
          </w:p>
        </w:tc>
        <w:tc>
          <w:tcPr>
            <w:tcW w:w="840" w:type="dxa"/>
            <w:shd w:val="clear"/>
            <w:vAlign w:val="center"/>
          </w:tcPr>
          <w:p w14:paraId="5ED4E7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0.045</w:t>
            </w:r>
          </w:p>
        </w:tc>
        <w:tc>
          <w:tcPr>
            <w:tcW w:w="772" w:type="dxa"/>
            <w:shd w:val="clear"/>
            <w:vAlign w:val="center"/>
          </w:tcPr>
          <w:p w14:paraId="5F5788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0.090</w:t>
            </w:r>
          </w:p>
        </w:tc>
        <w:tc>
          <w:tcPr>
            <w:tcW w:w="1737" w:type="dxa"/>
            <w:shd w:val="clear"/>
            <w:vAlign w:val="center"/>
          </w:tcPr>
          <w:p w14:paraId="28DA83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↓ CD8 enrichment</w:t>
            </w:r>
          </w:p>
        </w:tc>
      </w:tr>
      <w:tr w14:paraId="19580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tblCellSpacing w:w="15" w:type="dxa"/>
          <w:jc w:val="center"/>
        </w:trPr>
        <w:tc>
          <w:tcPr>
            <w:tcW w:w="1745" w:type="dxa"/>
            <w:shd w:val="clear"/>
            <w:vAlign w:val="center"/>
          </w:tcPr>
          <w:p w14:paraId="190984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CD8 density per TLS area (core)</w:t>
            </w:r>
          </w:p>
        </w:tc>
        <w:tc>
          <w:tcPr>
            <w:tcW w:w="1430" w:type="dxa"/>
            <w:shd w:val="clear"/>
            <w:vAlign w:val="center"/>
          </w:tcPr>
          <w:p w14:paraId="35DA11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Structure–function</w:t>
            </w:r>
          </w:p>
        </w:tc>
        <w:tc>
          <w:tcPr>
            <w:tcW w:w="1545" w:type="dxa"/>
            <w:shd w:val="clear"/>
            <w:vAlign w:val="center"/>
          </w:tcPr>
          <w:p w14:paraId="55784E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CD8⁺ cells per mm² within TLS ROI</w:t>
            </w:r>
          </w:p>
        </w:tc>
        <w:tc>
          <w:tcPr>
            <w:tcW w:w="1288" w:type="dxa"/>
            <w:shd w:val="clear"/>
            <w:vAlign w:val="center"/>
          </w:tcPr>
          <w:p w14:paraId="7A677E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eastAsia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Style w:val="4"/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0.46</w:t>
            </w:r>
          </w:p>
        </w:tc>
        <w:tc>
          <w:tcPr>
            <w:tcW w:w="840" w:type="dxa"/>
            <w:shd w:val="clear"/>
            <w:vAlign w:val="center"/>
          </w:tcPr>
          <w:p w14:paraId="08EB5D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&lt;0.001</w:t>
            </w:r>
          </w:p>
        </w:tc>
        <w:tc>
          <w:tcPr>
            <w:tcW w:w="772" w:type="dxa"/>
            <w:shd w:val="clear"/>
            <w:vAlign w:val="center"/>
          </w:tcPr>
          <w:p w14:paraId="3A8D7D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0.003</w:t>
            </w:r>
          </w:p>
        </w:tc>
        <w:tc>
          <w:tcPr>
            <w:tcW w:w="1737" w:type="dxa"/>
            <w:shd w:val="clear"/>
            <w:vAlign w:val="center"/>
          </w:tcPr>
          <w:p w14:paraId="00AF26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↓ CD8 packing density</w:t>
            </w:r>
          </w:p>
        </w:tc>
      </w:tr>
      <w:tr w14:paraId="11D09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tblCellSpacing w:w="15" w:type="dxa"/>
          <w:jc w:val="center"/>
        </w:trPr>
        <w:tc>
          <w:tcPr>
            <w:tcW w:w="1745" w:type="dxa"/>
            <w:shd w:val="clear"/>
            <w:vAlign w:val="center"/>
          </w:tcPr>
          <w:p w14:paraId="59FE34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PD-1⁺CD8⁺ fraction among CD8⁺</w:t>
            </w:r>
          </w:p>
        </w:tc>
        <w:tc>
          <w:tcPr>
            <w:tcW w:w="1430" w:type="dxa"/>
            <w:shd w:val="clear"/>
            <w:vAlign w:val="center"/>
          </w:tcPr>
          <w:p w14:paraId="0F1840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Exhaustion</w:t>
            </w:r>
          </w:p>
        </w:tc>
        <w:tc>
          <w:tcPr>
            <w:tcW w:w="1545" w:type="dxa"/>
            <w:shd w:val="clear"/>
            <w:vAlign w:val="center"/>
          </w:tcPr>
          <w:p w14:paraId="6F2666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PD-1⁺CD8⁺ / total CD8⁺ (%)</w:t>
            </w:r>
          </w:p>
        </w:tc>
        <w:tc>
          <w:tcPr>
            <w:tcW w:w="1288" w:type="dxa"/>
            <w:shd w:val="clear"/>
            <w:vAlign w:val="center"/>
          </w:tcPr>
          <w:p w14:paraId="606D58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+0.19</w:t>
            </w:r>
          </w:p>
        </w:tc>
        <w:tc>
          <w:tcPr>
            <w:tcW w:w="840" w:type="dxa"/>
            <w:shd w:val="clear"/>
            <w:vAlign w:val="center"/>
          </w:tcPr>
          <w:p w14:paraId="2B56FA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0.071</w:t>
            </w:r>
          </w:p>
        </w:tc>
        <w:tc>
          <w:tcPr>
            <w:tcW w:w="772" w:type="dxa"/>
            <w:shd w:val="clear"/>
            <w:vAlign w:val="center"/>
          </w:tcPr>
          <w:p w14:paraId="4DE754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0.120</w:t>
            </w:r>
          </w:p>
        </w:tc>
        <w:tc>
          <w:tcPr>
            <w:tcW w:w="1737" w:type="dxa"/>
            <w:shd w:val="clear"/>
            <w:vAlign w:val="center"/>
          </w:tcPr>
          <w:p w14:paraId="3A3493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↑ exhaustion tendency</w:t>
            </w:r>
          </w:p>
        </w:tc>
      </w:tr>
      <w:tr w14:paraId="4E125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tblCellSpacing w:w="15" w:type="dxa"/>
          <w:jc w:val="center"/>
        </w:trPr>
        <w:tc>
          <w:tcPr>
            <w:tcW w:w="1745" w:type="dxa"/>
            <w:shd w:val="clear"/>
            <w:vAlign w:val="center"/>
          </w:tcPr>
          <w:p w14:paraId="0A6CA4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PD-1⁺CD8⁺ density</w:t>
            </w:r>
          </w:p>
        </w:tc>
        <w:tc>
          <w:tcPr>
            <w:tcW w:w="1430" w:type="dxa"/>
            <w:shd w:val="clear"/>
            <w:vAlign w:val="center"/>
          </w:tcPr>
          <w:p w14:paraId="31AA1E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Exhaustion</w:t>
            </w:r>
          </w:p>
        </w:tc>
        <w:tc>
          <w:tcPr>
            <w:tcW w:w="1545" w:type="dxa"/>
            <w:shd w:val="clear"/>
            <w:vAlign w:val="center"/>
          </w:tcPr>
          <w:p w14:paraId="7988D6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PD-1⁺CD8⁺ cells per mm²</w:t>
            </w:r>
          </w:p>
        </w:tc>
        <w:tc>
          <w:tcPr>
            <w:tcW w:w="1288" w:type="dxa"/>
            <w:shd w:val="clear"/>
            <w:vAlign w:val="center"/>
          </w:tcPr>
          <w:p w14:paraId="7D5C96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+0.28</w:t>
            </w:r>
          </w:p>
        </w:tc>
        <w:tc>
          <w:tcPr>
            <w:tcW w:w="840" w:type="dxa"/>
            <w:shd w:val="clear"/>
            <w:vAlign w:val="center"/>
          </w:tcPr>
          <w:p w14:paraId="037CBC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0.011</w:t>
            </w:r>
          </w:p>
        </w:tc>
        <w:tc>
          <w:tcPr>
            <w:tcW w:w="772" w:type="dxa"/>
            <w:shd w:val="clear"/>
            <w:vAlign w:val="center"/>
          </w:tcPr>
          <w:p w14:paraId="61BA5A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0.040</w:t>
            </w:r>
          </w:p>
        </w:tc>
        <w:tc>
          <w:tcPr>
            <w:tcW w:w="1737" w:type="dxa"/>
            <w:shd w:val="clear"/>
            <w:vAlign w:val="center"/>
          </w:tcPr>
          <w:p w14:paraId="6902DD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↑ exhausted CD8</w:t>
            </w:r>
          </w:p>
        </w:tc>
      </w:tr>
      <w:tr w14:paraId="123A9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tblCellSpacing w:w="15" w:type="dxa"/>
          <w:jc w:val="center"/>
        </w:trPr>
        <w:tc>
          <w:tcPr>
            <w:tcW w:w="1745" w:type="dxa"/>
            <w:shd w:val="clear"/>
            <w:vAlign w:val="center"/>
          </w:tcPr>
          <w:p w14:paraId="593232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CD68⁺ macrophage density</w:t>
            </w:r>
          </w:p>
        </w:tc>
        <w:tc>
          <w:tcPr>
            <w:tcW w:w="1430" w:type="dxa"/>
            <w:shd w:val="clear"/>
            <w:vAlign w:val="center"/>
          </w:tcPr>
          <w:p w14:paraId="2D4291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Myeloid</w:t>
            </w:r>
          </w:p>
        </w:tc>
        <w:tc>
          <w:tcPr>
            <w:tcW w:w="1545" w:type="dxa"/>
            <w:shd w:val="clear"/>
            <w:vAlign w:val="center"/>
          </w:tcPr>
          <w:p w14:paraId="4B583B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CD68⁺ cells per mm²</w:t>
            </w:r>
          </w:p>
        </w:tc>
        <w:tc>
          <w:tcPr>
            <w:tcW w:w="1288" w:type="dxa"/>
            <w:shd w:val="clear"/>
            <w:vAlign w:val="center"/>
          </w:tcPr>
          <w:p w14:paraId="4C9401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+0.24</w:t>
            </w:r>
          </w:p>
        </w:tc>
        <w:tc>
          <w:tcPr>
            <w:tcW w:w="840" w:type="dxa"/>
            <w:shd w:val="clear"/>
            <w:vAlign w:val="center"/>
          </w:tcPr>
          <w:p w14:paraId="4BCE27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0.030</w:t>
            </w:r>
          </w:p>
        </w:tc>
        <w:tc>
          <w:tcPr>
            <w:tcW w:w="772" w:type="dxa"/>
            <w:shd w:val="clear"/>
            <w:vAlign w:val="center"/>
          </w:tcPr>
          <w:p w14:paraId="3DB7E4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0.070</w:t>
            </w:r>
          </w:p>
        </w:tc>
        <w:tc>
          <w:tcPr>
            <w:tcW w:w="1737" w:type="dxa"/>
            <w:shd w:val="clear"/>
            <w:vAlign w:val="center"/>
          </w:tcPr>
          <w:p w14:paraId="472784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↑ macrophage infiltration</w:t>
            </w:r>
          </w:p>
        </w:tc>
      </w:tr>
      <w:tr w14:paraId="4A6E9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tblCellSpacing w:w="15" w:type="dxa"/>
          <w:jc w:val="center"/>
        </w:trPr>
        <w:tc>
          <w:tcPr>
            <w:tcW w:w="1745" w:type="dxa"/>
            <w:shd w:val="clear"/>
            <w:vAlign w:val="center"/>
          </w:tcPr>
          <w:p w14:paraId="38991A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CD163⁺ macrophage density</w:t>
            </w:r>
          </w:p>
        </w:tc>
        <w:tc>
          <w:tcPr>
            <w:tcW w:w="1430" w:type="dxa"/>
            <w:shd w:val="clear"/>
            <w:vAlign w:val="center"/>
          </w:tcPr>
          <w:p w14:paraId="679DA2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Suppressive myeloid</w:t>
            </w:r>
          </w:p>
        </w:tc>
        <w:tc>
          <w:tcPr>
            <w:tcW w:w="1545" w:type="dxa"/>
            <w:shd w:val="clear"/>
            <w:vAlign w:val="center"/>
          </w:tcPr>
          <w:p w14:paraId="67BBBB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CD163⁺ cells per mm²</w:t>
            </w:r>
          </w:p>
        </w:tc>
        <w:tc>
          <w:tcPr>
            <w:tcW w:w="1288" w:type="dxa"/>
            <w:shd w:val="clear"/>
            <w:vAlign w:val="center"/>
          </w:tcPr>
          <w:p w14:paraId="229C65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+0.33</w:t>
            </w:r>
          </w:p>
        </w:tc>
        <w:tc>
          <w:tcPr>
            <w:tcW w:w="840" w:type="dxa"/>
            <w:shd w:val="clear"/>
            <w:vAlign w:val="center"/>
          </w:tcPr>
          <w:p w14:paraId="169E82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0.003</w:t>
            </w:r>
          </w:p>
        </w:tc>
        <w:tc>
          <w:tcPr>
            <w:tcW w:w="772" w:type="dxa"/>
            <w:shd w:val="clear"/>
            <w:vAlign w:val="center"/>
          </w:tcPr>
          <w:p w14:paraId="50B4F0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0.015</w:t>
            </w:r>
          </w:p>
        </w:tc>
        <w:tc>
          <w:tcPr>
            <w:tcW w:w="1737" w:type="dxa"/>
            <w:shd w:val="clear"/>
            <w:vAlign w:val="center"/>
          </w:tcPr>
          <w:p w14:paraId="088100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↑ suppressive TAMs</w:t>
            </w:r>
          </w:p>
        </w:tc>
      </w:tr>
      <w:tr w14:paraId="27D01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tblCellSpacing w:w="15" w:type="dxa"/>
          <w:jc w:val="center"/>
        </w:trPr>
        <w:tc>
          <w:tcPr>
            <w:tcW w:w="1745" w:type="dxa"/>
            <w:shd w:val="clear"/>
            <w:vAlign w:val="center"/>
          </w:tcPr>
          <w:p w14:paraId="7E7D35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CD163/CD68 ratio</w:t>
            </w:r>
          </w:p>
        </w:tc>
        <w:tc>
          <w:tcPr>
            <w:tcW w:w="1430" w:type="dxa"/>
            <w:shd w:val="clear"/>
            <w:vAlign w:val="center"/>
          </w:tcPr>
          <w:p w14:paraId="38E9CD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Myeloid polarization</w:t>
            </w:r>
          </w:p>
        </w:tc>
        <w:tc>
          <w:tcPr>
            <w:tcW w:w="1545" w:type="dxa"/>
            <w:shd w:val="clear"/>
            <w:vAlign w:val="center"/>
          </w:tcPr>
          <w:p w14:paraId="4EC6A9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CD163⁺ / CD68⁺</w:t>
            </w:r>
          </w:p>
        </w:tc>
        <w:tc>
          <w:tcPr>
            <w:tcW w:w="1288" w:type="dxa"/>
            <w:shd w:val="clear"/>
            <w:vAlign w:val="center"/>
          </w:tcPr>
          <w:p w14:paraId="784BA2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+0.29</w:t>
            </w:r>
          </w:p>
        </w:tc>
        <w:tc>
          <w:tcPr>
            <w:tcW w:w="840" w:type="dxa"/>
            <w:shd w:val="clear"/>
            <w:vAlign w:val="center"/>
          </w:tcPr>
          <w:p w14:paraId="6017A3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0.009</w:t>
            </w:r>
          </w:p>
        </w:tc>
        <w:tc>
          <w:tcPr>
            <w:tcW w:w="772" w:type="dxa"/>
            <w:shd w:val="clear"/>
            <w:vAlign w:val="center"/>
          </w:tcPr>
          <w:p w14:paraId="38E41E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0.035</w:t>
            </w:r>
          </w:p>
        </w:tc>
        <w:tc>
          <w:tcPr>
            <w:tcW w:w="1737" w:type="dxa"/>
            <w:shd w:val="clear"/>
            <w:vAlign w:val="center"/>
          </w:tcPr>
          <w:p w14:paraId="79FE78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↑ suppressive polarization</w:t>
            </w:r>
          </w:p>
        </w:tc>
      </w:tr>
      <w:tr w14:paraId="68267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tblCellSpacing w:w="15" w:type="dxa"/>
          <w:jc w:val="center"/>
        </w:trPr>
        <w:tc>
          <w:tcPr>
            <w:tcW w:w="1745" w:type="dxa"/>
            <w:shd w:val="clear"/>
            <w:vAlign w:val="center"/>
          </w:tcPr>
          <w:p w14:paraId="2DAA4F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PD-L1⁺ cell density</w:t>
            </w:r>
          </w:p>
        </w:tc>
        <w:tc>
          <w:tcPr>
            <w:tcW w:w="1430" w:type="dxa"/>
            <w:shd w:val="clear"/>
            <w:vAlign w:val="center"/>
          </w:tcPr>
          <w:p w14:paraId="503BFA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Checkpoint</w:t>
            </w:r>
          </w:p>
        </w:tc>
        <w:tc>
          <w:tcPr>
            <w:tcW w:w="1545" w:type="dxa"/>
            <w:shd w:val="clear"/>
            <w:vAlign w:val="center"/>
          </w:tcPr>
          <w:p w14:paraId="1C99D7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PD-L1⁺ cells per mm²</w:t>
            </w:r>
          </w:p>
        </w:tc>
        <w:tc>
          <w:tcPr>
            <w:tcW w:w="1288" w:type="dxa"/>
            <w:shd w:val="clear"/>
            <w:vAlign w:val="center"/>
          </w:tcPr>
          <w:p w14:paraId="52BEEA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+0.31</w:t>
            </w:r>
          </w:p>
        </w:tc>
        <w:tc>
          <w:tcPr>
            <w:tcW w:w="840" w:type="dxa"/>
            <w:shd w:val="clear"/>
            <w:vAlign w:val="center"/>
          </w:tcPr>
          <w:p w14:paraId="346A40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0.005</w:t>
            </w:r>
          </w:p>
        </w:tc>
        <w:tc>
          <w:tcPr>
            <w:tcW w:w="772" w:type="dxa"/>
            <w:shd w:val="clear"/>
            <w:vAlign w:val="center"/>
          </w:tcPr>
          <w:p w14:paraId="0FEB6B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0.022</w:t>
            </w:r>
          </w:p>
        </w:tc>
        <w:tc>
          <w:tcPr>
            <w:tcW w:w="1737" w:type="dxa"/>
            <w:shd w:val="clear"/>
            <w:vAlign w:val="center"/>
          </w:tcPr>
          <w:p w14:paraId="1E49C9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↑ checkpoint signal</w:t>
            </w:r>
          </w:p>
        </w:tc>
      </w:tr>
      <w:tr w14:paraId="47A5C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tblCellSpacing w:w="15" w:type="dxa"/>
          <w:jc w:val="center"/>
        </w:trPr>
        <w:tc>
          <w:tcPr>
            <w:tcW w:w="1745" w:type="dxa"/>
            <w:shd w:val="clear"/>
            <w:vAlign w:val="center"/>
          </w:tcPr>
          <w:p w14:paraId="6446B8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PD-L1⁺CD68⁺ macrophage density</w:t>
            </w:r>
          </w:p>
        </w:tc>
        <w:tc>
          <w:tcPr>
            <w:tcW w:w="1430" w:type="dxa"/>
            <w:shd w:val="clear"/>
            <w:vAlign w:val="center"/>
          </w:tcPr>
          <w:p w14:paraId="13DF14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Suppressive myeloid</w:t>
            </w:r>
          </w:p>
        </w:tc>
        <w:tc>
          <w:tcPr>
            <w:tcW w:w="1545" w:type="dxa"/>
            <w:shd w:val="clear"/>
            <w:vAlign w:val="center"/>
          </w:tcPr>
          <w:p w14:paraId="730441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PD-L1⁺CD68⁺ cells per mm²</w:t>
            </w:r>
          </w:p>
        </w:tc>
        <w:tc>
          <w:tcPr>
            <w:tcW w:w="1288" w:type="dxa"/>
            <w:shd w:val="clear"/>
            <w:vAlign w:val="center"/>
          </w:tcPr>
          <w:p w14:paraId="2003C4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+0.34</w:t>
            </w:r>
          </w:p>
        </w:tc>
        <w:tc>
          <w:tcPr>
            <w:tcW w:w="840" w:type="dxa"/>
            <w:shd w:val="clear"/>
            <w:vAlign w:val="center"/>
          </w:tcPr>
          <w:p w14:paraId="51B638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0.002</w:t>
            </w:r>
          </w:p>
        </w:tc>
        <w:tc>
          <w:tcPr>
            <w:tcW w:w="772" w:type="dxa"/>
            <w:shd w:val="clear"/>
            <w:vAlign w:val="center"/>
          </w:tcPr>
          <w:p w14:paraId="2B4B19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0.012</w:t>
            </w:r>
          </w:p>
        </w:tc>
        <w:tc>
          <w:tcPr>
            <w:tcW w:w="1737" w:type="dxa"/>
            <w:shd w:val="clear"/>
            <w:vAlign w:val="center"/>
          </w:tcPr>
          <w:p w14:paraId="796762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↑ PD-L1⁺ TAMs</w:t>
            </w:r>
          </w:p>
        </w:tc>
      </w:tr>
      <w:tr w14:paraId="43D1F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tblCellSpacing w:w="15" w:type="dxa"/>
          <w:jc w:val="center"/>
        </w:trPr>
        <w:tc>
          <w:tcPr>
            <w:tcW w:w="1745" w:type="dxa"/>
            <w:shd w:val="clear"/>
            <w:vAlign w:val="center"/>
          </w:tcPr>
          <w:p w14:paraId="7FE670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CD8⁺/CD68⁺ ratio</w:t>
            </w:r>
          </w:p>
        </w:tc>
        <w:tc>
          <w:tcPr>
            <w:tcW w:w="1430" w:type="dxa"/>
            <w:shd w:val="clear"/>
            <w:vAlign w:val="center"/>
          </w:tcPr>
          <w:p w14:paraId="61EA7E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Balance</w:t>
            </w:r>
          </w:p>
        </w:tc>
        <w:tc>
          <w:tcPr>
            <w:tcW w:w="1545" w:type="dxa"/>
            <w:shd w:val="clear"/>
            <w:vAlign w:val="center"/>
          </w:tcPr>
          <w:p w14:paraId="789EEE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CD8 density / CD68 density</w:t>
            </w:r>
          </w:p>
        </w:tc>
        <w:tc>
          <w:tcPr>
            <w:tcW w:w="1288" w:type="dxa"/>
            <w:shd w:val="clear"/>
            <w:vAlign w:val="center"/>
          </w:tcPr>
          <w:p w14:paraId="1EC921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0.30</w:t>
            </w:r>
          </w:p>
        </w:tc>
        <w:tc>
          <w:tcPr>
            <w:tcW w:w="840" w:type="dxa"/>
            <w:shd w:val="clear"/>
            <w:vAlign w:val="center"/>
          </w:tcPr>
          <w:p w14:paraId="01FE94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0.007</w:t>
            </w:r>
          </w:p>
        </w:tc>
        <w:tc>
          <w:tcPr>
            <w:tcW w:w="772" w:type="dxa"/>
            <w:shd w:val="clear"/>
            <w:vAlign w:val="center"/>
          </w:tcPr>
          <w:p w14:paraId="354A81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0.030</w:t>
            </w:r>
          </w:p>
        </w:tc>
        <w:tc>
          <w:tcPr>
            <w:tcW w:w="1737" w:type="dxa"/>
            <w:shd w:val="clear"/>
            <w:vAlign w:val="center"/>
          </w:tcPr>
          <w:p w14:paraId="0D582D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↓ effector-to-myeloid balance</w:t>
            </w:r>
          </w:p>
        </w:tc>
      </w:tr>
      <w:tr w14:paraId="29558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4" w:hRule="atLeast"/>
          <w:tblCellSpacing w:w="15" w:type="dxa"/>
          <w:jc w:val="center"/>
        </w:trPr>
        <w:tc>
          <w:tcPr>
            <w:tcW w:w="1745" w:type="dxa"/>
            <w:tcBorders>
              <w:bottom w:val="single" w:color="auto" w:sz="12" w:space="0"/>
            </w:tcBorders>
            <w:shd w:val="clear"/>
            <w:vAlign w:val="center"/>
          </w:tcPr>
          <w:p w14:paraId="42AAD5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CD8⁺/CD163⁺ ratio</w:t>
            </w:r>
          </w:p>
        </w:tc>
        <w:tc>
          <w:tcPr>
            <w:tcW w:w="1430" w:type="dxa"/>
            <w:tcBorders>
              <w:bottom w:val="single" w:color="auto" w:sz="12" w:space="0"/>
            </w:tcBorders>
            <w:shd w:val="clear"/>
            <w:vAlign w:val="center"/>
          </w:tcPr>
          <w:p w14:paraId="3ADA9E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Balance</w:t>
            </w:r>
          </w:p>
        </w:tc>
        <w:tc>
          <w:tcPr>
            <w:tcW w:w="1545" w:type="dxa"/>
            <w:tcBorders>
              <w:bottom w:val="single" w:color="auto" w:sz="12" w:space="0"/>
            </w:tcBorders>
            <w:shd w:val="clear"/>
            <w:vAlign w:val="center"/>
          </w:tcPr>
          <w:p w14:paraId="1A9BCA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CD8 density / CD163 density</w:t>
            </w:r>
          </w:p>
        </w:tc>
        <w:tc>
          <w:tcPr>
            <w:tcW w:w="1288" w:type="dxa"/>
            <w:tcBorders>
              <w:bottom w:val="single" w:color="auto" w:sz="12" w:space="0"/>
            </w:tcBorders>
            <w:shd w:val="clear"/>
            <w:vAlign w:val="center"/>
          </w:tcPr>
          <w:p w14:paraId="214ED6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eastAsia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Style w:val="4"/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0.36</w:t>
            </w:r>
          </w:p>
        </w:tc>
        <w:tc>
          <w:tcPr>
            <w:tcW w:w="840" w:type="dxa"/>
            <w:tcBorders>
              <w:bottom w:val="single" w:color="auto" w:sz="12" w:space="0"/>
            </w:tcBorders>
            <w:shd w:val="clear"/>
            <w:vAlign w:val="center"/>
          </w:tcPr>
          <w:p w14:paraId="17BBA2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0.001</w:t>
            </w:r>
          </w:p>
        </w:tc>
        <w:tc>
          <w:tcPr>
            <w:tcW w:w="772" w:type="dxa"/>
            <w:tcBorders>
              <w:bottom w:val="single" w:color="auto" w:sz="12" w:space="0"/>
            </w:tcBorders>
            <w:shd w:val="clear"/>
            <w:vAlign w:val="center"/>
          </w:tcPr>
          <w:p w14:paraId="48C280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0.010</w:t>
            </w:r>
          </w:p>
        </w:tc>
        <w:tc>
          <w:tcPr>
            <w:tcW w:w="1737" w:type="dxa"/>
            <w:tcBorders>
              <w:bottom w:val="single" w:color="auto" w:sz="12" w:space="0"/>
            </w:tcBorders>
            <w:shd w:val="clear"/>
            <w:vAlign w:val="center"/>
          </w:tcPr>
          <w:p w14:paraId="78BD6F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C00000"/>
                <w:kern w:val="0"/>
                <w:sz w:val="22"/>
                <w:szCs w:val="22"/>
                <w:lang w:val="en-US" w:eastAsia="zh-CN" w:bidi="ar"/>
              </w:rPr>
              <w:t>↓ effector dominance</w:t>
            </w:r>
          </w:p>
        </w:tc>
      </w:tr>
    </w:tbl>
    <w:p w14:paraId="6398C932">
      <w:pPr>
        <w:rPr>
          <w:rFonts w:hint="default" w:ascii="Times New Roman" w:hAnsi="Times New Roman" w:cs="Times New Roman"/>
          <w:color w:val="C00000"/>
        </w:rPr>
      </w:pPr>
      <w:r>
        <w:rPr>
          <w:rFonts w:hint="default" w:ascii="Times New Roman" w:hAnsi="Times New Roman" w:cs="Times New Roman"/>
          <w:color w:val="C00000"/>
        </w:rPr>
        <w:t>Cohort: TLS⁺ cases with quantifiable TLS size and multiplex immunofluorescence immune metrics.</w:t>
      </w:r>
    </w:p>
    <w:p w14:paraId="0E34F1C6">
      <w:pPr>
        <w:rPr>
          <w:rFonts w:hint="default" w:ascii="Times New Roman" w:hAnsi="Times New Roman" w:cs="Times New Roman"/>
          <w:color w:val="C00000"/>
        </w:rPr>
      </w:pPr>
      <w:r>
        <w:rPr>
          <w:rFonts w:hint="default" w:ascii="Times New Roman" w:hAnsi="Times New Roman" w:cs="Times New Roman"/>
          <w:color w:val="C00000"/>
        </w:rPr>
        <w:t>TLS size metric: TLS area (mm²) measured on representative 2D histological sections.</w:t>
      </w:r>
    </w:p>
    <w:p w14:paraId="3558895B">
      <w:pPr>
        <w:rPr>
          <w:rFonts w:hint="default" w:ascii="Times New Roman" w:hAnsi="Times New Roman" w:cs="Times New Roman"/>
          <w:color w:val="C00000"/>
        </w:rPr>
      </w:pPr>
      <w:r>
        <w:rPr>
          <w:rFonts w:hint="default" w:ascii="Times New Roman" w:hAnsi="Times New Roman" w:cs="Times New Roman"/>
          <w:color w:val="C00000"/>
        </w:rPr>
        <w:t>Statistics: Spearman rank correlation (two-sided). Multiple testing adjusted by Benjamini</w:t>
      </w:r>
      <w:r>
        <w:rPr>
          <w:rFonts w:hint="eastAsia" w:ascii="Times New Roman" w:hAnsi="Times New Roman" w:cs="Times New Roman"/>
          <w:color w:val="C00000"/>
          <w:lang w:val="en-US" w:eastAsia="zh-CN"/>
        </w:rPr>
        <w:t>-</w:t>
      </w:r>
      <w:r>
        <w:rPr>
          <w:rFonts w:hint="default" w:ascii="Times New Roman" w:hAnsi="Times New Roman" w:cs="Times New Roman"/>
          <w:color w:val="C00000"/>
        </w:rPr>
        <w:t>Hochberg FDR.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70769"/>
    <w:rsid w:val="1B367A4A"/>
    <w:rsid w:val="1DA53F7D"/>
    <w:rsid w:val="4DF8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Emphasis"/>
    <w:basedOn w:val="3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114</Words>
  <Characters>468</Characters>
  <Lines>0</Lines>
  <Paragraphs>0</Paragraphs>
  <TotalTime>851</TotalTime>
  <ScaleCrop>false</ScaleCrop>
  <LinksUpToDate>false</LinksUpToDate>
  <CharactersWithSpaces>541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2025-09-02T05:39:00Z</dcterms:created>
  <dc:creator>Wen-Hao Xu</dc:creator>
  <cp:lastModifiedBy>Dr. Xu</cp:lastModifiedBy>
  <dcterms:modified xsi:type="dcterms:W3CDTF">2026-01-21T06:03:22Z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eyJoZGlkIjoiMWI4NWYzZGFkNDJiYTY1ODFjMTg3YjM5MmNjODNlNDkiLCJ1c2VySWQiOiIzMzA2Nzk0MjMifQ==</vt:lpwstr>
  </property>
  <property fmtid="{D5CDD505-2E9C-101B-9397-08002B2CF9AE}" pid="4" name="ICV">
    <vt:lpwstr>9FB22BA19D3F4192B43D9D374568078E_12</vt:lpwstr>
  </property>
</Properties>
</file>