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BC7" w:rsidRDefault="006E7BC7" w:rsidP="006E7BC7">
      <w:pPr>
        <w:rPr>
          <w:rFonts w:ascii="Times New Roman" w:eastAsia="楷体" w:hAnsi="Times New Roman" w:cs="Times New Roman"/>
          <w:b/>
          <w:bCs/>
          <w:sz w:val="28"/>
          <w:szCs w:val="28"/>
        </w:rPr>
      </w:pPr>
      <w:r>
        <w:rPr>
          <w:rFonts w:ascii="Times New Roman" w:eastAsia="楷体" w:hAnsi="Times New Roman" w:cs="Times New Roman"/>
          <w:b/>
          <w:bCs/>
          <w:sz w:val="28"/>
          <w:szCs w:val="28"/>
          <w:lang w:val="en-US" w:eastAsia="zh-CN"/>
        </w:rPr>
        <w:t xml:space="preserve">Supplementary Figure 1. </w:t>
      </w:r>
    </w:p>
    <w:p w:rsidR="006E7BC7" w:rsidRDefault="006E7BC7" w:rsidP="006E7BC7">
      <w:pPr>
        <w:rPr>
          <w:rFonts w:ascii="Times New Roman" w:eastAsia="楷体" w:hAnsi="Times New Roman" w:cs="Times New Roman"/>
          <w:sz w:val="28"/>
          <w:szCs w:val="28"/>
        </w:rPr>
      </w:pPr>
      <w:r>
        <w:rPr>
          <w:rFonts w:ascii="Times New Roman" w:eastAsia="楷体" w:hAnsi="Times New Roman" w:cs="Times New Roman"/>
          <w:sz w:val="28"/>
          <w:szCs w:val="28"/>
          <w:lang w:val="en-US" w:eastAsia="zh-CN"/>
        </w:rPr>
        <w:t>GDF15 upregulated CXCR4 expression in ARP-1 cells. Western blotting analysis demonstrated that GDF15 enhanced CXCR4 protein expression in ARP-1 cells in a concentration-dependent manner (**P &lt; 0.01; ****P &lt; 0.0001 versus NC group). All data are shown as mean ± SD from three independent experiments, each performed in triplicate.</w:t>
      </w:r>
    </w:p>
    <w:p w:rsidR="006E7BC7" w:rsidRDefault="006E7BC7" w:rsidP="006E7BC7">
      <w:r>
        <w:rPr>
          <w:rFonts w:ascii="Times New Roman" w:eastAsia="楷体" w:hAnsi="Times New Roman" w:cs="Times New Roman"/>
          <w:noProof/>
          <w:sz w:val="28"/>
          <w:szCs w:val="28"/>
        </w:rPr>
        <w:drawing>
          <wp:inline distT="0" distB="0" distL="114300" distR="114300" wp14:anchorId="62D5D977" wp14:editId="4104886A">
            <wp:extent cx="2880360" cy="2764790"/>
            <wp:effectExtent l="0" t="0" r="2540" b="3810"/>
            <wp:docPr id="25" name="图片 25" descr="Revised-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Revised-Supplementary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76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BC7" w:rsidRDefault="006E7BC7" w:rsidP="006E7BC7"/>
    <w:p w:rsidR="006E7BC7" w:rsidRDefault="006E7BC7" w:rsidP="006E7BC7">
      <w:pPr>
        <w:rPr>
          <w:rFonts w:ascii="Times New Roman" w:eastAsia="楷体" w:hAnsi="Times New Roman" w:cs="Times New Roman"/>
          <w:b/>
          <w:bCs/>
          <w:sz w:val="28"/>
          <w:szCs w:val="28"/>
        </w:rPr>
      </w:pPr>
      <w:r>
        <w:rPr>
          <w:rFonts w:ascii="Times New Roman" w:eastAsia="楷体" w:hAnsi="Times New Roman" w:cs="Times New Roman"/>
          <w:b/>
          <w:bCs/>
          <w:sz w:val="28"/>
          <w:szCs w:val="28"/>
          <w:lang w:val="en-US" w:eastAsia="zh-CN"/>
        </w:rPr>
        <w:t xml:space="preserve">Supplementary Figure 2. </w:t>
      </w:r>
    </w:p>
    <w:p w:rsidR="006E7BC7" w:rsidRDefault="006E7BC7" w:rsidP="006E7BC7">
      <w:pPr>
        <w:rPr>
          <w:rFonts w:ascii="Times New Roman" w:eastAsia="楷体" w:hAnsi="Times New Roman" w:cs="Times New Roman"/>
          <w:sz w:val="28"/>
          <w:szCs w:val="28"/>
        </w:rPr>
      </w:pPr>
      <w:r>
        <w:rPr>
          <w:rFonts w:ascii="Times New Roman" w:eastAsia="楷体" w:hAnsi="Times New Roman" w:cs="Times New Roman"/>
          <w:sz w:val="28"/>
          <w:szCs w:val="28"/>
          <w:lang w:val="en-US" w:eastAsia="zh-CN"/>
        </w:rPr>
        <w:t xml:space="preserve">GDF15 activated </w:t>
      </w:r>
      <w:proofErr w:type="spellStart"/>
      <w:r>
        <w:rPr>
          <w:rFonts w:ascii="Times New Roman" w:eastAsia="楷体" w:hAnsi="Times New Roman" w:cs="Times New Roman"/>
          <w:sz w:val="28"/>
          <w:szCs w:val="28"/>
          <w:lang w:val="en-US" w:eastAsia="zh-CN"/>
        </w:rPr>
        <w:t>Akt</w:t>
      </w:r>
      <w:proofErr w:type="spellEnd"/>
      <w:r>
        <w:rPr>
          <w:rFonts w:ascii="Times New Roman" w:eastAsia="楷体" w:hAnsi="Times New Roman" w:cs="Times New Roman"/>
          <w:sz w:val="28"/>
          <w:szCs w:val="28"/>
          <w:lang w:val="en-US" w:eastAsia="zh-CN"/>
        </w:rPr>
        <w:t xml:space="preserve"> signaling in ARP-1 cells. Western blotting revealed that GDF15 treatment increased phosphorylation of </w:t>
      </w:r>
      <w:proofErr w:type="spellStart"/>
      <w:r>
        <w:rPr>
          <w:rFonts w:ascii="Times New Roman" w:eastAsia="楷体" w:hAnsi="Times New Roman" w:cs="Times New Roman"/>
          <w:sz w:val="28"/>
          <w:szCs w:val="28"/>
          <w:lang w:val="en-US" w:eastAsia="zh-CN"/>
        </w:rPr>
        <w:t>Akt</w:t>
      </w:r>
      <w:proofErr w:type="spellEnd"/>
      <w:r>
        <w:rPr>
          <w:rFonts w:ascii="Times New Roman" w:eastAsia="楷体" w:hAnsi="Times New Roman" w:cs="Times New Roman"/>
          <w:sz w:val="28"/>
          <w:szCs w:val="28"/>
          <w:lang w:val="en-US" w:eastAsia="zh-CN"/>
        </w:rPr>
        <w:t xml:space="preserve"> (p-</w:t>
      </w:r>
      <w:proofErr w:type="spellStart"/>
      <w:r>
        <w:rPr>
          <w:rFonts w:ascii="Times New Roman" w:eastAsia="楷体" w:hAnsi="Times New Roman" w:cs="Times New Roman"/>
          <w:sz w:val="28"/>
          <w:szCs w:val="28"/>
          <w:lang w:val="en-US" w:eastAsia="zh-CN"/>
        </w:rPr>
        <w:t>Akt</w:t>
      </w:r>
      <w:proofErr w:type="spellEnd"/>
      <w:r>
        <w:rPr>
          <w:rFonts w:ascii="Times New Roman" w:eastAsia="楷体" w:hAnsi="Times New Roman" w:cs="Times New Roman"/>
          <w:sz w:val="28"/>
          <w:szCs w:val="28"/>
          <w:lang w:val="en-US" w:eastAsia="zh-CN"/>
        </w:rPr>
        <w:t>) in ARP-1 cells in a dose-dependent manner (***P &lt; 0.001, ****P &lt; 0.0001 versus NC group). All data are presented as mean ± SD from three independent experiments, each conducted in triplicate.</w:t>
      </w:r>
    </w:p>
    <w:p w:rsidR="006E7BC7" w:rsidRDefault="006E7BC7" w:rsidP="006E7BC7">
      <w:r>
        <w:rPr>
          <w:rFonts w:ascii="Times New Roman" w:eastAsia="楷体" w:hAnsi="Times New Roman" w:cs="Times New Roman"/>
          <w:noProof/>
          <w:sz w:val="28"/>
          <w:szCs w:val="28"/>
        </w:rPr>
        <w:drawing>
          <wp:inline distT="0" distB="0" distL="114300" distR="114300" wp14:anchorId="1CEE9A3F" wp14:editId="08A016F7">
            <wp:extent cx="5270500" cy="1878965"/>
            <wp:effectExtent l="0" t="0" r="0" b="635"/>
            <wp:docPr id="26" name="图片 26" descr="Revised-Supplementary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Revised-Supplementary Fig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7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BC7" w:rsidRDefault="006E7BC7" w:rsidP="006E7BC7"/>
    <w:p w:rsidR="006E7BC7" w:rsidRDefault="006E7BC7" w:rsidP="006E7BC7"/>
    <w:p w:rsidR="006E7BC7" w:rsidRDefault="006E7BC7" w:rsidP="006E7BC7">
      <w:pPr>
        <w:rPr>
          <w:rFonts w:ascii="Times New Roman" w:eastAsia="楷体" w:hAnsi="Times New Roman" w:cs="Times New Roman"/>
          <w:sz w:val="28"/>
          <w:szCs w:val="28"/>
          <w:lang w:val="en-US" w:eastAsia="zh-CN"/>
        </w:rPr>
      </w:pPr>
      <w:r>
        <w:rPr>
          <w:rFonts w:ascii="Times New Roman" w:eastAsia="楷体" w:hAnsi="Times New Roman" w:cs="Times New Roman"/>
          <w:b/>
          <w:bCs/>
          <w:sz w:val="28"/>
          <w:szCs w:val="28"/>
          <w:lang w:val="en-US" w:eastAsia="zh-CN"/>
        </w:rPr>
        <w:lastRenderedPageBreak/>
        <w:t xml:space="preserve">Supplementary Figure </w:t>
      </w:r>
      <w:r>
        <w:rPr>
          <w:rFonts w:ascii="Times New Roman" w:eastAsia="楷体" w:hAnsi="Times New Roman" w:cs="Times New Roman" w:hint="eastAsia"/>
          <w:b/>
          <w:bCs/>
          <w:sz w:val="28"/>
          <w:szCs w:val="28"/>
          <w:lang w:val="en-US" w:eastAsia="zh-CN"/>
        </w:rPr>
        <w:t>3</w:t>
      </w:r>
      <w:r>
        <w:rPr>
          <w:rFonts w:ascii="Times New Roman" w:eastAsia="楷体" w:hAnsi="Times New Roman" w:cs="Times New Roman"/>
          <w:b/>
          <w:bCs/>
          <w:sz w:val="28"/>
          <w:szCs w:val="28"/>
          <w:lang w:val="en-US" w:eastAsia="zh-CN"/>
        </w:rPr>
        <w:t xml:space="preserve">. </w:t>
      </w:r>
      <w:r>
        <w:rPr>
          <w:rFonts w:ascii="Times New Roman" w:eastAsia="楷体" w:hAnsi="Times New Roman" w:cs="Times New Roman"/>
          <w:sz w:val="28"/>
          <w:szCs w:val="28"/>
          <w:lang w:val="en-US" w:eastAsia="zh-CN"/>
        </w:rPr>
        <w:t>Based on qPCR analysis, GFRAL mRNA of MM cells showed positive expression relative to the endogenous control GAPDH mRNA. (Group 1-4 are technical replicates normalized to GAPDH mRNA levels, with Group 1 serving as the reference group).</w:t>
      </w:r>
    </w:p>
    <w:p w:rsidR="006E7BC7" w:rsidRDefault="006E7BC7" w:rsidP="006E7BC7">
      <w:pPr>
        <w:rPr>
          <w:rFonts w:ascii="Times New Roman" w:eastAsia="楷体" w:hAnsi="Times New Roman" w:cs="Times New Roman"/>
          <w:sz w:val="28"/>
          <w:szCs w:val="28"/>
        </w:rPr>
      </w:pPr>
      <w:bookmarkStart w:id="0" w:name="_GoBack"/>
      <w:bookmarkEnd w:id="0"/>
    </w:p>
    <w:p w:rsidR="006E7BC7" w:rsidRDefault="006E7BC7" w:rsidP="006E7BC7">
      <w:r>
        <w:rPr>
          <w:rFonts w:ascii="Times New Roman" w:eastAsia="楷体" w:hAnsi="Times New Roman" w:cs="Times New Roman"/>
          <w:noProof/>
          <w:sz w:val="28"/>
          <w:szCs w:val="28"/>
        </w:rPr>
        <w:drawing>
          <wp:inline distT="0" distB="0" distL="114300" distR="114300" wp14:anchorId="7B2CC209" wp14:editId="7F1CD890">
            <wp:extent cx="4519930" cy="3044825"/>
            <wp:effectExtent l="0" t="0" r="1270" b="3175"/>
            <wp:docPr id="27" name="图片 27" descr="Revised-Supplementary 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Revised-Supplementary Fig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19930" cy="304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BC7" w:rsidRDefault="006E7BC7" w:rsidP="006E7BC7"/>
    <w:p w:rsidR="006E7BC7" w:rsidRDefault="006E7BC7" w:rsidP="006E7BC7">
      <w:pPr>
        <w:rPr>
          <w:rFonts w:ascii="Times New Roman" w:eastAsia="楷体" w:hAnsi="Times New Roman" w:cs="Times New Roman"/>
          <w:b/>
          <w:bCs/>
          <w:sz w:val="28"/>
          <w:szCs w:val="28"/>
          <w:lang w:val="en-US" w:eastAsia="zh-CN"/>
        </w:rPr>
      </w:pPr>
    </w:p>
    <w:p w:rsidR="006E7BC7" w:rsidRDefault="006E7BC7" w:rsidP="006E7BC7">
      <w:pPr>
        <w:rPr>
          <w:rFonts w:ascii="Times New Roman" w:eastAsia="楷体" w:hAnsi="Times New Roman" w:cs="Times New Roman"/>
          <w:b/>
          <w:bCs/>
          <w:sz w:val="28"/>
          <w:szCs w:val="28"/>
          <w:lang w:val="en-US" w:eastAsia="zh-CN"/>
        </w:rPr>
      </w:pPr>
    </w:p>
    <w:p w:rsidR="006E7BC7" w:rsidRDefault="006E7BC7" w:rsidP="006E7BC7">
      <w:pPr>
        <w:rPr>
          <w:rFonts w:ascii="Times New Roman" w:eastAsia="楷体" w:hAnsi="Times New Roman" w:cs="Times New Roman"/>
          <w:sz w:val="28"/>
          <w:szCs w:val="28"/>
          <w:lang w:val="en-US" w:eastAsia="zh-CN"/>
        </w:rPr>
      </w:pPr>
      <w:r>
        <w:rPr>
          <w:rFonts w:ascii="Times New Roman" w:eastAsia="楷体" w:hAnsi="Times New Roman" w:cs="Times New Roman"/>
          <w:b/>
          <w:bCs/>
          <w:sz w:val="28"/>
          <w:szCs w:val="28"/>
          <w:lang w:val="en-US" w:eastAsia="zh-CN"/>
        </w:rPr>
        <w:t>Supplementary Fig 4</w:t>
      </w:r>
      <w:r>
        <w:rPr>
          <w:rFonts w:ascii="Times New Roman" w:eastAsia="楷体" w:hAnsi="Times New Roman" w:cs="Times New Roman" w:hint="eastAsia"/>
          <w:b/>
          <w:bCs/>
          <w:sz w:val="28"/>
          <w:szCs w:val="28"/>
          <w:lang w:val="en-US" w:eastAsia="zh-CN"/>
        </w:rPr>
        <w:t>.</w:t>
      </w:r>
      <w:r>
        <w:rPr>
          <w:rFonts w:ascii="Times New Roman" w:eastAsia="楷体" w:hAnsi="Times New Roman" w:cs="Times New Roman"/>
          <w:sz w:val="28"/>
          <w:szCs w:val="28"/>
          <w:lang w:val="en-US" w:eastAsia="zh-CN"/>
        </w:rPr>
        <w:t xml:space="preserve"> Western blot analysis revealed positive expression of GFRAL protein in MM cells.</w:t>
      </w:r>
    </w:p>
    <w:p w:rsidR="006E7BC7" w:rsidRDefault="006E7BC7" w:rsidP="006E7BC7">
      <w:pPr>
        <w:rPr>
          <w:rFonts w:ascii="Times New Roman" w:eastAsia="楷体" w:hAnsi="Times New Roman" w:cs="Times New Roman"/>
          <w:sz w:val="28"/>
          <w:szCs w:val="28"/>
        </w:rPr>
      </w:pPr>
    </w:p>
    <w:p w:rsidR="006E7BC7" w:rsidRPr="006E7BC7" w:rsidRDefault="006E7BC7" w:rsidP="006E7BC7">
      <w:r>
        <w:rPr>
          <w:rFonts w:ascii="Times New Roman" w:eastAsia="楷体" w:hAnsi="Times New Roman" w:cs="Times New Roman"/>
          <w:noProof/>
          <w:sz w:val="28"/>
          <w:szCs w:val="28"/>
        </w:rPr>
        <w:drawing>
          <wp:inline distT="0" distB="0" distL="114300" distR="114300" wp14:anchorId="37DE92AB" wp14:editId="70AD853B">
            <wp:extent cx="2411095" cy="692150"/>
            <wp:effectExtent l="0" t="0" r="1905" b="6350"/>
            <wp:docPr id="28" name="图片 28" descr="Revised-Supplementary 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Revised-Supplementary Fig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11095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7BC7" w:rsidRPr="006E7B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altName w:val="Microsoft YaHei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BC7"/>
    <w:rsid w:val="004C07B5"/>
    <w:rsid w:val="006E7BC7"/>
    <w:rsid w:val="006F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39210"/>
  <w15:chartTrackingRefBased/>
  <w15:docId w15:val="{04771C7E-E431-44E0-8E28-7B0C3CBD5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Integra Software Services Pvt Ltd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Anitha Narayanasamy (Integra)</dc:creator>
  <cp:keywords/>
  <dc:description/>
  <cp:lastModifiedBy>Anitha Narayanasamy (Integra)</cp:lastModifiedBy>
  <cp:revision>1</cp:revision>
  <dcterms:created xsi:type="dcterms:W3CDTF">2026-02-07T09:04:00Z</dcterms:created>
  <dcterms:modified xsi:type="dcterms:W3CDTF">2026-02-07T09:16:00Z</dcterms:modified>
</cp:coreProperties>
</file>