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9E84A">
      <w:pPr>
        <w:widowControl/>
        <w:spacing w:line="480" w:lineRule="auto"/>
        <w:jc w:val="left"/>
      </w:pPr>
      <w:r>
        <w:rPr>
          <w:rFonts w:hint="eastAsia" w:ascii="Times New Roman" w:hAnsi="Times New Roman" w:eastAsia="宋体" w:cs="Times New Roman"/>
          <w:b/>
          <w:bCs/>
          <w:sz w:val="24"/>
        </w:rPr>
        <w:t>Supplementary Material</w:t>
      </w:r>
    </w:p>
    <w:p w14:paraId="495148E8">
      <w:pPr>
        <w:spacing w:line="480" w:lineRule="auto"/>
        <w:rPr>
          <w:rFonts w:ascii="Arial" w:hAnsi="Arial" w:eastAsia="宋体" w:cs="Arial"/>
          <w:color w:val="000000"/>
          <w:szCs w:val="22"/>
        </w:rPr>
      </w:pPr>
      <w:r>
        <w:rPr>
          <w:rFonts w:ascii="Times New Roman" w:hAnsi="Times New Roman" w:eastAsia="宋体" w:cs="Times New Roman"/>
          <w:i/>
          <w:iCs/>
          <w:color w:val="000000"/>
          <w:sz w:val="24"/>
        </w:rPr>
        <w:t>DKC1</w:t>
      </w:r>
      <w:r>
        <w:rPr>
          <w:rFonts w:hint="eastAsia" w:ascii="Times New Roman" w:hAnsi="Times New Roman" w:eastAsia="宋体" w:cs="Times New Roman"/>
          <w:i/>
          <w:iCs/>
          <w:color w:val="000000"/>
          <w:sz w:val="24"/>
        </w:rPr>
        <w:t xml:space="preserve">: a </w:t>
      </w:r>
      <w:r>
        <w:rPr>
          <w:rFonts w:ascii="Times New Roman" w:hAnsi="Times New Roman" w:eastAsia="宋体" w:cs="Times New Roman"/>
          <w:i/>
          <w:iCs/>
          <w:color w:val="000000"/>
          <w:sz w:val="24"/>
        </w:rPr>
        <w:t>robust prognostic factor and potential therapeutic target in Multiple Myeloma</w:t>
      </w:r>
    </w:p>
    <w:p w14:paraId="4E66C705">
      <w:pPr>
        <w:spacing w:line="480" w:lineRule="auto"/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t>Sun C., Cheng L., Li A., Han Y., Wang Y., Xiao J., Guo Y., Zhang W., Sun L., Xu D., Kong D., Jiang Y., Zheng C</w:t>
      </w:r>
    </w:p>
    <w:p w14:paraId="57EDE361">
      <w:pPr>
        <w:spacing w:line="480" w:lineRule="auto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Supplementary Figures</w:t>
      </w:r>
    </w:p>
    <w:p w14:paraId="5C38F4E6">
      <w:pPr>
        <w:spacing w:line="480" w:lineRule="auto"/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drawing>
          <wp:inline distT="0" distB="0" distL="114300" distR="114300">
            <wp:extent cx="4907280" cy="2237105"/>
            <wp:effectExtent l="0" t="0" r="7620" b="10795"/>
            <wp:docPr id="1" name="图片 1" descr="未标题-S1三个数据集的加上自己患者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未标题-S1三个数据集的加上自己患者的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07280" cy="223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814A4">
      <w:pPr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</w:rPr>
        <w:t>Figure S1. DKC1 mRNA expression in plasma cell disorders.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</w:rPr>
        <w:t>A</w:t>
      </w:r>
      <w:r>
        <w:rPr>
          <w:rFonts w:hint="eastAsia" w:ascii="Times New Roman" w:hAnsi="Times New Roman" w:eastAsia="宋体" w:cs="Times New Roman"/>
          <w:sz w:val="24"/>
        </w:rPr>
        <w:t xml:space="preserve"> Comparison of DKC1 mRNA expression between PCL and MM patients, based on integrated analysis of GSE164701, GSE164703, and GSE164706 datasets. </w:t>
      </w:r>
      <w:r>
        <w:rPr>
          <w:rFonts w:hint="eastAsia" w:ascii="Times New Roman" w:hAnsi="Times New Roman" w:eastAsia="宋体" w:cs="Times New Roman"/>
          <w:b/>
          <w:bCs/>
          <w:sz w:val="24"/>
        </w:rPr>
        <w:t>B</w:t>
      </w:r>
      <w:r>
        <w:rPr>
          <w:rFonts w:hint="eastAsia" w:ascii="Times New Roman" w:hAnsi="Times New Roman" w:eastAsia="宋体" w:cs="Times New Roman"/>
          <w:sz w:val="24"/>
        </w:rPr>
        <w:t xml:space="preserve"> DKC1 mRNA expression in MM patients compared to healthy controls, assessed by qPCR.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</w:rPr>
        <w:t>Abbreviations: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>plasma cell leukemia (PCL); multiple myeloma (MM)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drawing>
          <wp:inline distT="0" distB="0" distL="114300" distR="114300">
            <wp:extent cx="5270500" cy="4552950"/>
            <wp:effectExtent l="0" t="0" r="0" b="6350"/>
            <wp:docPr id="6" name="图片 6" descr="G:/修改后ai/修改后第五版改为大写标/TIFF版本/未标题-S1.tif未标题-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G:/修改后ai/修改后第五版改为大写标/TIFF版本/未标题-S1.tif未标题-S1"/>
                    <pic:cNvPicPr>
                      <a:picLocks noChangeAspect="1"/>
                    </pic:cNvPicPr>
                  </pic:nvPicPr>
                  <pic:blipFill>
                    <a:blip r:embed="rId6"/>
                    <a:srcRect l="42" r="4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C9F70">
      <w:pPr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Figure S2</w:t>
      </w:r>
      <w:r>
        <w:rPr>
          <w:rFonts w:ascii="Times New Roman" w:hAnsi="Times New Roman" w:cs="Times New Roman"/>
          <w:b/>
          <w:bCs/>
          <w:sz w:val="24"/>
        </w:rPr>
        <w:t xml:space="preserve"> Nomogram and </w:t>
      </w:r>
      <w:r>
        <w:rPr>
          <w:rFonts w:hint="eastAsia" w:ascii="Times New Roman" w:hAnsi="Times New Roman" w:cs="Times New Roman"/>
          <w:b/>
          <w:bCs/>
          <w:sz w:val="24"/>
        </w:rPr>
        <w:t>c</w:t>
      </w:r>
      <w:r>
        <w:rPr>
          <w:rFonts w:ascii="Times New Roman" w:hAnsi="Times New Roman" w:cs="Times New Roman"/>
          <w:b/>
          <w:bCs/>
          <w:sz w:val="24"/>
        </w:rPr>
        <w:t>alibration plot of OS and PFS for MM patients.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</w:rPr>
        <w:t>A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Nomogram predicting 1-, 2-, and 3-year OS for MM patients.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</w:rPr>
        <w:t>B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Calibration plot of the </w:t>
      </w:r>
      <w:r>
        <w:rPr>
          <w:rFonts w:hint="eastAsia" w:ascii="Times New Roman" w:hAnsi="Times New Roman" w:cs="Times New Roman"/>
          <w:sz w:val="24"/>
        </w:rPr>
        <w:t xml:space="preserve">OS </w:t>
      </w:r>
      <w:r>
        <w:rPr>
          <w:rFonts w:ascii="Times New Roman" w:hAnsi="Times New Roman" w:cs="Times New Roman"/>
          <w:sz w:val="24"/>
        </w:rPr>
        <w:t>nomogram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at 1, 2, and 3 years.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</w:rPr>
        <w:t>C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Nomogram predicting 1-, 2-, and 3-year PFS for MM patients. </w:t>
      </w:r>
      <w:r>
        <w:rPr>
          <w:rFonts w:hint="eastAsia" w:ascii="Times New Roman" w:hAnsi="Times New Roman" w:cs="Times New Roman"/>
          <w:b/>
          <w:bCs/>
          <w:sz w:val="24"/>
        </w:rPr>
        <w:t>D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Calibration plot of the </w:t>
      </w:r>
      <w:r>
        <w:rPr>
          <w:rFonts w:hint="eastAsia" w:ascii="Times New Roman" w:hAnsi="Times New Roman" w:cs="Times New Roman"/>
          <w:sz w:val="24"/>
        </w:rPr>
        <w:t xml:space="preserve">PFS </w:t>
      </w:r>
      <w:r>
        <w:rPr>
          <w:rFonts w:ascii="Times New Roman" w:hAnsi="Times New Roman" w:cs="Times New Roman"/>
          <w:sz w:val="24"/>
        </w:rPr>
        <w:t>nomogram</w:t>
      </w:r>
      <w:r>
        <w:rPr>
          <w:rFonts w:hint="eastAsia" w:ascii="Times New Roman" w:hAnsi="Times New Roman" w:cs="Times New Roman"/>
          <w:sz w:val="24"/>
        </w:rPr>
        <w:t xml:space="preserve"> at 1, 2, and 3 years</w:t>
      </w:r>
      <w:r>
        <w:rPr>
          <w:rFonts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Abbreviations: overall survival (OS); progression-free survival (PFS)</w:t>
      </w:r>
      <w:r>
        <w:rPr>
          <w:rFonts w:hint="eastAsia" w:ascii="Times New Roman" w:hAnsi="Times New Roman" w:cs="Times New Roman"/>
          <w:sz w:val="24"/>
        </w:rPr>
        <w:t>; albumin (ALB)</w:t>
      </w:r>
      <w:r>
        <w:rPr>
          <w:rFonts w:ascii="Times New Roman" w:hAnsi="Times New Roman" w:cs="Times New Roman"/>
          <w:sz w:val="24"/>
        </w:rPr>
        <w:t>.</w:t>
      </w:r>
    </w:p>
    <w:p w14:paraId="58DD4694">
      <w:pPr>
        <w:jc w:val="center"/>
        <w:rPr>
          <w:rFonts w:hint="eastAsia" w:ascii="Times New Roman" w:hAnsi="Times New Roman" w:cs="Times New Roman" w:eastAsiaTheme="minorEastAsia"/>
          <w:b/>
          <w:bCs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lang w:eastAsia="zh-CN"/>
        </w:rPr>
        <w:drawing>
          <wp:inline distT="0" distB="0" distL="114300" distR="114300">
            <wp:extent cx="3662045" cy="5464810"/>
            <wp:effectExtent l="0" t="0" r="8255" b="8890"/>
            <wp:docPr id="2" name="图片 2" descr="Figure S3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3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62045" cy="546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99321">
      <w:pPr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 xml:space="preserve">Figure S3 </w:t>
      </w:r>
      <w:r>
        <w:rPr>
          <w:rFonts w:ascii="Times New Roman" w:hAnsi="Times New Roman" w:cs="Times New Roman"/>
          <w:b/>
          <w:bCs/>
          <w:sz w:val="24"/>
        </w:rPr>
        <w:t xml:space="preserve">Molecular and </w:t>
      </w:r>
      <w:r>
        <w:rPr>
          <w:rFonts w:hint="eastAsia" w:ascii="Times New Roman" w:hAnsi="Times New Roman" w:cs="Times New Roman"/>
          <w:b/>
          <w:bCs/>
          <w:sz w:val="24"/>
        </w:rPr>
        <w:t>f</w:t>
      </w:r>
      <w:r>
        <w:rPr>
          <w:rFonts w:ascii="Times New Roman" w:hAnsi="Times New Roman" w:cs="Times New Roman"/>
          <w:b/>
          <w:bCs/>
          <w:sz w:val="24"/>
        </w:rPr>
        <w:t xml:space="preserve">unctional </w:t>
      </w:r>
      <w:r>
        <w:rPr>
          <w:rFonts w:hint="eastAsia"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b/>
          <w:bCs/>
          <w:sz w:val="24"/>
        </w:rPr>
        <w:t xml:space="preserve">nalyses of DKC1 </w:t>
      </w:r>
      <w:r>
        <w:rPr>
          <w:rFonts w:hint="eastAsia" w:ascii="Times New Roman" w:hAnsi="Times New Roman" w:cs="Times New Roman"/>
          <w:b/>
          <w:bCs/>
          <w:sz w:val="24"/>
        </w:rPr>
        <w:t>e</w:t>
      </w:r>
      <w:r>
        <w:rPr>
          <w:rFonts w:ascii="Times New Roman" w:hAnsi="Times New Roman" w:cs="Times New Roman"/>
          <w:b/>
          <w:bCs/>
          <w:sz w:val="24"/>
        </w:rPr>
        <w:t>xpression in MM Cell</w:t>
      </w:r>
      <w:r>
        <w:rPr>
          <w:rFonts w:hint="eastAsia" w:ascii="Times New Roman" w:hAnsi="Times New Roman" w:cs="Times New Roman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 xml:space="preserve"> and PF </w:t>
      </w:r>
      <w:r>
        <w:rPr>
          <w:rFonts w:hint="eastAsia" w:ascii="Times New Roman" w:hAnsi="Times New Roman" w:cs="Times New Roman"/>
          <w:b/>
          <w:bCs/>
          <w:sz w:val="24"/>
        </w:rPr>
        <w:t>t</w:t>
      </w:r>
      <w:r>
        <w:rPr>
          <w:rFonts w:ascii="Times New Roman" w:hAnsi="Times New Roman" w:cs="Times New Roman"/>
          <w:b/>
          <w:bCs/>
          <w:sz w:val="24"/>
        </w:rPr>
        <w:t xml:space="preserve">reatment on PBMCs from </w:t>
      </w:r>
      <w:r>
        <w:rPr>
          <w:rFonts w:hint="eastAsia" w:ascii="Times New Roman" w:hAnsi="Times New Roman" w:cs="Times New Roman"/>
          <w:b/>
          <w:bCs/>
          <w:sz w:val="24"/>
        </w:rPr>
        <w:t xml:space="preserve">MM </w:t>
      </w:r>
      <w:r>
        <w:rPr>
          <w:rFonts w:ascii="Times New Roman" w:hAnsi="Times New Roman" w:cs="Times New Roman"/>
          <w:b/>
          <w:bCs/>
          <w:sz w:val="24"/>
        </w:rPr>
        <w:t>patients.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A</w:t>
      </w:r>
      <w:r>
        <w:rPr>
          <w:rFonts w:hint="eastAsia" w:ascii="Times New Roman" w:hAnsi="Times New Roman" w:cs="Times New Roman"/>
          <w:sz w:val="24"/>
        </w:rPr>
        <w:t xml:space="preserve"> RT-qPCR and Western blot validation of DKC1 knockdown and overexpression in MM cell line</w:t>
      </w:r>
      <w:r>
        <w:rPr>
          <w:rFonts w:ascii="Times New Roman" w:hAnsi="Times New Roman" w:cs="Times New Roman"/>
          <w:sz w:val="24"/>
        </w:rPr>
        <w:t>s.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</w:rPr>
        <w:t>B</w:t>
      </w:r>
      <w:r>
        <w:rPr>
          <w:rFonts w:hint="eastAsia" w:ascii="Times New Roman" w:hAnsi="Times New Roman" w:cs="Times New Roman"/>
          <w:sz w:val="24"/>
        </w:rPr>
        <w:t xml:space="preserve"> Cell cycle distribution after DKC1 knockdown or overexpression, using flow cytometry. ** and * in the top panel indicate </w:t>
      </w:r>
      <w:r>
        <w:rPr>
          <w:rFonts w:hint="eastAsia" w:ascii="Times New Roman" w:hAnsi="Times New Roman" w:cs="Times New Roman"/>
          <w:i/>
          <w:iCs/>
          <w:sz w:val="24"/>
        </w:rPr>
        <w:t>P</w:t>
      </w:r>
      <w:r>
        <w:rPr>
          <w:rFonts w:hint="eastAsia" w:ascii="Times New Roman" w:hAnsi="Times New Roman" w:cs="Times New Roman"/>
          <w:sz w:val="24"/>
        </w:rPr>
        <w:t xml:space="preserve"> = 0.0018 and </w:t>
      </w:r>
      <w:r>
        <w:rPr>
          <w:rFonts w:hint="eastAsia" w:ascii="Times New Roman" w:hAnsi="Times New Roman" w:cs="Times New Roman"/>
          <w:i/>
          <w:iCs/>
          <w:sz w:val="24"/>
        </w:rPr>
        <w:t>P</w:t>
      </w:r>
      <w:r>
        <w:rPr>
          <w:rFonts w:hint="eastAsia" w:ascii="Times New Roman" w:hAnsi="Times New Roman" w:cs="Times New Roman"/>
          <w:sz w:val="24"/>
        </w:rPr>
        <w:t xml:space="preserve"> = 0.0354 at the S and G0/G1 phases, respectively; * and * in the middle panel denote </w:t>
      </w:r>
      <w:r>
        <w:rPr>
          <w:rFonts w:hint="eastAsia" w:ascii="Times New Roman" w:hAnsi="Times New Roman" w:cs="Times New Roman"/>
          <w:i/>
          <w:iCs/>
          <w:sz w:val="24"/>
        </w:rPr>
        <w:t>P</w:t>
      </w:r>
      <w:r>
        <w:rPr>
          <w:rFonts w:hint="eastAsia" w:ascii="Times New Roman" w:hAnsi="Times New Roman" w:cs="Times New Roman"/>
          <w:sz w:val="24"/>
        </w:rPr>
        <w:t xml:space="preserve"> = 0.0163 and</w:t>
      </w:r>
      <w:r>
        <w:rPr>
          <w:rFonts w:hint="eastAsia" w:ascii="Times New Roman" w:hAnsi="Times New Roman" w:cs="Times New Roman"/>
          <w:i/>
          <w:iCs/>
          <w:sz w:val="24"/>
        </w:rPr>
        <w:t xml:space="preserve"> P</w:t>
      </w:r>
      <w:r>
        <w:rPr>
          <w:rFonts w:hint="eastAsia" w:ascii="Times New Roman" w:hAnsi="Times New Roman" w:cs="Times New Roman"/>
          <w:sz w:val="24"/>
        </w:rPr>
        <w:t xml:space="preserve"> = 0.0264 at the S and G0/G1 phases, respectively; and ** and ** in the bottom panel correspond to </w:t>
      </w:r>
      <w:r>
        <w:rPr>
          <w:rFonts w:hint="eastAsia" w:ascii="Times New Roman" w:hAnsi="Times New Roman" w:cs="Times New Roman"/>
          <w:i/>
          <w:iCs/>
          <w:sz w:val="24"/>
        </w:rPr>
        <w:t>P</w:t>
      </w:r>
      <w:r>
        <w:rPr>
          <w:rFonts w:hint="eastAsia" w:ascii="Times New Roman" w:hAnsi="Times New Roman" w:cs="Times New Roman"/>
          <w:sz w:val="24"/>
        </w:rPr>
        <w:t xml:space="preserve"> = 0.0034 and </w:t>
      </w:r>
      <w:r>
        <w:rPr>
          <w:rFonts w:hint="eastAsia" w:ascii="Times New Roman" w:hAnsi="Times New Roman" w:cs="Times New Roman"/>
          <w:i/>
          <w:iCs/>
          <w:sz w:val="24"/>
        </w:rPr>
        <w:t>P</w:t>
      </w:r>
      <w:r>
        <w:rPr>
          <w:rFonts w:hint="eastAsia" w:ascii="Times New Roman" w:hAnsi="Times New Roman" w:cs="Times New Roman"/>
          <w:sz w:val="24"/>
        </w:rPr>
        <w:t xml:space="preserve"> = 0.0026 at the S and G2/M phases, respectively. </w:t>
      </w:r>
      <w:r>
        <w:rPr>
          <w:rFonts w:hint="eastAsia" w:ascii="Times New Roman" w:hAnsi="Times New Roman" w:cs="Times New Roman"/>
          <w:b/>
          <w:bCs/>
          <w:sz w:val="24"/>
        </w:rPr>
        <w:t xml:space="preserve">C </w:t>
      </w:r>
      <w:r>
        <w:rPr>
          <w:rFonts w:ascii="Times New Roman" w:hAnsi="Times New Roman" w:cs="Times New Roman"/>
          <w:sz w:val="24"/>
        </w:rPr>
        <w:t>Representative Western blots showing expression levels of the protein Bcl-2 and Bax. β-</w:t>
      </w:r>
      <w:r>
        <w:rPr>
          <w:rFonts w:hint="eastAsia"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ctin was used as a loading control. Quantification of band intensities normalized to β-</w:t>
      </w:r>
      <w:r>
        <w:rPr>
          <w:rFonts w:hint="eastAsia"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ctin is shown alongside</w:t>
      </w:r>
      <w:r>
        <w:rPr>
          <w:rFonts w:hint="eastAsia" w:ascii="Times New Roman" w:hAnsi="Times New Roman" w:cs="Times New Roman"/>
          <w:sz w:val="24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</w:rPr>
        <w:t>D</w:t>
      </w:r>
      <w:r>
        <w:rPr>
          <w:rFonts w:hint="eastAsia" w:ascii="Times New Roman" w:hAnsi="Times New Roman" w:cs="Times New Roman"/>
          <w:sz w:val="24"/>
        </w:rPr>
        <w:t xml:space="preserve"> Apoptosis analysis of PBMCs after PF treatment for 24, 48, and 72 h. </w:t>
      </w:r>
      <w:r>
        <w:rPr>
          <w:rFonts w:hint="eastAsia" w:ascii="Times New Roman" w:hAnsi="Times New Roman" w:cs="Times New Roman"/>
          <w:b/>
          <w:bCs/>
          <w:sz w:val="24"/>
        </w:rPr>
        <w:t>E</w:t>
      </w:r>
      <w:r>
        <w:rPr>
          <w:rFonts w:hint="eastAsia" w:ascii="Times New Roman" w:hAnsi="Times New Roman" w:cs="Times New Roman"/>
          <w:sz w:val="24"/>
        </w:rPr>
        <w:t xml:space="preserve"> Transwell invasion assay of DKC1 knockdown and overexpression cells versus their respective controls </w:t>
      </w:r>
      <w:r>
        <w:rPr>
          <w:rFonts w:ascii="Times New Roman" w:hAnsi="Times New Roman" w:cs="Times New Roman"/>
          <w:sz w:val="24"/>
        </w:rPr>
        <w:t xml:space="preserve">(scale bar = </w:t>
      </w:r>
      <w:r>
        <w:rPr>
          <w:rFonts w:hint="eastAsia"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0 µm).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Arrows indicate purple invading cells. 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Data are presented as m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ean ± SD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from three independent experiments, each with three technical replicates (wells) for qPCR. </w:t>
      </w:r>
      <w:r>
        <w:rPr>
          <w:rFonts w:ascii="Times New Roman" w:hAnsi="Times New Roman" w:cs="Times New Roman"/>
          <w:sz w:val="24"/>
        </w:rPr>
        <w:t>Abbreviations:</w:t>
      </w:r>
      <w:r>
        <w:rPr>
          <w:rFonts w:hint="eastAsia" w:ascii="Times New Roman" w:hAnsi="Times New Roman" w:cs="Times New Roman"/>
          <w:sz w:val="24"/>
        </w:rPr>
        <w:t xml:space="preserve"> pyrazofurin (PF); </w:t>
      </w:r>
      <w:r>
        <w:rPr>
          <w:rFonts w:ascii="Times New Roman" w:hAnsi="Times New Roman" w:cs="Times New Roman"/>
          <w:sz w:val="24"/>
        </w:rPr>
        <w:t xml:space="preserve">Peripheral </w:t>
      </w:r>
      <w:r>
        <w:rPr>
          <w:rFonts w:hint="eastAsia" w:ascii="Times New Roman" w:hAnsi="Times New Roman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lood </w:t>
      </w:r>
      <w:r>
        <w:rPr>
          <w:rFonts w:hint="eastAsia"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 xml:space="preserve">ononuclear </w:t>
      </w:r>
      <w:r>
        <w:rPr>
          <w:rFonts w:hint="eastAsia" w:ascii="Times New Roman" w:hAnsi="Times New Roman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>ells (PBMCs)</w:t>
      </w:r>
      <w:r>
        <w:rPr>
          <w:rFonts w:hint="eastAsia" w:ascii="Times New Roman" w:hAnsi="Times New Roman" w:cs="Times New Roman"/>
          <w:sz w:val="24"/>
        </w:rPr>
        <w:t>.</w:t>
      </w:r>
    </w:p>
    <w:p w14:paraId="0ABE1A08">
      <w:pPr>
        <w:jc w:val="center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lang w:eastAsia="zh-CN"/>
        </w:rPr>
        <w:drawing>
          <wp:inline distT="0" distB="0" distL="114300" distR="114300">
            <wp:extent cx="5268595" cy="1924050"/>
            <wp:effectExtent l="0" t="0" r="1905" b="6350"/>
            <wp:docPr id="3" name="图片 3" descr="Figure S4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4_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94B7F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Figure S4</w:t>
      </w:r>
      <w:r>
        <w:rPr>
          <w:rFonts w:ascii="Times New Roman" w:hAnsi="Times New Roman" w:eastAsia="宋体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IHC staining of CD68 and Ly6G in </w:t>
      </w:r>
      <w:r>
        <w:rPr>
          <w:rFonts w:hint="eastAsia" w:ascii="Times New Roman" w:hAnsi="Times New Roman" w:eastAsia="宋体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Vehicle and PF groups</w:t>
      </w:r>
      <w:r>
        <w:rPr>
          <w:rFonts w:ascii="Times New Roman" w:hAnsi="Times New Roman" w:eastAsia="宋体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A,B Ly6G staining (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) and CD68 staining (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) in Vehicle and PF groups at 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×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20 (scale bar = 100 µm) and 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×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40 (scale bar = 50 µm) magnification. Data were obtained from 3 mice per group.</w:t>
      </w:r>
    </w:p>
    <w:p w14:paraId="2BD20F85">
      <w:pPr>
        <w:rPr>
          <w:rFonts w:ascii="Times New Roman" w:hAnsi="Times New Roman" w:cs="Times New Roman"/>
          <w:b/>
          <w:bCs/>
          <w:sz w:val="24"/>
        </w:rPr>
      </w:pPr>
    </w:p>
    <w:p w14:paraId="34AA26A0">
      <w:pPr>
        <w:rPr>
          <w:rFonts w:hint="eastAsia" w:ascii="Times New Roman" w:hAnsi="Times New Roman" w:eastAsia="宋体" w:cs="Times New Roman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lang w:eastAsia="zh-CN"/>
        </w:rPr>
        <w:drawing>
          <wp:inline distT="0" distB="0" distL="114300" distR="114300">
            <wp:extent cx="5268595" cy="1242060"/>
            <wp:effectExtent l="0" t="0" r="1905" b="2540"/>
            <wp:docPr id="4" name="图片 4" descr="Figure S5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5_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8A2A3">
      <w:pPr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Figure S</w:t>
      </w:r>
      <w:r>
        <w:rPr>
          <w:rFonts w:hint="eastAsia" w:ascii="Times New Roman" w:hAnsi="Times New Roman" w:eastAsia="宋体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cs="Times New Roman"/>
          <w:b/>
          <w:bCs/>
          <w:sz w:val="24"/>
        </w:rPr>
        <w:t xml:space="preserve"> H&amp;E-staining demonstrat</w:t>
      </w:r>
      <w:r>
        <w:rPr>
          <w:rFonts w:hint="eastAsia" w:ascii="Times New Roman" w:hAnsi="Times New Roman" w:cs="Times New Roman"/>
          <w:b/>
          <w:bCs/>
          <w:sz w:val="24"/>
        </w:rPr>
        <w:t>ing</w:t>
      </w:r>
      <w:r>
        <w:rPr>
          <w:rFonts w:ascii="Times New Roman" w:hAnsi="Times New Roman" w:cs="Times New Roman"/>
          <w:b/>
          <w:bCs/>
          <w:sz w:val="24"/>
        </w:rPr>
        <w:t xml:space="preserve"> that pyrazofurin (PF) treatment </w:t>
      </w:r>
      <w:r>
        <w:rPr>
          <w:rFonts w:hint="eastAsia" w:ascii="Times New Roman" w:hAnsi="Times New Roman" w:cs="Times New Roman"/>
          <w:b/>
          <w:bCs/>
          <w:sz w:val="24"/>
        </w:rPr>
        <w:t>does</w:t>
      </w:r>
      <w:r>
        <w:rPr>
          <w:rFonts w:ascii="Times New Roman" w:hAnsi="Times New Roman" w:cs="Times New Roman"/>
          <w:b/>
          <w:bCs/>
          <w:sz w:val="24"/>
        </w:rPr>
        <w:t xml:space="preserve"> not cause damage to the internal organs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(heart, liver, spleen, lung, kidney, and intestine)</w:t>
      </w:r>
      <w:r>
        <w:rPr>
          <w:rFonts w:ascii="Times New Roman" w:hAnsi="Times New Roman" w:cs="Times New Roman"/>
          <w:b/>
          <w:bCs/>
          <w:sz w:val="24"/>
        </w:rPr>
        <w:t xml:space="preserve"> of mice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 xml:space="preserve">(scale bar = </w:t>
      </w:r>
      <w:r>
        <w:rPr>
          <w:rFonts w:hint="eastAsia" w:ascii="Times New Roman" w:hAnsi="Times New Roman" w:cs="Times New Roman"/>
          <w:b/>
          <w:bCs/>
          <w:sz w:val="24"/>
        </w:rPr>
        <w:t>50</w:t>
      </w:r>
      <w:r>
        <w:rPr>
          <w:rFonts w:ascii="Times New Roman" w:hAnsi="Times New Roman" w:cs="Times New Roman"/>
          <w:b/>
          <w:bCs/>
          <w:sz w:val="24"/>
        </w:rPr>
        <w:t> µm</w:t>
      </w:r>
      <w:r>
        <w:rPr>
          <w:rFonts w:hint="eastAsia" w:ascii="Times New Roman" w:hAnsi="Times New Roman" w:cs="Times New Roman"/>
          <w:b/>
          <w:bCs/>
          <w:sz w:val="24"/>
        </w:rPr>
        <w:t>)</w:t>
      </w:r>
      <w:r>
        <w:rPr>
          <w:rFonts w:ascii="Times New Roman" w:hAnsi="Times New Roman" w:cs="Times New Roman"/>
          <w:b/>
          <w:bCs/>
          <w:sz w:val="24"/>
        </w:rPr>
        <w:t>.</w:t>
      </w:r>
    </w:p>
    <w:p w14:paraId="40A4313D">
      <w:pPr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drawing>
          <wp:inline distT="0" distB="0" distL="114300" distR="114300">
            <wp:extent cx="4714875" cy="4437380"/>
            <wp:effectExtent l="0" t="0" r="9525" b="7620"/>
            <wp:docPr id="9" name="图片 9" descr="kegg3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kegg3_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43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1CBE5">
      <w:pPr>
        <w:rPr>
          <w:rFonts w:ascii="Times New Roman" w:hAnsi="Times New Roman" w:eastAsia="宋体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Figure S6 KEGG pathway analysis identifying downregulated and upregulated pathways.</w:t>
      </w:r>
    </w:p>
    <w:p w14:paraId="3DF80F1F">
      <w:pPr>
        <w:rPr>
          <w:rFonts w:ascii="Times New Roman" w:hAnsi="Times New Roman" w:cs="Times New Roman"/>
          <w:b/>
          <w:bCs/>
          <w:sz w:val="24"/>
        </w:rPr>
      </w:pPr>
    </w:p>
    <w:p w14:paraId="7068E6B6">
      <w:pPr>
        <w:tabs>
          <w:tab w:val="left" w:pos="1890"/>
        </w:tabs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sz w:val="24"/>
        </w:rPr>
        <w:drawing>
          <wp:inline distT="0" distB="0" distL="114300" distR="114300">
            <wp:extent cx="5273040" cy="2007235"/>
            <wp:effectExtent l="0" t="0" r="10160" b="12065"/>
            <wp:docPr id="5" name="图片 5" descr="alphaflod3预测结合位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alphaflod3预测结合位点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0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</w:rPr>
        <w:t>Figure S</w:t>
      </w:r>
      <w:r>
        <w:rPr>
          <w:rFonts w:hint="eastAsia" w:ascii="Times New Roman" w:hAnsi="Times New Roman" w:eastAsia="宋体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Predicted potential interaction sites between DKC1 and ATF5 mRNA based on AlphaFold3.   </w:t>
      </w:r>
    </w:p>
    <w:p w14:paraId="0367B4C7">
      <w:pPr>
        <w:rPr>
          <w:rFonts w:ascii="Times New Roman" w:hAnsi="Times New Roman" w:eastAsia="宋体" w:cs="Times New Roman"/>
          <w:sz w:val="24"/>
        </w:rPr>
      </w:pPr>
      <w:bookmarkStart w:id="12" w:name="_GoBack"/>
      <w:r>
        <w:rPr>
          <w:rFonts w:hint="eastAsia" w:ascii="Times New Roman" w:hAnsi="Times New Roman" w:eastAsia="宋体" w:cs="Times New Roman"/>
          <w:b/>
          <w:bCs/>
          <w:sz w:val="24"/>
        </w:rPr>
        <w:drawing>
          <wp:inline distT="0" distB="0" distL="114300" distR="114300">
            <wp:extent cx="5268595" cy="6996430"/>
            <wp:effectExtent l="0" t="0" r="1905" b="1270"/>
            <wp:docPr id="10" name="图片 10" descr="Figure S8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ure S8_0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99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"/>
      <w:r>
        <w:rPr>
          <w:rFonts w:hint="eastAsia" w:ascii="Times New Roman" w:hAnsi="Times New Roman" w:eastAsia="宋体" w:cs="Times New Roman"/>
          <w:b/>
          <w:bCs/>
          <w:sz w:val="24"/>
        </w:rPr>
        <w:t>Figure S</w:t>
      </w:r>
      <w:r>
        <w:rPr>
          <w:rFonts w:hint="eastAsia" w:ascii="Times New Roman" w:hAnsi="Times New Roman" w:eastAsia="宋体" w:cs="Times New Roman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Times New Roman" w:hAnsi="Times New Roman" w:eastAsia="宋体" w:cs="Times New Roman"/>
          <w:b/>
          <w:bCs/>
          <w:sz w:val="24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4"/>
        </w:rPr>
        <w:t>Ψ s</w:t>
      </w:r>
      <w:r>
        <w:rPr>
          <w:rFonts w:hint="eastAsia" w:ascii="Times New Roman" w:hAnsi="Times New Roman" w:eastAsia="宋体" w:cs="Times New Roman"/>
          <w:b/>
          <w:bCs/>
          <w:sz w:val="24"/>
        </w:rPr>
        <w:t>ite detection in MOCK1 and shDKC1 RPMI8226 cells within primer 1, 5, 6, and 7 regions. A-D</w:t>
      </w:r>
      <w:r>
        <w:rPr>
          <w:rFonts w:hint="eastAsia" w:ascii="Times New Roman" w:hAnsi="Times New Roman" w:eastAsia="宋体" w:cs="Times New Roman"/>
          <w:sz w:val="24"/>
        </w:rPr>
        <w:t xml:space="preserve"> Deletion or mutation frequencies at and around positions 404 (</w:t>
      </w:r>
      <w:r>
        <w:rPr>
          <w:rFonts w:hint="eastAsia" w:ascii="Times New Roman" w:hAnsi="Times New Roman" w:eastAsia="宋体" w:cs="Times New Roman"/>
          <w:b/>
          <w:bCs/>
          <w:sz w:val="24"/>
        </w:rPr>
        <w:t>A</w:t>
      </w:r>
      <w:r>
        <w:rPr>
          <w:rFonts w:hint="eastAsia" w:ascii="Times New Roman" w:hAnsi="Times New Roman" w:eastAsia="宋体" w:cs="Times New Roman"/>
          <w:sz w:val="24"/>
        </w:rPr>
        <w:t>, primer 1), 860 (</w:t>
      </w:r>
      <w:r>
        <w:rPr>
          <w:rFonts w:hint="eastAsia" w:ascii="Times New Roman" w:hAnsi="Times New Roman" w:eastAsia="宋体" w:cs="Times New Roman"/>
          <w:b/>
          <w:bCs/>
          <w:sz w:val="24"/>
        </w:rPr>
        <w:t>B</w:t>
      </w:r>
      <w:r>
        <w:rPr>
          <w:rFonts w:hint="eastAsia" w:ascii="Times New Roman" w:hAnsi="Times New Roman" w:eastAsia="宋体" w:cs="Times New Roman"/>
          <w:sz w:val="24"/>
        </w:rPr>
        <w:t>, primer 5), 1096 (</w:t>
      </w:r>
      <w:r>
        <w:rPr>
          <w:rFonts w:hint="eastAsia" w:ascii="Times New Roman" w:hAnsi="Times New Roman" w:eastAsia="宋体" w:cs="Times New Roman"/>
          <w:b/>
          <w:bCs/>
          <w:sz w:val="24"/>
        </w:rPr>
        <w:t>C</w:t>
      </w:r>
      <w:r>
        <w:rPr>
          <w:rFonts w:hint="eastAsia" w:ascii="Times New Roman" w:hAnsi="Times New Roman" w:eastAsia="宋体" w:cs="Times New Roman"/>
          <w:sz w:val="24"/>
        </w:rPr>
        <w:t>, primer 6), and 1190 (</w:t>
      </w:r>
      <w:r>
        <w:rPr>
          <w:rFonts w:hint="eastAsia" w:ascii="Times New Roman" w:hAnsi="Times New Roman" w:eastAsia="宋体" w:cs="Times New Roman"/>
          <w:b/>
          <w:bCs/>
          <w:sz w:val="24"/>
        </w:rPr>
        <w:t>D</w:t>
      </w:r>
      <w:r>
        <w:rPr>
          <w:rFonts w:hint="eastAsia" w:ascii="Times New Roman" w:hAnsi="Times New Roman" w:eastAsia="宋体" w:cs="Times New Roman"/>
          <w:sz w:val="24"/>
        </w:rPr>
        <w:t>, primer 7) in MOCK1 and shDKC1 cells. Abbreviations: pseudouridine (</w:t>
      </w:r>
      <w:r>
        <w:rPr>
          <w:rFonts w:ascii="Times New Roman" w:hAnsi="Times New Roman" w:eastAsia="宋体" w:cs="Times New Roman"/>
          <w:sz w:val="24"/>
        </w:rPr>
        <w:t>Ψ</w:t>
      </w:r>
      <w:r>
        <w:rPr>
          <w:rFonts w:hint="eastAsia" w:ascii="Times New Roman" w:hAnsi="Times New Roman" w:eastAsia="宋体" w:cs="Times New Roman"/>
          <w:sz w:val="24"/>
        </w:rPr>
        <w:t>); N-cyclohexyl-N'-(2-morpholinoethyl) carbodiimide (CMC).</w:t>
      </w:r>
    </w:p>
    <w:p w14:paraId="3C8EF60F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drawing>
          <wp:inline distT="0" distB="0" distL="114300" distR="114300">
            <wp:extent cx="5272405" cy="5473700"/>
            <wp:effectExtent l="0" t="0" r="10795" b="0"/>
            <wp:docPr id="8" name="图片 8" descr="Figure S6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 S6_0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47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26707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sz w:val="24"/>
        </w:rPr>
        <w:t xml:space="preserve">Figure S9 </w:t>
      </w:r>
      <w:r>
        <w:rPr>
          <w:rFonts w:ascii="Times New Roman" w:hAnsi="Times New Roman" w:cs="Times New Roman"/>
          <w:b/>
          <w:bCs/>
          <w:sz w:val="24"/>
        </w:rPr>
        <w:t>Western blot analysis of B</w:t>
      </w:r>
      <w:r>
        <w:rPr>
          <w:rFonts w:hint="eastAsia" w:ascii="Times New Roman" w:hAnsi="Times New Roman" w:cs="Times New Roman"/>
          <w:b/>
          <w:bCs/>
          <w:sz w:val="24"/>
        </w:rPr>
        <w:t>cl-2</w:t>
      </w:r>
      <w:r>
        <w:rPr>
          <w:rFonts w:ascii="Times New Roman" w:hAnsi="Times New Roman" w:cs="Times New Roman"/>
          <w:b/>
          <w:bCs/>
          <w:sz w:val="24"/>
        </w:rPr>
        <w:t xml:space="preserve"> and B</w:t>
      </w:r>
      <w:r>
        <w:rPr>
          <w:rFonts w:hint="eastAsia" w:ascii="Times New Roman" w:hAnsi="Times New Roman" w:cs="Times New Roman"/>
          <w:b/>
          <w:bCs/>
          <w:sz w:val="24"/>
        </w:rPr>
        <w:t>ax</w:t>
      </w:r>
      <w:r>
        <w:rPr>
          <w:rFonts w:ascii="Times New Roman" w:hAnsi="Times New Roman" w:cs="Times New Roman"/>
          <w:b/>
          <w:bCs/>
          <w:sz w:val="24"/>
        </w:rPr>
        <w:t xml:space="preserve"> protein expression levels </w:t>
      </w:r>
      <w:r>
        <w:rPr>
          <w:rFonts w:hint="eastAsia" w:ascii="Times New Roman" w:hAnsi="Times New Roman" w:cs="Times New Roman"/>
          <w:b/>
          <w:bCs/>
          <w:sz w:val="24"/>
        </w:rPr>
        <w:t xml:space="preserve">in RPMI8226 and MM.1S cells </w:t>
      </w:r>
      <w:r>
        <w:rPr>
          <w:rFonts w:ascii="Times New Roman" w:hAnsi="Times New Roman" w:cs="Times New Roman"/>
          <w:b/>
          <w:bCs/>
          <w:sz w:val="24"/>
        </w:rPr>
        <w:t>across different groups.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A-F</w:t>
      </w:r>
      <w:r>
        <w:rPr>
          <w:rFonts w:hint="eastAsia" w:ascii="Times New Roman" w:hAnsi="Times New Roman" w:cs="Times New Roman"/>
          <w:sz w:val="24"/>
        </w:rPr>
        <w:t xml:space="preserve"> Expression of Bcl-2 and Bax in RPMI8226 (</w:t>
      </w:r>
      <w:r>
        <w:rPr>
          <w:rFonts w:hint="eastAsia" w:ascii="Times New Roman" w:hAnsi="Times New Roman" w:cs="Times New Roman"/>
          <w:b/>
          <w:bCs/>
          <w:sz w:val="24"/>
        </w:rPr>
        <w:t>A-C</w:t>
      </w:r>
      <w:r>
        <w:rPr>
          <w:rFonts w:hint="eastAsia" w:ascii="Times New Roman" w:hAnsi="Times New Roman" w:cs="Times New Roman"/>
          <w:sz w:val="24"/>
        </w:rPr>
        <w:t>) and MM.1S (</w:t>
      </w:r>
      <w:r>
        <w:rPr>
          <w:rFonts w:hint="eastAsia" w:ascii="Times New Roman" w:hAnsi="Times New Roman" w:cs="Times New Roman"/>
          <w:b/>
          <w:bCs/>
          <w:sz w:val="24"/>
        </w:rPr>
        <w:t>D-F</w:t>
      </w:r>
      <w:r>
        <w:rPr>
          <w:rFonts w:hint="eastAsia" w:ascii="Times New Roman" w:hAnsi="Times New Roman" w:cs="Times New Roman"/>
          <w:sz w:val="24"/>
        </w:rPr>
        <w:t xml:space="preserve">) cells from the MOCK1, shDKC1, and shDKC1+oeATF5 groups, with </w:t>
      </w:r>
      <w:r>
        <w:rPr>
          <w:rFonts w:ascii="Times New Roman" w:hAnsi="Times New Roman" w:cs="Times New Roman"/>
          <w:sz w:val="24"/>
        </w:rPr>
        <w:t>β-actin</w:t>
      </w:r>
      <w:r>
        <w:rPr>
          <w:rFonts w:hint="eastAsia" w:ascii="Times New Roman" w:hAnsi="Times New Roman" w:cs="Times New Roman"/>
          <w:sz w:val="24"/>
        </w:rPr>
        <w:t xml:space="preserve"> as the loading control: (</w:t>
      </w:r>
      <w:r>
        <w:rPr>
          <w:rFonts w:hint="eastAsia" w:ascii="Times New Roman" w:hAnsi="Times New Roman" w:cs="Times New Roman"/>
          <w:b/>
          <w:bCs/>
          <w:sz w:val="24"/>
        </w:rPr>
        <w:t>A, D</w:t>
      </w:r>
      <w:r>
        <w:rPr>
          <w:rFonts w:hint="eastAsia" w:ascii="Times New Roman" w:hAnsi="Times New Roman" w:cs="Times New Roman"/>
          <w:sz w:val="24"/>
        </w:rPr>
        <w:t>) representative western blots; (</w:t>
      </w:r>
      <w:r>
        <w:rPr>
          <w:rFonts w:hint="eastAsia" w:ascii="Times New Roman" w:hAnsi="Times New Roman" w:cs="Times New Roman"/>
          <w:b/>
          <w:bCs/>
          <w:sz w:val="24"/>
        </w:rPr>
        <w:t>B, E</w:t>
      </w:r>
      <w:r>
        <w:rPr>
          <w:rFonts w:hint="eastAsia" w:ascii="Times New Roman" w:hAnsi="Times New Roman" w:cs="Times New Roman"/>
          <w:sz w:val="24"/>
        </w:rPr>
        <w:t>) quantification of Bcl-2; (</w:t>
      </w:r>
      <w:r>
        <w:rPr>
          <w:rFonts w:hint="eastAsia" w:ascii="Times New Roman" w:hAnsi="Times New Roman" w:cs="Times New Roman"/>
          <w:b/>
          <w:bCs/>
          <w:sz w:val="24"/>
        </w:rPr>
        <w:t>C, F</w:t>
      </w:r>
      <w:r>
        <w:rPr>
          <w:rFonts w:hint="eastAsia" w:ascii="Times New Roman" w:hAnsi="Times New Roman" w:cs="Times New Roman"/>
          <w:sz w:val="24"/>
        </w:rPr>
        <w:t xml:space="preserve">) quantification of Bax. </w:t>
      </w:r>
      <w:r>
        <w:rPr>
          <w:rFonts w:hint="eastAsia" w:ascii="Times New Roman" w:hAnsi="Times New Roman" w:cs="Times New Roman"/>
          <w:b/>
          <w:bCs/>
          <w:sz w:val="24"/>
        </w:rPr>
        <w:t>G-I</w:t>
      </w:r>
      <w:r>
        <w:rPr>
          <w:rFonts w:hint="eastAsia" w:ascii="Times New Roman" w:hAnsi="Times New Roman" w:cs="Times New Roman"/>
          <w:sz w:val="24"/>
        </w:rPr>
        <w:t xml:space="preserve"> Expression of Bcl-2 and Bax in RPMI8226 cells from the MOCK2, oeDKC1, and oeDKC1+shATF5 groups, with </w:t>
      </w:r>
      <w:r>
        <w:rPr>
          <w:rFonts w:ascii="Times New Roman" w:hAnsi="Times New Roman" w:cs="Times New Roman"/>
          <w:sz w:val="24"/>
        </w:rPr>
        <w:t>β-actin</w:t>
      </w:r>
      <w:r>
        <w:rPr>
          <w:rFonts w:hint="eastAsia" w:ascii="Times New Roman" w:hAnsi="Times New Roman" w:cs="Times New Roman"/>
          <w:sz w:val="24"/>
        </w:rPr>
        <w:t xml:space="preserve"> as the loading control: (</w:t>
      </w:r>
      <w:r>
        <w:rPr>
          <w:rFonts w:hint="eastAsia" w:ascii="Times New Roman" w:hAnsi="Times New Roman" w:cs="Times New Roman"/>
          <w:b/>
          <w:bCs/>
          <w:sz w:val="24"/>
        </w:rPr>
        <w:t>G</w:t>
      </w:r>
      <w:r>
        <w:rPr>
          <w:rFonts w:hint="eastAsia" w:ascii="Times New Roman" w:hAnsi="Times New Roman" w:cs="Times New Roman"/>
          <w:sz w:val="24"/>
        </w:rPr>
        <w:t>) representative western blots; (</w:t>
      </w:r>
      <w:r>
        <w:rPr>
          <w:rFonts w:hint="eastAsia" w:ascii="Times New Roman" w:hAnsi="Times New Roman" w:cs="Times New Roman"/>
          <w:b/>
          <w:bCs/>
          <w:sz w:val="24"/>
        </w:rPr>
        <w:t>H</w:t>
      </w:r>
      <w:r>
        <w:rPr>
          <w:rFonts w:hint="eastAsia" w:ascii="Times New Roman" w:hAnsi="Times New Roman" w:cs="Times New Roman"/>
          <w:sz w:val="24"/>
        </w:rPr>
        <w:t xml:space="preserve">) 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quantification of Bcl-2; (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I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) quantification of Bax. Data are presented as mea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n ± S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D, 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from 3 independent experiments.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</w:p>
    <w:p w14:paraId="4CB75F9E">
      <w:pPr>
        <w:rPr>
          <w:rFonts w:ascii="Times New Roman" w:hAnsi="Times New Roman" w:cs="Times New Roman"/>
          <w:sz w:val="24"/>
        </w:rPr>
      </w:pPr>
    </w:p>
    <w:p w14:paraId="31DC15B4">
      <w:pPr>
        <w:rPr>
          <w:rFonts w:ascii="Times New Roman" w:hAnsi="Times New Roman" w:cs="Times New Roman"/>
          <w:sz w:val="24"/>
        </w:rPr>
      </w:pPr>
    </w:p>
    <w:p w14:paraId="6339640B">
      <w:pPr>
        <w:rPr>
          <w:rFonts w:ascii="Times New Roman" w:hAnsi="Times New Roman" w:cs="Times New Roman"/>
          <w:sz w:val="24"/>
        </w:rPr>
      </w:pPr>
    </w:p>
    <w:p w14:paraId="2BBFE90B">
      <w:pPr>
        <w:rPr>
          <w:rFonts w:ascii="Times New Roman" w:hAnsi="Times New Roman" w:cs="Times New Roman"/>
          <w:sz w:val="24"/>
        </w:rPr>
      </w:pPr>
    </w:p>
    <w:p w14:paraId="7C5C05D0">
      <w:pPr>
        <w:rPr>
          <w:rFonts w:ascii="Times New Roman" w:hAnsi="Times New Roman" w:cs="Times New Roman"/>
          <w:sz w:val="24"/>
        </w:rPr>
      </w:pPr>
    </w:p>
    <w:p w14:paraId="7157ECF4">
      <w:pPr>
        <w:rPr>
          <w:rFonts w:ascii="Times New Roman" w:hAnsi="Times New Roman" w:cs="Times New Roman"/>
          <w:sz w:val="24"/>
        </w:rPr>
      </w:pPr>
    </w:p>
    <w:p w14:paraId="552A3829">
      <w:pPr>
        <w:rPr>
          <w:rFonts w:ascii="Times New Roman" w:hAnsi="Times New Roman" w:cs="Times New Roman"/>
          <w:sz w:val="24"/>
        </w:rPr>
      </w:pPr>
    </w:p>
    <w:p w14:paraId="4FB96FE9">
      <w:pPr>
        <w:spacing w:line="48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Supp</w:t>
      </w:r>
      <w:r>
        <w:rPr>
          <w:rFonts w:hint="eastAsia" w:ascii="Times New Roman" w:hAnsi="Times New Roman" w:eastAsia="宋体" w:cs="Times New Roman"/>
          <w:sz w:val="24"/>
        </w:rPr>
        <w:t>lementary Tables</w:t>
      </w:r>
    </w:p>
    <w:p w14:paraId="18071085">
      <w:pPr>
        <w:spacing w:line="48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  <w:lang w:bidi="ar"/>
        </w:rPr>
        <w:t>Table S</w:t>
      </w:r>
      <w:r>
        <w:rPr>
          <w:rFonts w:hint="eastAsia" w:ascii="Times New Roman" w:hAnsi="Times New Roman" w:eastAsia="宋体" w:cs="Times New Roman"/>
          <w:sz w:val="24"/>
          <w:lang w:bidi="ar"/>
        </w:rPr>
        <w:t>1</w:t>
      </w:r>
      <w:r>
        <w:rPr>
          <w:rFonts w:ascii="Times New Roman" w:hAnsi="Times New Roman" w:eastAsia="宋体" w:cs="Times New Roman"/>
          <w:sz w:val="24"/>
          <w:lang w:bidi="ar"/>
        </w:rPr>
        <w:t>. Primers for RT-qPCR assays.</w:t>
      </w:r>
    </w:p>
    <w:tbl>
      <w:tblPr>
        <w:tblStyle w:val="7"/>
        <w:tblpPr w:leftFromText="180" w:rightFromText="180" w:vertAnchor="page" w:horzAnchor="page" w:tblpX="1736" w:tblpY="2718"/>
        <w:tblW w:w="9017" w:type="dxa"/>
        <w:tblInd w:w="0" w:type="dxa"/>
        <w:tblBorders>
          <w:top w:val="single" w:color="auto" w:sz="4" w:space="0"/>
          <w:left w:val="none" w:color="auto" w:sz="4" w:space="0"/>
          <w:bottom w:val="singl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3817"/>
        <w:gridCol w:w="3966"/>
      </w:tblGrid>
      <w:tr w14:paraId="7DA3219D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2116D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Gene</w:t>
            </w:r>
          </w:p>
        </w:tc>
        <w:tc>
          <w:tcPr>
            <w:tcW w:w="38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1AC11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Forward Primer (5'→3')</w:t>
            </w:r>
          </w:p>
        </w:tc>
        <w:tc>
          <w:tcPr>
            <w:tcW w:w="396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1246E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Reverse Primer (5'→3')</w:t>
            </w:r>
          </w:p>
        </w:tc>
      </w:tr>
      <w:tr w14:paraId="48F6F7F9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3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64D74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DKC1</w:t>
            </w:r>
          </w:p>
        </w:tc>
        <w:tc>
          <w:tcPr>
            <w:tcW w:w="381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47B45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ATGGCGGATGCGGAAGTAAT</w:t>
            </w:r>
          </w:p>
        </w:tc>
        <w:tc>
          <w:tcPr>
            <w:tcW w:w="396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8156C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CCACTGAGACGTGTCCAACT</w:t>
            </w:r>
          </w:p>
        </w:tc>
      </w:tr>
      <w:tr w14:paraId="0E3A029F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3DE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ATF5</w:t>
            </w:r>
          </w:p>
        </w:tc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C72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CTGGCTCCCTATGAGGTCCTTG</w:t>
            </w:r>
          </w:p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8FC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GAGCTGTGAAATCAACTCGCTC</w:t>
            </w:r>
          </w:p>
        </w:tc>
      </w:tr>
      <w:tr w14:paraId="5EF39805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3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28352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GAPDH</w:t>
            </w:r>
          </w:p>
        </w:tc>
        <w:tc>
          <w:tcPr>
            <w:tcW w:w="381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2F9F5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AACGGATTTGGTCGTATTGGG</w:t>
            </w:r>
          </w:p>
        </w:tc>
        <w:tc>
          <w:tcPr>
            <w:tcW w:w="396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A461D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CCTGGAAGATGGTGATGGGAT</w:t>
            </w:r>
          </w:p>
        </w:tc>
      </w:tr>
    </w:tbl>
    <w:p w14:paraId="421BECA1">
      <w:pPr>
        <w:rPr>
          <w:rFonts w:ascii="Times New Roman" w:hAnsi="Times New Roman" w:cs="Times New Roman"/>
          <w:b/>
          <w:bCs/>
          <w:sz w:val="24"/>
        </w:rPr>
      </w:pPr>
    </w:p>
    <w:p w14:paraId="4451BD25">
      <w:pPr>
        <w:rPr>
          <w:rFonts w:ascii="Times New Roman" w:hAnsi="Times New Roman" w:cs="Times New Roman"/>
          <w:b/>
          <w:bCs/>
          <w:sz w:val="24"/>
        </w:rPr>
      </w:pPr>
    </w:p>
    <w:p w14:paraId="0ED21A6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Table S</w:t>
      </w:r>
      <w:r>
        <w:rPr>
          <w:rFonts w:hint="eastAsia"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>. Primers covering the full-Length coding sequence of ATF5 (7 Pairs) .</w:t>
      </w:r>
    </w:p>
    <w:tbl>
      <w:tblPr>
        <w:tblStyle w:val="7"/>
        <w:tblpPr w:leftFromText="180" w:rightFromText="180" w:vertAnchor="page" w:horzAnchor="page" w:tblpX="1736" w:tblpY="6035"/>
        <w:tblW w:w="8984" w:type="dxa"/>
        <w:tblInd w:w="0" w:type="dxa"/>
        <w:tblBorders>
          <w:top w:val="single" w:color="auto" w:sz="4" w:space="0"/>
          <w:left w:val="none" w:color="auto" w:sz="4" w:space="0"/>
          <w:bottom w:val="singl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3766"/>
        <w:gridCol w:w="4134"/>
      </w:tblGrid>
      <w:tr w14:paraId="1C593942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0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D4C5C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Gene</w:t>
            </w:r>
          </w:p>
        </w:tc>
        <w:tc>
          <w:tcPr>
            <w:tcW w:w="376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593ED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Forward Primer (5'→3')</w:t>
            </w:r>
          </w:p>
        </w:tc>
        <w:tc>
          <w:tcPr>
            <w:tcW w:w="41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71283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Reverse Primer (5'→3')</w:t>
            </w:r>
          </w:p>
        </w:tc>
      </w:tr>
      <w:tr w14:paraId="19503B3C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08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5F664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ATF5-1</w:t>
            </w:r>
          </w:p>
        </w:tc>
        <w:tc>
          <w:tcPr>
            <w:tcW w:w="376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87D66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TCACTCCTGGCGACCCTG</w:t>
            </w:r>
          </w:p>
        </w:tc>
        <w:tc>
          <w:tcPr>
            <w:tcW w:w="413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DC568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AGTTTCCCATAGTCTACGAGCCAT</w:t>
            </w:r>
          </w:p>
        </w:tc>
      </w:tr>
      <w:tr w14:paraId="3A60E7BC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D2A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ATF5-2</w:t>
            </w:r>
          </w:p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75E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GCTGGGATGGCTCGTAGACT</w:t>
            </w:r>
          </w:p>
        </w:tc>
        <w:tc>
          <w:tcPr>
            <w:tcW w:w="4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F2B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TCAACTCGCTCAGTCATCCAG</w:t>
            </w:r>
          </w:p>
        </w:tc>
      </w:tr>
      <w:tr w14:paraId="71BE96FF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6DE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ATF5-3</w:t>
            </w:r>
          </w:p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4BD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TGGCAGGTGATGGCTTCTCT</w:t>
            </w:r>
          </w:p>
        </w:tc>
        <w:tc>
          <w:tcPr>
            <w:tcW w:w="4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523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CCATAGCTTCCAGGTCAGGTG</w:t>
            </w:r>
          </w:p>
        </w:tc>
      </w:tr>
      <w:tr w14:paraId="69A2A73D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39D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ATF5-4</w:t>
            </w:r>
          </w:p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815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CTATGGCCTCCCTCCTCAAG</w:t>
            </w:r>
          </w:p>
        </w:tc>
        <w:tc>
          <w:tcPr>
            <w:tcW w:w="4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4BE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GCCAGCAAGTCCAGAGTATCC</w:t>
            </w:r>
          </w:p>
        </w:tc>
      </w:tr>
      <w:tr w14:paraId="6A53F20F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6B1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ATF5-5</w:t>
            </w:r>
          </w:p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BD8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CCCCTGTCTTGGATACTCTGG</w:t>
            </w:r>
          </w:p>
        </w:tc>
        <w:tc>
          <w:tcPr>
            <w:tcW w:w="4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782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CGAGAAGGTTGAGGTGGAGAA</w:t>
            </w:r>
          </w:p>
        </w:tc>
      </w:tr>
      <w:tr w14:paraId="000CCE56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A15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ATF5-6</w:t>
            </w:r>
          </w:p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5DF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CTACCCACATCCTGCCACCA</w:t>
            </w:r>
          </w:p>
        </w:tc>
        <w:tc>
          <w:tcPr>
            <w:tcW w:w="4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B58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GACTCTGCCCGTTCCTTCAG</w:t>
            </w:r>
          </w:p>
        </w:tc>
      </w:tr>
      <w:tr w14:paraId="4831ADF8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65467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ATF5-7</w:t>
            </w:r>
          </w:p>
        </w:tc>
        <w:tc>
          <w:tcPr>
            <w:tcW w:w="376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F1829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GGAATCGCGAGCTGAAGGAAC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CF5AE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CTGAAGACCAGCCCCCAGAAG</w:t>
            </w:r>
          </w:p>
        </w:tc>
      </w:tr>
    </w:tbl>
    <w:p w14:paraId="34EBCE2C">
      <w:pPr>
        <w:rPr>
          <w:rFonts w:ascii="Times New Roman" w:hAnsi="Times New Roman" w:eastAsia="宋体" w:cs="Times New Roman"/>
          <w:sz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lnNumType w:countBy="1" w:restart="continuous"/>
          <w:cols w:space="425" w:num="1"/>
          <w:docGrid w:type="lines" w:linePitch="312" w:charSpace="0"/>
        </w:sectPr>
      </w:pPr>
    </w:p>
    <w:p w14:paraId="555147F9">
      <w:pP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. Characteristics of MM patients.</w:t>
      </w:r>
    </w:p>
    <w:tbl>
      <w:tblPr>
        <w:tblStyle w:val="7"/>
        <w:tblW w:w="6698" w:type="dxa"/>
        <w:tblInd w:w="135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7"/>
        <w:gridCol w:w="3111"/>
      </w:tblGrid>
      <w:tr w14:paraId="1E621B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35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A42FB11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Characteristics</w:t>
            </w:r>
          </w:p>
        </w:tc>
        <w:tc>
          <w:tcPr>
            <w:tcW w:w="31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6A68C52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Median (range) (N = 10)</w:t>
            </w:r>
          </w:p>
        </w:tc>
      </w:tr>
      <w:tr w14:paraId="75E6FC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358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4B785B3">
            <w:pPr>
              <w:widowControl/>
              <w:jc w:val="left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Age</w:t>
            </w:r>
            <w:r>
              <w:rPr>
                <w:rFonts w:hint="eastAsia"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(years)</w:t>
            </w:r>
          </w:p>
        </w:tc>
        <w:tc>
          <w:tcPr>
            <w:tcW w:w="311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F90ED27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64.5 (50-92.5)</w:t>
            </w:r>
          </w:p>
        </w:tc>
      </w:tr>
      <w:tr w14:paraId="60DAA3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66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488A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Sex</w:t>
            </w:r>
          </w:p>
        </w:tc>
      </w:tr>
      <w:tr w14:paraId="0E6FF8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5916A">
            <w:pPr>
              <w:widowControl/>
              <w:jc w:val="left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Male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8757C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5 (50%)</w:t>
            </w:r>
          </w:p>
        </w:tc>
      </w:tr>
      <w:tr w14:paraId="555D69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BFB09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Female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A933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5 (50%)</w:t>
            </w:r>
          </w:p>
        </w:tc>
      </w:tr>
      <w:tr w14:paraId="4E890E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6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CEEFB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ISS stage</w:t>
            </w:r>
          </w:p>
        </w:tc>
      </w:tr>
      <w:tr w14:paraId="3663F1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756BA">
            <w:pPr>
              <w:widowControl/>
              <w:jc w:val="left"/>
              <w:textAlignment w:val="center"/>
              <w:rPr>
                <w:rFonts w:ascii="Times New Roman" w:hAnsi="Times New Roman" w:eastAsia="宋体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Stage II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71741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3 (30%)</w:t>
            </w:r>
          </w:p>
        </w:tc>
      </w:tr>
      <w:tr w14:paraId="26C516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21ED9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Stage III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63ED5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7 (70%)</w:t>
            </w:r>
          </w:p>
        </w:tc>
      </w:tr>
      <w:tr w14:paraId="3E31F4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33072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White </w:t>
            </w:r>
            <w:r>
              <w:rPr>
                <w:rFonts w:hint="eastAsia" w:ascii="Times New Roman" w:hAnsi="Times New Roman"/>
                <w:kern w:val="0"/>
                <w:sz w:val="24"/>
              </w:rPr>
              <w:t>b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lood </w:t>
            </w:r>
            <w:r>
              <w:rPr>
                <w:rFonts w:hint="eastAsia" w:ascii="Times New Roman" w:hAnsi="Times New Roman"/>
                <w:kern w:val="0"/>
                <w:sz w:val="24"/>
              </w:rPr>
              <w:t>c</w:t>
            </w:r>
            <w:r>
              <w:rPr>
                <w:rFonts w:ascii="Times New Roman" w:hAnsi="Times New Roman"/>
                <w:kern w:val="0"/>
                <w:sz w:val="24"/>
              </w:rPr>
              <w:t>ell</w:t>
            </w:r>
            <w:r>
              <w:rPr>
                <w:rFonts w:hint="eastAsia" w:ascii="Times New Roman" w:hAnsi="Times New Roman"/>
                <w:kern w:val="0"/>
                <w:sz w:val="24"/>
              </w:rPr>
              <w:t xml:space="preserve"> count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×</w:t>
            </w:r>
            <w:r>
              <w:rPr>
                <w:rFonts w:ascii="Times New Roman" w:hAnsi="Times New Roman"/>
                <w:kern w:val="0"/>
                <w:sz w:val="24"/>
              </w:rPr>
              <w:t>10</w:t>
            </w:r>
            <w:r>
              <w:rPr>
                <w:rFonts w:ascii="Times New Roman" w:hAnsi="Times New Roman"/>
                <w:kern w:val="0"/>
                <w:sz w:val="24"/>
                <w:vertAlign w:val="superscript"/>
              </w:rPr>
              <w:t>9</w:t>
            </w:r>
            <w:r>
              <w:rPr>
                <w:rFonts w:ascii="Times New Roman" w:hAnsi="Times New Roman"/>
                <w:kern w:val="0"/>
                <w:sz w:val="24"/>
              </w:rPr>
              <w:t>/L)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68325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6.065 (0.52-18.84)</w:t>
            </w:r>
          </w:p>
        </w:tc>
      </w:tr>
      <w:tr w14:paraId="1296D3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D3548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L</w:t>
            </w:r>
            <w:r>
              <w:rPr>
                <w:rFonts w:ascii="Times New Roman" w:hAnsi="Times New Roman"/>
                <w:kern w:val="0"/>
                <w:sz w:val="24"/>
              </w:rPr>
              <w:t>ymphocyte count (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×</w:t>
            </w:r>
            <w:r>
              <w:rPr>
                <w:rFonts w:ascii="Times New Roman" w:hAnsi="Times New Roman"/>
                <w:kern w:val="0"/>
                <w:sz w:val="24"/>
              </w:rPr>
              <w:t>10</w:t>
            </w:r>
            <w:r>
              <w:rPr>
                <w:rFonts w:ascii="Times New Roman" w:hAnsi="Times New Roman"/>
                <w:kern w:val="0"/>
                <w:sz w:val="24"/>
                <w:vertAlign w:val="superscript"/>
              </w:rPr>
              <w:t>9</w:t>
            </w:r>
            <w:r>
              <w:rPr>
                <w:rFonts w:ascii="Times New Roman" w:hAnsi="Times New Roman"/>
                <w:kern w:val="0"/>
                <w:sz w:val="24"/>
              </w:rPr>
              <w:t>/L)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1C4C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1.515 (0.33-2.88)</w:t>
            </w:r>
          </w:p>
        </w:tc>
      </w:tr>
      <w:tr w14:paraId="4CA91B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CBF1B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Platelet count (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×</w:t>
            </w:r>
            <w:r>
              <w:rPr>
                <w:rFonts w:ascii="Times New Roman" w:hAnsi="Times New Roman"/>
                <w:kern w:val="0"/>
                <w:sz w:val="24"/>
              </w:rPr>
              <w:t>10</w:t>
            </w:r>
            <w:r>
              <w:rPr>
                <w:rFonts w:ascii="Times New Roman" w:hAnsi="Times New Roman"/>
                <w:kern w:val="0"/>
                <w:sz w:val="24"/>
                <w:vertAlign w:val="superscript"/>
              </w:rPr>
              <w:t>9</w:t>
            </w:r>
            <w:r>
              <w:rPr>
                <w:rFonts w:ascii="Times New Roman" w:hAnsi="Times New Roman"/>
                <w:kern w:val="0"/>
                <w:sz w:val="24"/>
              </w:rPr>
              <w:t>/L)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C3563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176.5 (41-231)</w:t>
            </w:r>
          </w:p>
        </w:tc>
      </w:tr>
      <w:tr w14:paraId="2C649C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5D763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Hemoglobin level (g/L)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4B29A">
            <w:pPr>
              <w:widowControl/>
              <w:jc w:val="left"/>
              <w:textAlignment w:val="center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74.5 (57-100)</w:t>
            </w:r>
          </w:p>
        </w:tc>
      </w:tr>
      <w:tr w14:paraId="174706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C43EF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Albumin (g/L)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6F02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34.4 (26.8-43.1)</w:t>
            </w:r>
          </w:p>
        </w:tc>
      </w:tr>
      <w:tr w14:paraId="1D4334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892F0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Beta2-microglobulin (mg/L)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9C47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6.12 (2.35-16.53)</w:t>
            </w:r>
          </w:p>
        </w:tc>
      </w:tr>
      <w:tr w14:paraId="0B06B9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6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42F48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Disease status</w:t>
            </w:r>
          </w:p>
        </w:tc>
      </w:tr>
      <w:tr w14:paraId="6CE179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BF289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N</w:t>
            </w:r>
            <w:r>
              <w:rPr>
                <w:rFonts w:ascii="Times New Roman" w:hAnsi="Times New Roman"/>
                <w:kern w:val="0"/>
                <w:sz w:val="24"/>
              </w:rPr>
              <w:t>ewly diagnosed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421CD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8 (80%)</w:t>
            </w:r>
          </w:p>
        </w:tc>
      </w:tr>
      <w:tr w14:paraId="4DBF3D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58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0FF475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Previously treated</w:t>
            </w:r>
          </w:p>
        </w:tc>
        <w:tc>
          <w:tcPr>
            <w:tcW w:w="311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C61C49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2 (20%)</w:t>
            </w:r>
          </w:p>
        </w:tc>
      </w:tr>
    </w:tbl>
    <w:p w14:paraId="3C9518AC">
      <w:pPr>
        <w:rPr>
          <w:rFonts w:ascii="Times New Roman" w:hAnsi="Times New Roman" w:eastAsia="宋体" w:cs="Times New Roman"/>
          <w:sz w:val="24"/>
        </w:rPr>
        <w:sectPr>
          <w:pgSz w:w="11906" w:h="16838"/>
          <w:pgMar w:top="1440" w:right="1800" w:bottom="1440" w:left="1800" w:header="851" w:footer="992" w:gutter="0"/>
          <w:lnNumType w:countBy="1" w:restart="continuous"/>
          <w:cols w:space="425" w:num="1"/>
          <w:docGrid w:type="lines" w:linePitch="312" w:charSpace="0"/>
        </w:sectPr>
      </w:pPr>
    </w:p>
    <w:p w14:paraId="3EE0643D">
      <w:pPr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Table S4. RT-qPCR cycle threshold (Ct) values obtained with primers targeting the coding sequence region of the ATF5 gene in CMC-treated (CMC+) and untreated (CMC-) groups.</w:t>
      </w:r>
    </w:p>
    <w:tbl>
      <w:tblPr>
        <w:tblStyle w:val="7"/>
        <w:tblpPr w:leftFromText="180" w:rightFromText="180" w:vertAnchor="text" w:horzAnchor="page" w:tblpX="1686" w:tblpY="227"/>
        <w:tblOverlap w:val="never"/>
        <w:tblW w:w="9033" w:type="dxa"/>
        <w:tblInd w:w="0" w:type="dxa"/>
        <w:tblBorders>
          <w:top w:val="single" w:color="auto" w:sz="4" w:space="0"/>
          <w:left w:val="none" w:color="auto" w:sz="4" w:space="0"/>
          <w:bottom w:val="singl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129"/>
        <w:gridCol w:w="1129"/>
        <w:gridCol w:w="1129"/>
        <w:gridCol w:w="1129"/>
        <w:gridCol w:w="1129"/>
        <w:gridCol w:w="1129"/>
        <w:gridCol w:w="1130"/>
      </w:tblGrid>
      <w:tr w14:paraId="6DFE66EF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112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1724543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Groups</w:t>
            </w:r>
          </w:p>
        </w:tc>
        <w:tc>
          <w:tcPr>
            <w:tcW w:w="112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7D7F1A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Primer 1</w:t>
            </w:r>
          </w:p>
          <w:p w14:paraId="125E9D7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Region: 382-467</w:t>
            </w:r>
          </w:p>
          <w:p w14:paraId="52CB932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6D83BF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Primer 2</w:t>
            </w:r>
          </w:p>
          <w:p w14:paraId="108170E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Region: 438-593</w:t>
            </w:r>
          </w:p>
          <w:p w14:paraId="50D56FF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736127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Primer 3</w:t>
            </w:r>
          </w:p>
          <w:p w14:paraId="606FBCC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Region: 551-682</w:t>
            </w:r>
          </w:p>
          <w:p w14:paraId="39AA95D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043D1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Primer 4</w:t>
            </w:r>
          </w:p>
          <w:p w14:paraId="24D42D6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Region: 677-866</w:t>
            </w:r>
          </w:p>
          <w:p w14:paraId="7ADF1F1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CB878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Primer 5</w:t>
            </w:r>
          </w:p>
          <w:p w14:paraId="2BE7CA8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Region: 835-965</w:t>
            </w:r>
          </w:p>
          <w:p w14:paraId="7651E8B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F58E95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Primer 6</w:t>
            </w:r>
          </w:p>
          <w:p w14:paraId="50FC0E5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Region: 974-1145</w:t>
            </w:r>
          </w:p>
          <w:p w14:paraId="70BDE1E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F8F9E9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Primer 7</w:t>
            </w:r>
          </w:p>
          <w:p w14:paraId="03C44B6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Region: 1114-1264</w:t>
            </w:r>
          </w:p>
          <w:p w14:paraId="1C8D262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4C96E54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12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3BFCFD1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bookmarkStart w:id="0" w:name="_Hlk204212159"/>
            <w:bookmarkStart w:id="1" w:name="_Hlk204211810"/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CMC+ (</w:t>
            </w:r>
            <w:bookmarkStart w:id="2" w:name="OLE_LINK8"/>
            <w:bookmarkStart w:id="3" w:name="OLE_LINK7"/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Ct value </w:t>
            </w:r>
            <w:bookmarkStart w:id="4" w:name="OLE_LINK2"/>
            <w:bookmarkStart w:id="5" w:name="OLE_LINK1"/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±</w:t>
            </w:r>
            <w:bookmarkEnd w:id="4"/>
            <w:bookmarkEnd w:id="5"/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 SD)</w:t>
            </w:r>
            <w:bookmarkEnd w:id="2"/>
            <w:bookmarkEnd w:id="3"/>
          </w:p>
        </w:tc>
        <w:tc>
          <w:tcPr>
            <w:tcW w:w="112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0945B7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23.458</w:t>
            </w:r>
            <w:bookmarkStart w:id="6" w:name="OLE_LINK14"/>
            <w:bookmarkStart w:id="7" w:name="OLE_LINK13"/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 ± </w:t>
            </w:r>
            <w:bookmarkEnd w:id="6"/>
            <w:bookmarkEnd w:id="7"/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0.015</w:t>
            </w:r>
          </w:p>
        </w:tc>
        <w:tc>
          <w:tcPr>
            <w:tcW w:w="112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685DC9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27.255 ± 0.436</w:t>
            </w:r>
          </w:p>
        </w:tc>
        <w:tc>
          <w:tcPr>
            <w:tcW w:w="112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86B759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32.558 </w:t>
            </w:r>
            <w:bookmarkStart w:id="8" w:name="OLE_LINK4"/>
            <w:bookmarkStart w:id="9" w:name="OLE_LINK3"/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±</w:t>
            </w:r>
            <w:bookmarkEnd w:id="8"/>
            <w:bookmarkEnd w:id="9"/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bidi="ar"/>
              </w:rPr>
              <w:t>0.742</w:t>
            </w:r>
          </w:p>
        </w:tc>
        <w:tc>
          <w:tcPr>
            <w:tcW w:w="112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D8A77F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bidi="ar"/>
              </w:rPr>
              <w:t>35.071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 ±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bidi="ar"/>
              </w:rPr>
              <w:t>0.827</w:t>
            </w:r>
          </w:p>
        </w:tc>
        <w:tc>
          <w:tcPr>
            <w:tcW w:w="112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42950B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bidi="ar"/>
              </w:rPr>
              <w:t>22.690 ± 0.160</w:t>
            </w:r>
          </w:p>
        </w:tc>
        <w:tc>
          <w:tcPr>
            <w:tcW w:w="112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00969DA"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bidi="ar"/>
              </w:rPr>
              <w:t xml:space="preserve">26.389 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± 0.689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42E719E"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bidi="ar"/>
              </w:rPr>
              <w:t>25.728</w:t>
            </w:r>
            <w:bookmarkStart w:id="10" w:name="OLE_LINK5"/>
            <w:bookmarkStart w:id="11" w:name="OLE_LINK6"/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± </w:t>
            </w:r>
            <w:bookmarkEnd w:id="10"/>
            <w:bookmarkEnd w:id="11"/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bidi="ar"/>
              </w:rPr>
              <w:t>0.252</w:t>
            </w:r>
          </w:p>
        </w:tc>
      </w:tr>
      <w:tr w14:paraId="79E424F4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3E9A48ED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CMC- (Ct value ± SD)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3FEC8D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20.655 ± 0.290</w:t>
            </w:r>
          </w:p>
          <w:p w14:paraId="70FE24B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60D48F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25.546 ±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bidi="ar"/>
              </w:rPr>
              <w:t>0.328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559C776B"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bidi="ar"/>
              </w:rPr>
              <w:t xml:space="preserve">33.743 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±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bidi="ar"/>
              </w:rPr>
              <w:t>0.215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6E9E3190"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bidi="ar"/>
              </w:rPr>
              <w:t>34.281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 ± 0.394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45E05E85"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bidi="ar"/>
              </w:rPr>
              <w:t xml:space="preserve">19.305 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± 0.066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4B96DBDF"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bidi="ar"/>
              </w:rPr>
              <w:t xml:space="preserve">22.864 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± 0.064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 w14:paraId="757DE5C1"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bidi="ar"/>
              </w:rPr>
              <w:t xml:space="preserve">20.856 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± 0.106</w:t>
            </w:r>
          </w:p>
        </w:tc>
      </w:tr>
      <w:bookmarkEnd w:id="0"/>
      <w:tr w14:paraId="1FBC68D9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06AB0FB">
            <w:pPr>
              <w:widowControl/>
              <w:spacing w:beforeAutospacing="1" w:afterAutospacing="1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Δ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Ct = Ct (CMC+)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−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 Ct (CMC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−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8146F43">
            <w:pPr>
              <w:jc w:val="center"/>
              <w:rPr>
                <w:rFonts w:ascii="Times New Roman" w:hAnsi="Times New Roman" w:eastAsia="宋体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FF0000"/>
                <w:sz w:val="18"/>
                <w:szCs w:val="18"/>
                <w:lang w:bidi="ar"/>
              </w:rPr>
              <w:t>2.803 ± 0.290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2FD54A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1.709 ± 0.546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BA45E8E"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bidi="ar"/>
              </w:rPr>
              <w:t>-1.185 ± 0.773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BCC6506"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bidi="ar"/>
              </w:rPr>
              <w:t>0.790 ± 0.916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B4C5F57">
            <w:pPr>
              <w:jc w:val="center"/>
              <w:rPr>
                <w:rFonts w:ascii="Times New Roman" w:hAnsi="Times New Roman" w:eastAsia="宋体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FF0000"/>
                <w:sz w:val="18"/>
                <w:szCs w:val="18"/>
                <w:lang w:bidi="ar"/>
              </w:rPr>
              <w:t>3.385 ± 0.173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BF23D03">
            <w:pPr>
              <w:jc w:val="center"/>
              <w:rPr>
                <w:rFonts w:ascii="Times New Roman" w:hAnsi="Times New Roman" w:eastAsia="宋体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FF0000"/>
                <w:sz w:val="18"/>
                <w:szCs w:val="18"/>
                <w:lang w:bidi="ar"/>
              </w:rPr>
              <w:t>3.525 ± 0.691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71B5C9A">
            <w:pPr>
              <w:jc w:val="center"/>
              <w:rPr>
                <w:rFonts w:ascii="Times New Roman" w:hAnsi="Times New Roman" w:eastAsia="宋体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FF0000"/>
                <w:sz w:val="18"/>
                <w:szCs w:val="18"/>
                <w:lang w:bidi="ar"/>
              </w:rPr>
              <w:t>4.872 ± 0.273</w:t>
            </w:r>
          </w:p>
        </w:tc>
      </w:tr>
      <w:bookmarkEnd w:id="1"/>
    </w:tbl>
    <w:p w14:paraId="1A0F0BB3">
      <w:pPr>
        <w:rPr>
          <w:rFonts w:ascii="Times New Roman" w:hAnsi="Times New Roman" w:eastAsia="宋体" w:cs="Times New Roman"/>
          <w:sz w:val="24"/>
        </w:rPr>
      </w:pP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9A8C1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E7464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66C/ssAgAAV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nroL+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E7464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172A27"/>
    <w:rsid w:val="00172A27"/>
    <w:rsid w:val="00311DB5"/>
    <w:rsid w:val="003136EB"/>
    <w:rsid w:val="00421349"/>
    <w:rsid w:val="004E1885"/>
    <w:rsid w:val="005B67E4"/>
    <w:rsid w:val="005F5506"/>
    <w:rsid w:val="00AC2145"/>
    <w:rsid w:val="00B647F8"/>
    <w:rsid w:val="00BB2259"/>
    <w:rsid w:val="00BB5894"/>
    <w:rsid w:val="00D621BF"/>
    <w:rsid w:val="00E30380"/>
    <w:rsid w:val="00F15A39"/>
    <w:rsid w:val="024F089F"/>
    <w:rsid w:val="054D62FE"/>
    <w:rsid w:val="059A161B"/>
    <w:rsid w:val="07486CD3"/>
    <w:rsid w:val="07DC3CC7"/>
    <w:rsid w:val="07E52590"/>
    <w:rsid w:val="0CB95DA3"/>
    <w:rsid w:val="0DC110CC"/>
    <w:rsid w:val="0E2A646C"/>
    <w:rsid w:val="0FF33FF2"/>
    <w:rsid w:val="11386E78"/>
    <w:rsid w:val="126A3332"/>
    <w:rsid w:val="12BA662B"/>
    <w:rsid w:val="134C4849"/>
    <w:rsid w:val="14F05E5F"/>
    <w:rsid w:val="178F10EE"/>
    <w:rsid w:val="18574301"/>
    <w:rsid w:val="18596F9B"/>
    <w:rsid w:val="1955473D"/>
    <w:rsid w:val="1B2B2B54"/>
    <w:rsid w:val="1DD935FC"/>
    <w:rsid w:val="1EAE530E"/>
    <w:rsid w:val="1EDE5185"/>
    <w:rsid w:val="20A3083C"/>
    <w:rsid w:val="20B10327"/>
    <w:rsid w:val="21A317AD"/>
    <w:rsid w:val="222D7D5A"/>
    <w:rsid w:val="231C3350"/>
    <w:rsid w:val="239F0B7F"/>
    <w:rsid w:val="26C80178"/>
    <w:rsid w:val="29871733"/>
    <w:rsid w:val="2987765B"/>
    <w:rsid w:val="2ACA7005"/>
    <w:rsid w:val="2BBC089F"/>
    <w:rsid w:val="2F5E3398"/>
    <w:rsid w:val="2FB4250F"/>
    <w:rsid w:val="314459E3"/>
    <w:rsid w:val="32446A9D"/>
    <w:rsid w:val="32DE1FE7"/>
    <w:rsid w:val="33131E56"/>
    <w:rsid w:val="34707F00"/>
    <w:rsid w:val="34936F02"/>
    <w:rsid w:val="34A804A3"/>
    <w:rsid w:val="369F6096"/>
    <w:rsid w:val="37BB4FA2"/>
    <w:rsid w:val="3823763C"/>
    <w:rsid w:val="38A22FF6"/>
    <w:rsid w:val="393F251C"/>
    <w:rsid w:val="39D22974"/>
    <w:rsid w:val="3A10210A"/>
    <w:rsid w:val="3ABD274E"/>
    <w:rsid w:val="3AF56BBB"/>
    <w:rsid w:val="3C89074F"/>
    <w:rsid w:val="3CBD552C"/>
    <w:rsid w:val="3D3C658B"/>
    <w:rsid w:val="3D41598E"/>
    <w:rsid w:val="3D6758AD"/>
    <w:rsid w:val="3EA26224"/>
    <w:rsid w:val="40CF00D4"/>
    <w:rsid w:val="43486455"/>
    <w:rsid w:val="440B7D60"/>
    <w:rsid w:val="458F06AB"/>
    <w:rsid w:val="46535859"/>
    <w:rsid w:val="48D00737"/>
    <w:rsid w:val="4A3A3D77"/>
    <w:rsid w:val="4ADA02CD"/>
    <w:rsid w:val="4B0D06CC"/>
    <w:rsid w:val="4C926DBD"/>
    <w:rsid w:val="4D4B1569"/>
    <w:rsid w:val="4DB50BA7"/>
    <w:rsid w:val="51CD5B37"/>
    <w:rsid w:val="5245699D"/>
    <w:rsid w:val="52781576"/>
    <w:rsid w:val="531B3DC2"/>
    <w:rsid w:val="534B0C2E"/>
    <w:rsid w:val="549C045D"/>
    <w:rsid w:val="56566C38"/>
    <w:rsid w:val="56AF70A0"/>
    <w:rsid w:val="5728753E"/>
    <w:rsid w:val="580911DE"/>
    <w:rsid w:val="584D4CEE"/>
    <w:rsid w:val="58896EB8"/>
    <w:rsid w:val="5CF558D5"/>
    <w:rsid w:val="5D2B50EB"/>
    <w:rsid w:val="5F8E0CC1"/>
    <w:rsid w:val="5FCC2190"/>
    <w:rsid w:val="60BE29BA"/>
    <w:rsid w:val="62A17E65"/>
    <w:rsid w:val="644F7208"/>
    <w:rsid w:val="65104BDB"/>
    <w:rsid w:val="65AB63EF"/>
    <w:rsid w:val="65FD35EC"/>
    <w:rsid w:val="66B9305E"/>
    <w:rsid w:val="67F02AB0"/>
    <w:rsid w:val="697862A7"/>
    <w:rsid w:val="6E7A5C09"/>
    <w:rsid w:val="70864E24"/>
    <w:rsid w:val="711A5301"/>
    <w:rsid w:val="71F47640"/>
    <w:rsid w:val="725340FA"/>
    <w:rsid w:val="730D6A28"/>
    <w:rsid w:val="74440F40"/>
    <w:rsid w:val="74974A14"/>
    <w:rsid w:val="768766C6"/>
    <w:rsid w:val="77E72B75"/>
    <w:rsid w:val="78B84C30"/>
    <w:rsid w:val="7BA04BBB"/>
    <w:rsid w:val="7ED93E46"/>
    <w:rsid w:val="7FDD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line number"/>
    <w:basedOn w:val="8"/>
    <w:qFormat/>
    <w:uiPriority w:val="0"/>
  </w:style>
  <w:style w:type="paragraph" w:customStyle="1" w:styleId="10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1">
    <w:name w:val="批注框文本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9.tiff"/><Relationship Id="rId12" Type="http://schemas.openxmlformats.org/officeDocument/2006/relationships/image" Target="media/image8.png"/><Relationship Id="rId11" Type="http://schemas.openxmlformats.org/officeDocument/2006/relationships/image" Target="media/image7.tiff"/><Relationship Id="rId10" Type="http://schemas.openxmlformats.org/officeDocument/2006/relationships/image" Target="media/image6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900</Words>
  <Characters>4923</Characters>
  <Lines>41</Lines>
  <Paragraphs>11</Paragraphs>
  <TotalTime>2</TotalTime>
  <ScaleCrop>false</ScaleCrop>
  <LinksUpToDate>false</LinksUpToDate>
  <CharactersWithSpaces>5703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2025-09-18T16:17:00Z</dcterms:created>
  <dc:creator>孙晨曦</dc:creator>
  <cp:lastModifiedBy>孙晨曦</cp:lastModifiedBy>
  <dcterms:modified xsi:type="dcterms:W3CDTF">2026-02-25T14:26:26Z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5A985A39A2E54D44B6AB4BBA7E719DFD_13</vt:lpwstr>
  </property>
  <property fmtid="{D5CDD505-2E9C-101B-9397-08002B2CF9AE}" pid="4" name="KSOTemplateDocerSaveRecord">
    <vt:lpwstr>eyJoZGlkIjoiNGNkZDM0NGFhZDM4YjE3ZjE0MmQ5NjIyYjhiNmUxOWQiLCJ1c2VySWQiOiIxNTk2MTUxNDU0In0=</vt:lpwstr>
  </property>
</Properties>
</file>