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0241BE">
      <w:pPr>
        <w:spacing w:line="360" w:lineRule="auto"/>
        <w:jc w:val="both"/>
        <w:rPr>
          <w:rFonts w:hint="default" w:ascii="Times New Roman" w:hAnsi="Times New Roman" w:cs="Times New Roman"/>
          <w:b/>
          <w:color w:val="auto"/>
          <w:sz w:val="24"/>
          <w:szCs w:val="24"/>
        </w:rPr>
      </w:pPr>
      <w:r>
        <w:rPr>
          <w:rFonts w:hint="default" w:ascii="Times New Roman" w:hAnsi="Times New Roman" w:cs="Times New Roman"/>
          <w:b/>
          <w:color w:val="auto"/>
          <w:sz w:val="24"/>
          <w:szCs w:val="24"/>
        </w:rPr>
        <w:t xml:space="preserve">Supplementary </w:t>
      </w:r>
      <w:r>
        <w:rPr>
          <w:rFonts w:hint="eastAsia" w:ascii="Times New Roman" w:hAnsi="Times New Roman" w:cs="Times New Roman"/>
          <w:b/>
          <w:color w:val="auto"/>
          <w:sz w:val="24"/>
          <w:szCs w:val="24"/>
          <w:lang w:val="en-US" w:eastAsia="zh-CN"/>
        </w:rPr>
        <w:t>figure</w:t>
      </w:r>
      <w:r>
        <w:rPr>
          <w:rFonts w:hint="default" w:ascii="Times New Roman" w:hAnsi="Times New Roman" w:cs="Times New Roman"/>
          <w:b/>
          <w:color w:val="auto"/>
          <w:sz w:val="24"/>
          <w:szCs w:val="24"/>
          <w:lang w:val="en-US" w:eastAsia="zh-CN"/>
        </w:rPr>
        <w:t xml:space="preserve"> </w:t>
      </w:r>
      <w:r>
        <w:rPr>
          <w:rFonts w:hint="default" w:ascii="Times New Roman" w:hAnsi="Times New Roman" w:cs="Times New Roman"/>
          <w:b/>
          <w:color w:val="auto"/>
          <w:sz w:val="24"/>
          <w:szCs w:val="24"/>
        </w:rPr>
        <w:t>legends</w:t>
      </w:r>
    </w:p>
    <w:p w14:paraId="0EF58F68">
      <w:pPr>
        <w:spacing w:line="360" w:lineRule="auto"/>
        <w:rPr>
          <w:rFonts w:hint="default" w:ascii="Times New Roman" w:hAnsi="Times New Roman" w:cs="Times New Roman"/>
          <w:b/>
          <w:color w:val="auto"/>
          <w:sz w:val="24"/>
          <w:szCs w:val="24"/>
        </w:rPr>
      </w:pPr>
      <w:r>
        <w:rPr>
          <w:rFonts w:hint="default" w:ascii="Times New Roman" w:hAnsi="Times New Roman" w:cs="Times New Roman"/>
          <w:b/>
          <w:color w:val="auto"/>
          <w:sz w:val="24"/>
          <w:szCs w:val="24"/>
        </w:rPr>
        <w:t xml:space="preserve">Fig S1. TROP2 expressionlung tissues. </w:t>
      </w:r>
      <w:r>
        <w:rPr>
          <w:rFonts w:hint="default" w:ascii="Times New Roman" w:hAnsi="Times New Roman" w:cs="Times New Roman"/>
          <w:bCs/>
          <w:color w:val="auto"/>
          <w:sz w:val="24"/>
          <w:szCs w:val="24"/>
        </w:rPr>
        <w:t>TROP2 mRNA levels in lung cancer samples</w:t>
      </w:r>
      <w:r>
        <w:rPr>
          <w:rFonts w:hint="default" w:ascii="Times New Roman" w:hAnsi="Times New Roman" w:cs="Times New Roman"/>
          <w:color w:val="auto"/>
          <w:sz w:val="24"/>
          <w:szCs w:val="24"/>
        </w:rPr>
        <w:t xml:space="preserve"> (Timer).</w:t>
      </w:r>
    </w:p>
    <w:p w14:paraId="0515E4E6">
      <w:pPr>
        <w:spacing w:line="360" w:lineRule="auto"/>
        <w:jc w:val="both"/>
        <w:rPr>
          <w:rFonts w:hint="default" w:ascii="Times New Roman" w:hAnsi="Times New Roman" w:cs="Times New Roman"/>
          <w:color w:val="auto"/>
          <w:sz w:val="24"/>
          <w:szCs w:val="24"/>
        </w:rPr>
      </w:pPr>
      <w:r>
        <w:rPr>
          <w:rFonts w:hint="default" w:ascii="Times New Roman" w:hAnsi="Times New Roman" w:cs="Times New Roman"/>
          <w:b/>
          <w:color w:val="auto"/>
          <w:sz w:val="24"/>
          <w:szCs w:val="24"/>
        </w:rPr>
        <w:t xml:space="preserve">Fig S2. TROP2 promotes NSCLC cell growth. </w:t>
      </w:r>
      <w:r>
        <w:rPr>
          <w:rFonts w:hint="default" w:ascii="Times New Roman" w:hAnsi="Times New Roman" w:cs="Times New Roman"/>
          <w:bCs/>
          <w:color w:val="auto"/>
          <w:sz w:val="24"/>
          <w:szCs w:val="24"/>
        </w:rPr>
        <w:t xml:space="preserve">TROP2 was down-regulated in PC9 and H292 cells with TROP2 shRNA lentivirus infection. TROP2 mRNA and protein levels were evaluated by real time RT-PCR </w:t>
      </w:r>
      <w:r>
        <w:rPr>
          <w:rFonts w:hint="default" w:ascii="Times New Roman" w:hAnsi="Times New Roman" w:cs="Times New Roman"/>
          <w:color w:val="auto"/>
          <w:sz w:val="24"/>
          <w:szCs w:val="24"/>
        </w:rPr>
        <w:t xml:space="preserve">(A-B) </w:t>
      </w:r>
      <w:r>
        <w:rPr>
          <w:rFonts w:hint="default" w:ascii="Times New Roman" w:hAnsi="Times New Roman" w:cs="Times New Roman"/>
          <w:bCs/>
          <w:color w:val="auto"/>
          <w:sz w:val="24"/>
          <w:szCs w:val="24"/>
        </w:rPr>
        <w:t xml:space="preserve">and Western blotting </w:t>
      </w:r>
      <w:r>
        <w:rPr>
          <w:rFonts w:hint="default" w:ascii="Times New Roman" w:hAnsi="Times New Roman" w:cs="Times New Roman"/>
          <w:color w:val="auto"/>
          <w:sz w:val="24"/>
          <w:szCs w:val="24"/>
        </w:rPr>
        <w:t>(C)</w:t>
      </w:r>
      <w:r>
        <w:rPr>
          <w:rFonts w:hint="default" w:ascii="Times New Roman" w:hAnsi="Times New Roman" w:cs="Times New Roman"/>
          <w:bCs/>
          <w:color w:val="auto"/>
          <w:sz w:val="24"/>
          <w:szCs w:val="24"/>
        </w:rPr>
        <w:t xml:space="preserve">. </w:t>
      </w:r>
      <w:r>
        <w:rPr>
          <w:rFonts w:hint="default" w:ascii="Times New Roman" w:hAnsi="Times New Roman" w:cs="Times New Roman"/>
          <w:color w:val="auto"/>
          <w:sz w:val="24"/>
          <w:szCs w:val="24"/>
        </w:rPr>
        <w:t>(D-E) T</w:t>
      </w:r>
      <w:r>
        <w:rPr>
          <w:rFonts w:hint="default" w:ascii="Times New Roman" w:hAnsi="Times New Roman" w:cs="Times New Roman"/>
          <w:bCs/>
          <w:color w:val="auto"/>
          <w:sz w:val="24"/>
          <w:szCs w:val="24"/>
        </w:rPr>
        <w:t xml:space="preserve">he cell viability was suppressed in PC9 and H292 cells with TROP2 </w:t>
      </w:r>
      <w:r>
        <w:rPr>
          <w:rFonts w:hint="default" w:ascii="Times New Roman" w:hAnsi="Times New Roman" w:cs="Times New Roman"/>
          <w:bCs/>
          <w:color w:val="auto"/>
          <w:sz w:val="24"/>
          <w:szCs w:val="24"/>
          <w:lang w:val="en-US" w:eastAsia="zh-CN"/>
        </w:rPr>
        <w:t>knockdown</w:t>
      </w:r>
      <w:r>
        <w:rPr>
          <w:rFonts w:hint="default" w:ascii="Times New Roman" w:hAnsi="Times New Roman" w:cs="Times New Roman"/>
          <w:bCs/>
          <w:color w:val="auto"/>
          <w:sz w:val="24"/>
          <w:szCs w:val="24"/>
        </w:rPr>
        <w:t xml:space="preserve">. Cell proliferation was evaluated by CCK8. </w:t>
      </w:r>
      <w:r>
        <w:rPr>
          <w:rFonts w:hint="default" w:ascii="Times New Roman" w:hAnsi="Times New Roman" w:cs="Times New Roman"/>
          <w:color w:val="auto"/>
          <w:sz w:val="24"/>
          <w:szCs w:val="24"/>
        </w:rPr>
        <w:t>(F) T</w:t>
      </w:r>
      <w:r>
        <w:rPr>
          <w:rFonts w:hint="default" w:ascii="Times New Roman" w:hAnsi="Times New Roman" w:cs="Times New Roman"/>
          <w:bCs/>
          <w:color w:val="auto"/>
          <w:sz w:val="24"/>
          <w:szCs w:val="24"/>
        </w:rPr>
        <w:t xml:space="preserve">he colonies were reduced in PC9 and H292 cells with TROP2 </w:t>
      </w:r>
      <w:r>
        <w:rPr>
          <w:rFonts w:hint="default" w:ascii="Times New Roman" w:hAnsi="Times New Roman" w:cs="Times New Roman"/>
          <w:bCs/>
          <w:color w:val="auto"/>
          <w:sz w:val="24"/>
          <w:szCs w:val="24"/>
          <w:lang w:val="en-US" w:eastAsia="zh-CN"/>
        </w:rPr>
        <w:t>knockdown</w:t>
      </w:r>
      <w:r>
        <w:rPr>
          <w:rFonts w:hint="default" w:ascii="Times New Roman" w:hAnsi="Times New Roman" w:cs="Times New Roman"/>
          <w:bCs/>
          <w:color w:val="auto"/>
          <w:sz w:val="24"/>
          <w:szCs w:val="24"/>
        </w:rPr>
        <w:t xml:space="preserve"> using colony formation assay. </w:t>
      </w:r>
      <w:r>
        <w:rPr>
          <w:rFonts w:hint="default" w:ascii="Times New Roman" w:hAnsi="Times New Roman" w:cs="Times New Roman"/>
          <w:color w:val="auto"/>
          <w:sz w:val="24"/>
          <w:szCs w:val="24"/>
        </w:rPr>
        <w:t>Data are shown as the mean ± SD (n = 3).</w:t>
      </w:r>
      <w:r>
        <w:rPr>
          <w:rFonts w:hint="eastAsia" w:ascii="Times New Roman" w:hAnsi="Times New Roman" w:cs="Times New Roman"/>
          <w:color w:val="auto"/>
          <w:sz w:val="24"/>
          <w:szCs w:val="24"/>
          <w:lang w:val="en-US" w:eastAsia="zh-CN"/>
        </w:rPr>
        <w:t xml:space="preserve"> </w:t>
      </w:r>
      <w:r>
        <w:rPr>
          <w:rFonts w:hint="default" w:ascii="Times New Roman" w:hAnsi="Times New Roman" w:cs="Times New Roman"/>
          <w:color w:val="auto"/>
          <w:sz w:val="24"/>
          <w:szCs w:val="24"/>
        </w:rPr>
        <w:t>Statistical significance was determined by two-tailed unpaired Student’s t-test for comparisons between two groups (A, B, D, E, F). *P &lt; 0.05, **P &lt; 0.01.</w:t>
      </w:r>
      <w:r>
        <w:rPr>
          <w:rFonts w:hint="eastAsia" w:ascii="Times New Roman" w:hAnsi="Times New Roman" w:cs="Times New Roman"/>
          <w:color w:val="auto"/>
          <w:sz w:val="24"/>
          <w:szCs w:val="24"/>
          <w:lang w:val="en-US" w:eastAsia="zh-CN"/>
        </w:rPr>
        <w:t xml:space="preserve"> </w:t>
      </w:r>
    </w:p>
    <w:p w14:paraId="0451CD09">
      <w:pPr>
        <w:spacing w:line="360" w:lineRule="auto"/>
        <w:rPr>
          <w:rFonts w:hint="default" w:ascii="Times New Roman" w:hAnsi="Times New Roman" w:cs="Times New Roman"/>
          <w:color w:val="auto"/>
          <w:sz w:val="24"/>
          <w:szCs w:val="24"/>
        </w:rPr>
      </w:pPr>
      <w:r>
        <w:rPr>
          <w:rFonts w:hint="default" w:ascii="Times New Roman" w:hAnsi="Times New Roman" w:cs="Times New Roman"/>
          <w:b/>
          <w:bCs/>
          <w:color w:val="auto"/>
          <w:sz w:val="24"/>
          <w:szCs w:val="24"/>
          <w:lang w:val="en-US" w:eastAsia="zh-CN"/>
        </w:rPr>
        <w:t>Fig S3.</w:t>
      </w:r>
      <w:r>
        <w:rPr>
          <w:rFonts w:hint="default" w:ascii="Times New Roman" w:hAnsi="Times New Roman" w:cs="Times New Roman"/>
          <w:color w:val="auto"/>
          <w:sz w:val="24"/>
          <w:szCs w:val="24"/>
          <w:lang w:val="en-US" w:eastAsia="zh-CN"/>
        </w:rPr>
        <w:t xml:space="preserve"> </w:t>
      </w:r>
      <w:r>
        <w:rPr>
          <w:rFonts w:hint="default" w:ascii="Times New Roman" w:hAnsi="Times New Roman" w:cs="Times New Roman"/>
          <w:b/>
          <w:bCs/>
          <w:color w:val="auto"/>
          <w:sz w:val="24"/>
          <w:szCs w:val="24"/>
          <w:lang w:val="en-US" w:eastAsia="zh-CN"/>
        </w:rPr>
        <w:t>TROP2 modulates ferroptosis sensitivity in NSCLC cells, related to Figure 4.</w:t>
      </w:r>
      <w:r>
        <w:rPr>
          <w:rFonts w:hint="default" w:ascii="Times New Roman" w:hAnsi="Times New Roman" w:cs="Times New Roman"/>
          <w:color w:val="auto"/>
          <w:sz w:val="24"/>
          <w:szCs w:val="24"/>
          <w:lang w:val="en-US" w:eastAsia="zh-CN"/>
        </w:rPr>
        <w:t xml:space="preserve"> (A)</w:t>
      </w:r>
      <w:r>
        <w:rPr>
          <w:rStyle w:val="4"/>
          <w:rFonts w:hint="default" w:ascii="Times New Roman" w:hAnsi="Times New Roman" w:eastAsia="宋体" w:cs="Times New Roman"/>
          <w:b/>
          <w:bCs/>
          <w:i w:val="0"/>
          <w:iCs w:val="0"/>
          <w:caps w:val="0"/>
          <w:color w:val="auto"/>
          <w:spacing w:val="0"/>
          <w:sz w:val="24"/>
          <w:szCs w:val="24"/>
          <w:shd w:val="clear" w:fill="FFFFFF"/>
          <w:lang w:val="en-US" w:eastAsia="zh-CN"/>
        </w:rPr>
        <w:t xml:space="preserve"> </w:t>
      </w:r>
      <w:r>
        <w:rPr>
          <w:rFonts w:hint="default" w:ascii="Times New Roman" w:hAnsi="Times New Roman" w:cs="Times New Roman"/>
          <w:color w:val="auto"/>
          <w:sz w:val="24"/>
          <w:szCs w:val="24"/>
          <w:lang w:val="en-US" w:eastAsia="zh-CN"/>
        </w:rPr>
        <w:t xml:space="preserve">Morphological assessment of ferroptosis in H292 cells. Representative bright-field images of H292 cells with or without TROP2 knockdown, treated with 5 µM RSL3 for the indicated time. TROP2 knockdown sensitized cells to RSL3, leading to the appearance of characteristic ferroptotic morphology, including cell rounding, membrane blebbing, and ballooning (enlarged, optically clear cytoplasm). </w:t>
      </w:r>
      <w:r>
        <w:rPr>
          <w:rFonts w:hint="default" w:ascii="Times New Roman" w:hAnsi="Times New Roman" w:cs="Times New Roman"/>
          <w:b w:val="0"/>
          <w:bCs/>
          <w:color w:val="auto"/>
          <w:sz w:val="24"/>
          <w:szCs w:val="24"/>
          <w:lang w:val="en-US" w:eastAsia="zh-CN"/>
        </w:rPr>
        <w:t xml:space="preserve">(B) </w:t>
      </w:r>
      <w:r>
        <w:rPr>
          <w:rFonts w:hint="default" w:ascii="Times New Roman" w:hAnsi="Times New Roman" w:cs="Times New Roman"/>
          <w:color w:val="auto"/>
          <w:sz w:val="24"/>
          <w:szCs w:val="24"/>
          <w:lang w:val="en-US" w:eastAsia="zh-CN"/>
        </w:rPr>
        <w:t xml:space="preserve">Protein levels in </w:t>
      </w:r>
      <w:r>
        <w:rPr>
          <w:rFonts w:hint="default" w:ascii="Times New Roman" w:hAnsi="Times New Roman" w:cs="Times New Roman"/>
          <w:color w:val="auto"/>
          <w:sz w:val="24"/>
          <w:szCs w:val="24"/>
        </w:rPr>
        <w:t>ChaGo-K-1 cells with or without TROP2 knockdown</w:t>
      </w:r>
      <w:r>
        <w:rPr>
          <w:rFonts w:hint="default" w:ascii="Times New Roman" w:hAnsi="Times New Roman" w:cs="Times New Roman"/>
          <w:color w:val="auto"/>
          <w:sz w:val="24"/>
          <w:szCs w:val="24"/>
          <w:lang w:val="en-US" w:eastAsia="zh-CN"/>
        </w:rPr>
        <w:t xml:space="preserve"> by western blotting assay</w:t>
      </w:r>
      <w:r>
        <w:rPr>
          <w:rFonts w:hint="default" w:ascii="Times New Roman" w:hAnsi="Times New Roman" w:cs="Times New Roman"/>
          <w:color w:val="auto"/>
          <w:sz w:val="24"/>
          <w:szCs w:val="24"/>
        </w:rPr>
        <w:t>.</w:t>
      </w:r>
      <w:r>
        <w:rPr>
          <w:rFonts w:hint="default" w:ascii="Times New Roman" w:hAnsi="Times New Roman" w:cs="Times New Roman"/>
          <w:color w:val="auto"/>
          <w:sz w:val="24"/>
          <w:szCs w:val="24"/>
          <w:lang w:val="en-US" w:eastAsia="zh-CN"/>
        </w:rPr>
        <w:t xml:space="preserve"> </w:t>
      </w:r>
      <w:r>
        <w:rPr>
          <w:rFonts w:hint="default" w:ascii="Times New Roman" w:hAnsi="Times New Roman" w:cs="Times New Roman"/>
          <w:color w:val="auto"/>
          <w:sz w:val="24"/>
          <w:szCs w:val="24"/>
        </w:rPr>
        <w:t xml:space="preserve">Quantitative analysis (bar graph) of the bands </w:t>
      </w:r>
      <w:r>
        <w:rPr>
          <w:rFonts w:hint="default" w:ascii="Times New Roman" w:hAnsi="Times New Roman" w:cs="Times New Roman"/>
          <w:color w:val="auto"/>
          <w:sz w:val="24"/>
          <w:szCs w:val="24"/>
          <w:lang w:val="en-US" w:eastAsia="zh-CN"/>
        </w:rPr>
        <w:t>was</w:t>
      </w:r>
      <w:r>
        <w:rPr>
          <w:rFonts w:hint="default" w:ascii="Times New Roman" w:hAnsi="Times New Roman" w:cs="Times New Roman"/>
          <w:color w:val="auto"/>
          <w:sz w:val="24"/>
          <w:szCs w:val="24"/>
        </w:rPr>
        <w:t xml:space="preserve"> shown </w:t>
      </w:r>
      <w:r>
        <w:rPr>
          <w:rFonts w:hint="default" w:ascii="Times New Roman" w:hAnsi="Times New Roman" w:cs="Times New Roman"/>
          <w:color w:val="auto"/>
          <w:sz w:val="24"/>
          <w:szCs w:val="24"/>
          <w:lang w:val="en-US" w:eastAsia="zh-CN"/>
        </w:rPr>
        <w:t>adjacent</w:t>
      </w:r>
      <w:r>
        <w:rPr>
          <w:rFonts w:hint="default" w:ascii="Times New Roman" w:hAnsi="Times New Roman" w:cs="Times New Roman"/>
          <w:color w:val="auto"/>
          <w:sz w:val="24"/>
          <w:szCs w:val="24"/>
        </w:rPr>
        <w:t xml:space="preserve"> to the representative blots.</w:t>
      </w:r>
      <w:r>
        <w:rPr>
          <w:rFonts w:hint="default" w:ascii="Times New Roman" w:hAnsi="Times New Roman" w:cs="Times New Roman"/>
          <w:color w:val="auto"/>
          <w:sz w:val="24"/>
          <w:szCs w:val="24"/>
          <w:lang w:val="en-US" w:eastAsia="zh-CN"/>
        </w:rPr>
        <w:t xml:space="preserve"> </w:t>
      </w:r>
      <w:r>
        <w:rPr>
          <w:rFonts w:hint="default" w:ascii="Times New Roman" w:hAnsi="Times New Roman" w:cs="Times New Roman"/>
          <w:b w:val="0"/>
          <w:bCs/>
          <w:color w:val="auto"/>
          <w:sz w:val="24"/>
          <w:szCs w:val="24"/>
          <w:lang w:val="en-US" w:eastAsia="zh-CN"/>
        </w:rPr>
        <w:t xml:space="preserve">(C) </w:t>
      </w:r>
      <w:r>
        <w:rPr>
          <w:rFonts w:hint="default" w:ascii="Times New Roman" w:hAnsi="Times New Roman" w:cs="Times New Roman"/>
          <w:color w:val="auto"/>
          <w:sz w:val="24"/>
          <w:szCs w:val="24"/>
        </w:rPr>
        <w:t xml:space="preserve">The cell viability of </w:t>
      </w:r>
      <w:r>
        <w:rPr>
          <w:rFonts w:hint="default" w:ascii="Times New Roman" w:hAnsi="Times New Roman" w:cs="Times New Roman"/>
          <w:b w:val="0"/>
          <w:bCs/>
          <w:color w:val="auto"/>
          <w:sz w:val="24"/>
          <w:szCs w:val="24"/>
          <w:lang w:val="en-US" w:eastAsia="zh-CN"/>
        </w:rPr>
        <w:t>ChaGo-K-1</w:t>
      </w:r>
      <w:r>
        <w:rPr>
          <w:rFonts w:hint="default" w:ascii="Times New Roman" w:hAnsi="Times New Roman" w:cs="Times New Roman"/>
          <w:b w:val="0"/>
          <w:bCs/>
          <w:color w:val="auto"/>
          <w:sz w:val="24"/>
          <w:szCs w:val="24"/>
        </w:rPr>
        <w:t xml:space="preserve"> </w:t>
      </w:r>
      <w:r>
        <w:rPr>
          <w:rFonts w:hint="default" w:ascii="Times New Roman" w:hAnsi="Times New Roman" w:cs="Times New Roman"/>
          <w:color w:val="auto"/>
          <w:sz w:val="24"/>
          <w:szCs w:val="24"/>
        </w:rPr>
        <w:t>cells with or without</w:t>
      </w:r>
      <w:r>
        <w:rPr>
          <w:rFonts w:hint="default" w:ascii="Times New Roman" w:hAnsi="Times New Roman" w:cs="Times New Roman"/>
          <w:color w:val="auto"/>
          <w:sz w:val="24"/>
          <w:szCs w:val="24"/>
          <w:lang w:val="en-US" w:eastAsia="zh-CN"/>
        </w:rPr>
        <w:t xml:space="preserve"> </w:t>
      </w:r>
      <w:r>
        <w:rPr>
          <w:rFonts w:hint="default" w:ascii="Times New Roman" w:hAnsi="Times New Roman" w:cs="Times New Roman"/>
          <w:color w:val="auto"/>
          <w:sz w:val="24"/>
          <w:szCs w:val="24"/>
        </w:rPr>
        <w:t xml:space="preserve">TROP2 knockdown, treated with RSL3, as determined using the CCK-8 assay. </w:t>
      </w:r>
      <w:r>
        <w:rPr>
          <w:rFonts w:hint="default" w:ascii="Times New Roman" w:hAnsi="Times New Roman" w:cs="Times New Roman"/>
          <w:color w:val="auto"/>
          <w:sz w:val="24"/>
          <w:szCs w:val="24"/>
          <w:highlight w:val="none"/>
        </w:rPr>
        <w:t>(</w:t>
      </w:r>
      <w:r>
        <w:rPr>
          <w:rFonts w:hint="default" w:ascii="Times New Roman" w:hAnsi="Times New Roman" w:cs="Times New Roman"/>
          <w:b w:val="0"/>
          <w:bCs/>
          <w:color w:val="auto"/>
          <w:sz w:val="24"/>
          <w:szCs w:val="24"/>
          <w:highlight w:val="none"/>
          <w:lang w:val="en-US" w:eastAsia="zh-CN"/>
        </w:rPr>
        <w:t>D)</w:t>
      </w:r>
      <w:r>
        <w:rPr>
          <w:rFonts w:hint="default" w:ascii="Times New Roman" w:hAnsi="Times New Roman" w:cs="Times New Roman"/>
          <w:b w:val="0"/>
          <w:bCs/>
          <w:color w:val="auto"/>
          <w:sz w:val="24"/>
          <w:szCs w:val="24"/>
          <w:highlight w:val="none"/>
        </w:rPr>
        <w:t xml:space="preserve"> </w:t>
      </w:r>
      <w:r>
        <w:rPr>
          <w:rFonts w:hint="default" w:ascii="Times New Roman" w:hAnsi="Times New Roman" w:cs="Times New Roman"/>
          <w:color w:val="auto"/>
          <w:sz w:val="24"/>
          <w:szCs w:val="24"/>
          <w:highlight w:val="none"/>
        </w:rPr>
        <w:t xml:space="preserve">GSH levels </w:t>
      </w:r>
      <w:r>
        <w:rPr>
          <w:rFonts w:hint="default" w:ascii="Times New Roman" w:hAnsi="Times New Roman" w:cs="Times New Roman"/>
          <w:color w:val="auto"/>
          <w:sz w:val="24"/>
          <w:szCs w:val="24"/>
          <w:highlight w:val="none"/>
          <w:lang w:val="en-US" w:eastAsia="zh-CN"/>
        </w:rPr>
        <w:t xml:space="preserve">in </w:t>
      </w:r>
      <w:r>
        <w:rPr>
          <w:rFonts w:hint="default" w:ascii="Times New Roman" w:hAnsi="Times New Roman" w:cs="Times New Roman"/>
          <w:b w:val="0"/>
          <w:bCs/>
          <w:color w:val="auto"/>
          <w:sz w:val="24"/>
          <w:szCs w:val="24"/>
          <w:lang w:val="en-US" w:eastAsia="zh-CN"/>
        </w:rPr>
        <w:t>ChaGo-K-1</w:t>
      </w:r>
      <w:r>
        <w:rPr>
          <w:rFonts w:hint="default" w:ascii="Times New Roman" w:hAnsi="Times New Roman" w:cs="Times New Roman"/>
          <w:b w:val="0"/>
          <w:bCs/>
          <w:color w:val="auto"/>
          <w:sz w:val="24"/>
          <w:szCs w:val="24"/>
        </w:rPr>
        <w:t xml:space="preserve"> </w:t>
      </w:r>
      <w:r>
        <w:rPr>
          <w:rFonts w:hint="default" w:ascii="Times New Roman" w:hAnsi="Times New Roman" w:cs="Times New Roman"/>
          <w:color w:val="auto"/>
          <w:sz w:val="24"/>
          <w:szCs w:val="24"/>
        </w:rPr>
        <w:t>cells</w:t>
      </w:r>
      <w:r>
        <w:rPr>
          <w:rFonts w:hint="default" w:ascii="Times New Roman" w:hAnsi="Times New Roman" w:cs="Times New Roman"/>
          <w:color w:val="auto"/>
          <w:sz w:val="24"/>
          <w:szCs w:val="24"/>
          <w:lang w:val="en-US" w:eastAsia="zh-CN"/>
        </w:rPr>
        <w:t xml:space="preserve"> </w:t>
      </w:r>
      <w:r>
        <w:rPr>
          <w:rFonts w:hint="default" w:ascii="Times New Roman" w:hAnsi="Times New Roman" w:cs="Times New Roman"/>
          <w:color w:val="auto"/>
          <w:sz w:val="24"/>
          <w:szCs w:val="24"/>
          <w:highlight w:val="none"/>
        </w:rPr>
        <w:t>were measured in TROP2 knockdown cells with or without 5uM RSL3 for 24h.</w:t>
      </w:r>
      <w:r>
        <w:rPr>
          <w:rFonts w:hint="default" w:ascii="Times New Roman" w:hAnsi="Times New Roman" w:cs="Times New Roman"/>
          <w:color w:val="auto"/>
          <w:sz w:val="24"/>
          <w:szCs w:val="24"/>
        </w:rPr>
        <w:t xml:space="preserve"> (</w:t>
      </w:r>
      <w:r>
        <w:rPr>
          <w:rFonts w:hint="default" w:ascii="Times New Roman" w:hAnsi="Times New Roman" w:cs="Times New Roman"/>
          <w:color w:val="auto"/>
          <w:sz w:val="24"/>
          <w:szCs w:val="24"/>
          <w:lang w:val="en-US" w:eastAsia="zh-CN"/>
        </w:rPr>
        <w:t>E</w:t>
      </w:r>
      <w:r>
        <w:rPr>
          <w:rFonts w:hint="default" w:ascii="Times New Roman" w:hAnsi="Times New Roman" w:cs="Times New Roman"/>
          <w:color w:val="auto"/>
          <w:sz w:val="24"/>
          <w:szCs w:val="24"/>
        </w:rPr>
        <w:t>-</w:t>
      </w:r>
      <w:r>
        <w:rPr>
          <w:rFonts w:hint="default" w:ascii="Times New Roman" w:hAnsi="Times New Roman" w:cs="Times New Roman"/>
          <w:color w:val="auto"/>
          <w:sz w:val="24"/>
          <w:szCs w:val="24"/>
          <w:lang w:val="en-US" w:eastAsia="zh-CN"/>
        </w:rPr>
        <w:t>F</w:t>
      </w:r>
      <w:r>
        <w:rPr>
          <w:rFonts w:hint="default" w:ascii="Times New Roman" w:hAnsi="Times New Roman" w:cs="Times New Roman"/>
          <w:color w:val="auto"/>
          <w:sz w:val="24"/>
          <w:szCs w:val="24"/>
        </w:rPr>
        <w:t>) The relative cell viability of PC9 and A549 cells overexpressing TROP2 were treated by indicated dosages of RSL3 for 48 h. (</w:t>
      </w:r>
      <w:r>
        <w:rPr>
          <w:rFonts w:hint="default" w:ascii="Times New Roman" w:hAnsi="Times New Roman" w:cs="Times New Roman"/>
          <w:color w:val="auto"/>
          <w:sz w:val="24"/>
          <w:szCs w:val="24"/>
          <w:lang w:val="en-US" w:eastAsia="zh-CN"/>
        </w:rPr>
        <w:t>G</w:t>
      </w:r>
      <w:r>
        <w:rPr>
          <w:rFonts w:hint="default" w:ascii="Times New Roman" w:hAnsi="Times New Roman" w:cs="Times New Roman"/>
          <w:color w:val="auto"/>
          <w:sz w:val="24"/>
          <w:szCs w:val="24"/>
        </w:rPr>
        <w:t>) Cell and death assay in PC9 and A549 cells. (</w:t>
      </w:r>
      <w:r>
        <w:rPr>
          <w:rFonts w:hint="default" w:ascii="Times New Roman" w:hAnsi="Times New Roman" w:cs="Times New Roman"/>
          <w:color w:val="auto"/>
          <w:sz w:val="24"/>
          <w:szCs w:val="24"/>
          <w:lang w:val="en-US" w:eastAsia="zh-CN"/>
        </w:rPr>
        <w:t>H</w:t>
      </w:r>
      <w:r>
        <w:rPr>
          <w:rFonts w:hint="default" w:ascii="Times New Roman" w:hAnsi="Times New Roman" w:cs="Times New Roman"/>
          <w:color w:val="auto"/>
          <w:sz w:val="24"/>
          <w:szCs w:val="24"/>
        </w:rPr>
        <w:t>-</w:t>
      </w:r>
      <w:r>
        <w:rPr>
          <w:rFonts w:hint="default" w:ascii="Times New Roman" w:hAnsi="Times New Roman" w:cs="Times New Roman"/>
          <w:color w:val="auto"/>
          <w:sz w:val="24"/>
          <w:szCs w:val="24"/>
          <w:lang w:val="en-US" w:eastAsia="zh-CN"/>
        </w:rPr>
        <w:t>I</w:t>
      </w:r>
      <w:r>
        <w:rPr>
          <w:rFonts w:hint="default" w:ascii="Times New Roman" w:hAnsi="Times New Roman" w:cs="Times New Roman"/>
          <w:color w:val="auto"/>
          <w:sz w:val="24"/>
          <w:szCs w:val="24"/>
        </w:rPr>
        <w:t>) The cellular GSH levels were assayed in TROP2 knockdown cells with or without 5uM RSL3 for 24h. (</w:t>
      </w:r>
      <w:r>
        <w:rPr>
          <w:rFonts w:hint="default" w:ascii="Times New Roman" w:hAnsi="Times New Roman" w:cs="Times New Roman"/>
          <w:color w:val="auto"/>
          <w:sz w:val="24"/>
          <w:szCs w:val="24"/>
          <w:lang w:val="en-US" w:eastAsia="zh-CN"/>
        </w:rPr>
        <w:t>J</w:t>
      </w:r>
      <w:r>
        <w:rPr>
          <w:rFonts w:hint="default" w:ascii="Times New Roman" w:hAnsi="Times New Roman" w:cs="Times New Roman"/>
          <w:color w:val="auto"/>
          <w:sz w:val="24"/>
          <w:szCs w:val="24"/>
        </w:rPr>
        <w:t>-</w:t>
      </w:r>
      <w:r>
        <w:rPr>
          <w:rFonts w:hint="default" w:ascii="Times New Roman" w:hAnsi="Times New Roman" w:cs="Times New Roman"/>
          <w:color w:val="auto"/>
          <w:sz w:val="24"/>
          <w:szCs w:val="24"/>
          <w:lang w:val="en-US" w:eastAsia="zh-CN"/>
        </w:rPr>
        <w:t>K</w:t>
      </w:r>
      <w:r>
        <w:rPr>
          <w:rFonts w:hint="default" w:ascii="Times New Roman" w:hAnsi="Times New Roman" w:cs="Times New Roman"/>
          <w:color w:val="auto"/>
          <w:sz w:val="24"/>
          <w:szCs w:val="24"/>
        </w:rPr>
        <w:t>) The cellular MDA levels were assayed in TROP2 knockdown cells with or without 10uM RSL3 for 24h. Data are shown as the mean ± SD (n = 3). For panels with multiple comparisons (C, D, E, F), statistical significance was determined by two-way ANOVA followed by Sidak’s post hoc test. For panels comparing two groups (G, H, I, J, K), a two-tailed unpaired Student’s t-test was used. *P &lt; 0.05, **P &lt; 0.01.</w:t>
      </w:r>
    </w:p>
    <w:p w14:paraId="13442413">
      <w:pPr>
        <w:spacing w:line="360" w:lineRule="auto"/>
        <w:rPr>
          <w:rFonts w:hint="default" w:ascii="Times New Roman" w:hAnsi="Times New Roman" w:cs="Times New Roman"/>
          <w:color w:val="auto"/>
          <w:sz w:val="24"/>
          <w:szCs w:val="24"/>
          <w:lang w:val="en-US" w:eastAsia="zh-CN"/>
        </w:rPr>
      </w:pPr>
      <w:r>
        <w:rPr>
          <w:rFonts w:hint="default" w:ascii="Times New Roman" w:hAnsi="Times New Roman" w:cs="Times New Roman"/>
          <w:b/>
          <w:bCs/>
          <w:color w:val="auto"/>
          <w:sz w:val="24"/>
          <w:szCs w:val="24"/>
        </w:rPr>
        <w:t>Fig S</w:t>
      </w:r>
      <w:r>
        <w:rPr>
          <w:rFonts w:hint="default" w:ascii="Times New Roman" w:hAnsi="Times New Roman" w:cs="Times New Roman"/>
          <w:b/>
          <w:bCs/>
          <w:color w:val="auto"/>
          <w:sz w:val="24"/>
          <w:szCs w:val="24"/>
          <w:lang w:val="en-US" w:eastAsia="zh-CN"/>
        </w:rPr>
        <w:t>4</w:t>
      </w:r>
      <w:r>
        <w:rPr>
          <w:rFonts w:hint="default" w:ascii="Times New Roman" w:hAnsi="Times New Roman" w:cs="Times New Roman"/>
          <w:b/>
          <w:bCs/>
          <w:color w:val="auto"/>
          <w:sz w:val="24"/>
          <w:szCs w:val="24"/>
        </w:rPr>
        <w:t>. H</w:t>
      </w:r>
      <w:r>
        <w:rPr>
          <w:rFonts w:hint="default" w:ascii="Times New Roman" w:hAnsi="Times New Roman" w:cs="Times New Roman"/>
          <w:b/>
          <w:bCs/>
          <w:color w:val="auto"/>
          <w:sz w:val="24"/>
          <w:szCs w:val="24"/>
          <w:lang w:val="en-US" w:eastAsia="zh-CN"/>
        </w:rPr>
        <w:t>M</w:t>
      </w:r>
      <w:r>
        <w:rPr>
          <w:rFonts w:hint="default" w:ascii="Times New Roman" w:hAnsi="Times New Roman" w:cs="Times New Roman"/>
          <w:b/>
          <w:bCs/>
          <w:color w:val="auto"/>
          <w:sz w:val="24"/>
          <w:szCs w:val="24"/>
        </w:rPr>
        <w:t>O</w:t>
      </w:r>
      <w:r>
        <w:rPr>
          <w:rFonts w:hint="default" w:ascii="Times New Roman" w:hAnsi="Times New Roman" w:cs="Times New Roman"/>
          <w:b/>
          <w:bCs/>
          <w:color w:val="auto"/>
          <w:sz w:val="24"/>
          <w:szCs w:val="24"/>
          <w:lang w:val="en-US" w:eastAsia="zh-CN"/>
        </w:rPr>
        <w:t>X1</w:t>
      </w:r>
      <w:r>
        <w:rPr>
          <w:rFonts w:hint="default" w:ascii="Times New Roman" w:hAnsi="Times New Roman" w:cs="Times New Roman"/>
          <w:b/>
          <w:bCs/>
          <w:color w:val="auto"/>
          <w:sz w:val="24"/>
          <w:szCs w:val="24"/>
        </w:rPr>
        <w:t xml:space="preserve"> is involved in TROP2 suppression mediated ferroptosis.</w:t>
      </w:r>
      <w:r>
        <w:rPr>
          <w:rFonts w:hint="default" w:ascii="Times New Roman" w:hAnsi="Times New Roman" w:cs="Times New Roman"/>
          <w:bCs/>
          <w:color w:val="auto"/>
          <w:sz w:val="24"/>
          <w:szCs w:val="24"/>
        </w:rPr>
        <w:t xml:space="preserve"> </w:t>
      </w:r>
      <w:r>
        <w:rPr>
          <w:rFonts w:hint="default" w:ascii="Times New Roman" w:hAnsi="Times New Roman" w:cs="Times New Roman"/>
          <w:color w:val="auto"/>
          <w:sz w:val="24"/>
          <w:szCs w:val="24"/>
        </w:rPr>
        <w:t>(A)</w:t>
      </w:r>
      <w:r>
        <w:rPr>
          <w:rFonts w:hint="default" w:ascii="Times New Roman" w:hAnsi="Times New Roman" w:cs="Times New Roman"/>
          <w:b/>
          <w:bCs/>
          <w:color w:val="auto"/>
          <w:sz w:val="24"/>
          <w:szCs w:val="24"/>
        </w:rPr>
        <w:t xml:space="preserve"> </w:t>
      </w:r>
      <w:r>
        <w:rPr>
          <w:rFonts w:hint="default" w:ascii="Times New Roman" w:hAnsi="Times New Roman" w:cs="Times New Roman"/>
          <w:bCs/>
          <w:color w:val="auto"/>
          <w:sz w:val="24"/>
          <w:szCs w:val="24"/>
        </w:rPr>
        <w:t>H</w:t>
      </w:r>
      <w:r>
        <w:rPr>
          <w:rFonts w:hint="default" w:ascii="Times New Roman" w:hAnsi="Times New Roman" w:cs="Times New Roman"/>
          <w:bCs/>
          <w:color w:val="auto"/>
          <w:sz w:val="24"/>
          <w:szCs w:val="24"/>
          <w:lang w:val="en-US" w:eastAsia="zh-CN"/>
        </w:rPr>
        <w:t>M</w:t>
      </w:r>
      <w:r>
        <w:rPr>
          <w:rFonts w:hint="default" w:ascii="Times New Roman" w:hAnsi="Times New Roman" w:cs="Times New Roman"/>
          <w:bCs/>
          <w:color w:val="auto"/>
          <w:sz w:val="24"/>
          <w:szCs w:val="24"/>
        </w:rPr>
        <w:t>O</w:t>
      </w:r>
      <w:r>
        <w:rPr>
          <w:rFonts w:hint="default" w:ascii="Times New Roman" w:hAnsi="Times New Roman" w:cs="Times New Roman"/>
          <w:bCs/>
          <w:color w:val="auto"/>
          <w:sz w:val="24"/>
          <w:szCs w:val="24"/>
          <w:lang w:val="en-US" w:eastAsia="zh-CN"/>
        </w:rPr>
        <w:t>X</w:t>
      </w:r>
      <w:r>
        <w:rPr>
          <w:rFonts w:hint="default" w:ascii="Times New Roman" w:hAnsi="Times New Roman" w:cs="Times New Roman"/>
          <w:bCs/>
          <w:color w:val="auto"/>
          <w:sz w:val="24"/>
          <w:szCs w:val="24"/>
        </w:rPr>
        <w:t xml:space="preserve">1 mRNA levels in NSCLC cells with TROP2 overexpression. The gene expression verification in PC9 and A549 cells with TROP2 overexpression. HMOX1 mRNA was examined by real time RT-PCR. (B) HMOX1 protein in PC9 and A549 cells with TROP2 overexpression. HMOX1 protein levels were examined by western blotting. </w:t>
      </w:r>
      <w:r>
        <w:rPr>
          <w:rFonts w:hint="default" w:ascii="Times New Roman" w:hAnsi="Times New Roman" w:cs="Times New Roman"/>
          <w:color w:val="auto"/>
          <w:sz w:val="24"/>
          <w:szCs w:val="24"/>
        </w:rPr>
        <w:t>(C-D) PC9 and A549 cells with TROP2 overexpression infected with lentivirus mediated HMOX1, the cell viability of Cell growth ability was determined using the CCK-8 assay. (E-F) The cellular MDA levels were assayed. (G-H) The cellular GSH levels were assayed.</w:t>
      </w:r>
      <w:r>
        <w:rPr>
          <w:rFonts w:hint="default" w:ascii="Times New Roman" w:hAnsi="Times New Roman" w:cs="Times New Roman"/>
          <w:bCs/>
          <w:color w:val="auto"/>
          <w:sz w:val="24"/>
          <w:szCs w:val="24"/>
        </w:rPr>
        <w:t xml:space="preserve"> (I) TROP2 and HMOX1 levels were in clinical lung cancer samples. (J) TROP2 was negatively related to HMOX1 in human lung cancer tissues (r=-0.501).</w:t>
      </w:r>
      <w:r>
        <w:rPr>
          <w:rFonts w:hint="default" w:ascii="Times New Roman" w:hAnsi="Times New Roman" w:cs="Times New Roman"/>
          <w:color w:val="auto"/>
          <w:sz w:val="24"/>
          <w:szCs w:val="24"/>
        </w:rPr>
        <w:t xml:space="preserve"> </w:t>
      </w:r>
      <w:r>
        <w:rPr>
          <w:rFonts w:hint="default" w:ascii="Times New Roman" w:hAnsi="Times New Roman" w:cs="Times New Roman"/>
          <w:color w:val="auto"/>
          <w:sz w:val="24"/>
          <w:szCs w:val="24"/>
          <w:lang w:val="en-US" w:eastAsia="zh-CN"/>
        </w:rPr>
        <w:t xml:space="preserve">HO1: HMOX1. </w:t>
      </w:r>
      <w:r>
        <w:rPr>
          <w:rFonts w:hint="default" w:ascii="Times New Roman" w:hAnsi="Times New Roman" w:cs="Times New Roman"/>
          <w:color w:val="auto"/>
          <w:sz w:val="24"/>
          <w:szCs w:val="24"/>
        </w:rPr>
        <w:t>Data are shown as the mean ± SD (n = 3).</w:t>
      </w:r>
      <w:r>
        <w:rPr>
          <w:rFonts w:hint="eastAsia" w:ascii="Times New Roman" w:hAnsi="Times New Roman" w:cs="Times New Roman"/>
          <w:color w:val="auto"/>
          <w:sz w:val="24"/>
          <w:szCs w:val="24"/>
          <w:lang w:val="en-US" w:eastAsia="zh-CN"/>
        </w:rPr>
        <w:t xml:space="preserve"> </w:t>
      </w:r>
      <w:r>
        <w:rPr>
          <w:rFonts w:hint="default" w:ascii="Times New Roman" w:hAnsi="Times New Roman" w:cs="Times New Roman"/>
          <w:color w:val="auto"/>
          <w:sz w:val="24"/>
          <w:szCs w:val="24"/>
        </w:rPr>
        <w:t>Statistical analysis: Two-tailed unpaired Student’s t-test (A, B); Two-way ANOVA followed by Sidak’s post hoc test (C-H); Pearson correlation analysis (J). *P &lt; 0.05, **P &lt; 0.01.</w:t>
      </w:r>
    </w:p>
    <w:p w14:paraId="4D52A72D">
      <w:pPr>
        <w:spacing w:line="360" w:lineRule="auto"/>
        <w:rPr>
          <w:rFonts w:hint="default" w:ascii="Times New Roman" w:hAnsi="Times New Roman" w:cs="Times New Roman"/>
          <w:color w:val="auto"/>
          <w:sz w:val="24"/>
          <w:szCs w:val="24"/>
        </w:rPr>
      </w:pPr>
      <w:r>
        <w:rPr>
          <w:rFonts w:hint="default" w:ascii="Times New Roman" w:hAnsi="Times New Roman" w:cs="Times New Roman"/>
          <w:b/>
          <w:bCs/>
          <w:color w:val="auto"/>
          <w:sz w:val="24"/>
          <w:szCs w:val="24"/>
        </w:rPr>
        <w:t>Fig S</w:t>
      </w:r>
      <w:r>
        <w:rPr>
          <w:rFonts w:hint="default" w:ascii="Times New Roman" w:hAnsi="Times New Roman" w:cs="Times New Roman"/>
          <w:b/>
          <w:bCs/>
          <w:color w:val="auto"/>
          <w:sz w:val="24"/>
          <w:szCs w:val="24"/>
          <w:lang w:val="en-US" w:eastAsia="zh-CN"/>
        </w:rPr>
        <w:t>5</w:t>
      </w:r>
      <w:r>
        <w:rPr>
          <w:rFonts w:hint="default" w:ascii="Times New Roman" w:hAnsi="Times New Roman" w:cs="Times New Roman"/>
          <w:b/>
          <w:color w:val="auto"/>
          <w:sz w:val="24"/>
          <w:szCs w:val="24"/>
        </w:rPr>
        <w:t xml:space="preserve">. YAP regulates HMOX1 induced ferroptosis. </w:t>
      </w:r>
      <w:r>
        <w:rPr>
          <w:rStyle w:val="4"/>
          <w:rFonts w:hint="default" w:ascii="Times New Roman" w:hAnsi="Times New Roman" w:cs="Times New Roman"/>
          <w:b w:val="0"/>
          <w:color w:val="auto"/>
          <w:sz w:val="24"/>
          <w:szCs w:val="24"/>
          <w:shd w:val="clear" w:color="auto" w:fill="FFFFFF"/>
        </w:rPr>
        <w:t>(A) mRNA levels of HMOX1 in PC9 cells. mRNA</w:t>
      </w:r>
      <w:r>
        <w:rPr>
          <w:rStyle w:val="4"/>
          <w:rFonts w:hint="default" w:ascii="Times New Roman" w:hAnsi="Times New Roman" w:cs="Times New Roman"/>
          <w:b w:val="0"/>
          <w:color w:val="auto"/>
          <w:sz w:val="24"/>
          <w:szCs w:val="24"/>
          <w:shd w:val="clear" w:color="auto" w:fill="FFFFFF"/>
          <w:lang w:val="en-US" w:eastAsia="zh-CN"/>
        </w:rPr>
        <w:t xml:space="preserve"> was</w:t>
      </w:r>
      <w:r>
        <w:rPr>
          <w:rStyle w:val="4"/>
          <w:rFonts w:hint="default" w:ascii="Times New Roman" w:hAnsi="Times New Roman" w:cs="Times New Roman"/>
          <w:b w:val="0"/>
          <w:color w:val="auto"/>
          <w:sz w:val="24"/>
          <w:szCs w:val="24"/>
          <w:shd w:val="clear" w:color="auto" w:fill="FFFFFF"/>
        </w:rPr>
        <w:t xml:space="preserve"> evaluated by RT-PCR</w:t>
      </w:r>
      <w:r>
        <w:rPr>
          <w:rStyle w:val="4"/>
          <w:rFonts w:hint="default" w:ascii="Times New Roman" w:hAnsi="Times New Roman" w:cs="Times New Roman"/>
          <w:b w:val="0"/>
          <w:color w:val="auto"/>
          <w:sz w:val="24"/>
          <w:szCs w:val="24"/>
          <w:shd w:val="clear" w:color="auto" w:fill="FFFFFF"/>
          <w:lang w:val="en-US" w:eastAsia="zh-CN"/>
        </w:rPr>
        <w:t>. (B)P</w:t>
      </w:r>
      <w:r>
        <w:rPr>
          <w:rStyle w:val="4"/>
          <w:rFonts w:hint="default" w:ascii="Times New Roman" w:hAnsi="Times New Roman" w:cs="Times New Roman"/>
          <w:b w:val="0"/>
          <w:color w:val="auto"/>
          <w:sz w:val="24"/>
          <w:szCs w:val="24"/>
          <w:shd w:val="clear" w:color="auto" w:fill="FFFFFF"/>
        </w:rPr>
        <w:t>rotein levels</w:t>
      </w:r>
      <w:r>
        <w:rPr>
          <w:rStyle w:val="4"/>
          <w:rFonts w:hint="default" w:ascii="Times New Roman" w:hAnsi="Times New Roman" w:cs="Times New Roman"/>
          <w:b w:val="0"/>
          <w:color w:val="auto"/>
          <w:sz w:val="24"/>
          <w:szCs w:val="24"/>
          <w:shd w:val="clear" w:color="auto" w:fill="FFFFFF"/>
          <w:lang w:val="en-US" w:eastAsia="zh-CN"/>
        </w:rPr>
        <w:t xml:space="preserve"> were examined by </w:t>
      </w:r>
      <w:r>
        <w:rPr>
          <w:rStyle w:val="4"/>
          <w:rFonts w:hint="default" w:ascii="Times New Roman" w:hAnsi="Times New Roman" w:cs="Times New Roman"/>
          <w:b w:val="0"/>
          <w:color w:val="auto"/>
          <w:sz w:val="24"/>
          <w:szCs w:val="24"/>
          <w:shd w:val="clear" w:color="auto" w:fill="FFFFFF"/>
        </w:rPr>
        <w:t>Western blotting.</w:t>
      </w:r>
      <w:r>
        <w:rPr>
          <w:rStyle w:val="4"/>
          <w:rFonts w:hint="default" w:ascii="Times New Roman" w:hAnsi="Times New Roman" w:cs="Times New Roman"/>
          <w:b w:val="0"/>
          <w:color w:val="auto"/>
          <w:sz w:val="24"/>
          <w:szCs w:val="24"/>
          <w:shd w:val="clear" w:color="auto" w:fill="FFFFFF"/>
          <w:lang w:val="en-US" w:eastAsia="zh-CN"/>
        </w:rPr>
        <w:t xml:space="preserve"> (C) </w:t>
      </w:r>
      <w:r>
        <w:rPr>
          <w:rFonts w:hint="default" w:ascii="Times New Roman" w:hAnsi="Times New Roman" w:cs="Times New Roman"/>
          <w:color w:val="auto"/>
          <w:sz w:val="24"/>
          <w:szCs w:val="24"/>
        </w:rPr>
        <w:t xml:space="preserve">Quantitative analysis (bar graph) of the bands </w:t>
      </w:r>
      <w:r>
        <w:rPr>
          <w:rFonts w:hint="default" w:ascii="Times New Roman" w:hAnsi="Times New Roman" w:cs="Times New Roman"/>
          <w:color w:val="auto"/>
          <w:sz w:val="24"/>
          <w:szCs w:val="24"/>
          <w:lang w:val="en-US" w:eastAsia="zh-CN"/>
        </w:rPr>
        <w:t>was</w:t>
      </w:r>
      <w:r>
        <w:rPr>
          <w:rFonts w:hint="default" w:ascii="Times New Roman" w:hAnsi="Times New Roman" w:cs="Times New Roman"/>
          <w:color w:val="auto"/>
          <w:sz w:val="24"/>
          <w:szCs w:val="24"/>
        </w:rPr>
        <w:t xml:space="preserve"> shown adjacent to the representative blots</w:t>
      </w:r>
      <w:r>
        <w:rPr>
          <w:rFonts w:hint="default" w:ascii="Times New Roman" w:hAnsi="Times New Roman" w:cs="Times New Roman"/>
          <w:color w:val="auto"/>
          <w:sz w:val="24"/>
          <w:szCs w:val="24"/>
          <w:lang w:val="en-US" w:eastAsia="zh-CN"/>
        </w:rPr>
        <w:t xml:space="preserve"> (B)</w:t>
      </w:r>
      <w:r>
        <w:rPr>
          <w:rFonts w:hint="default" w:ascii="Times New Roman" w:hAnsi="Times New Roman" w:cs="Times New Roman"/>
          <w:color w:val="auto"/>
          <w:sz w:val="24"/>
          <w:szCs w:val="24"/>
        </w:rPr>
        <w:t>.</w:t>
      </w:r>
      <w:r>
        <w:rPr>
          <w:rFonts w:hint="default" w:ascii="Times New Roman" w:hAnsi="Times New Roman" w:eastAsia="宋体" w:cs="Times New Roman"/>
          <w:i w:val="0"/>
          <w:iCs w:val="0"/>
          <w:caps w:val="0"/>
          <w:color w:val="auto"/>
          <w:spacing w:val="0"/>
          <w:sz w:val="24"/>
          <w:szCs w:val="24"/>
          <w:shd w:val="clear" w:fill="FFFFFF"/>
          <w:lang w:val="en-US" w:eastAsia="zh-CN"/>
        </w:rPr>
        <w:t xml:space="preserve"> </w:t>
      </w:r>
      <w:r>
        <w:rPr>
          <w:rFonts w:hint="default" w:ascii="Times New Roman" w:hAnsi="Times New Roman" w:cs="Times New Roman"/>
          <w:color w:val="auto"/>
          <w:sz w:val="24"/>
          <w:szCs w:val="24"/>
          <w:lang w:val="en-US" w:eastAsia="zh-CN"/>
        </w:rPr>
        <w:t xml:space="preserve">(D-E) </w:t>
      </w:r>
      <w:r>
        <w:rPr>
          <w:rFonts w:hint="default" w:ascii="Times New Roman" w:hAnsi="Times New Roman" w:cs="Times New Roman"/>
          <w:color w:val="auto"/>
          <w:sz w:val="24"/>
          <w:szCs w:val="24"/>
        </w:rPr>
        <w:t>Luciferase activity of serial 5</w:t>
      </w:r>
      <w:r>
        <w:rPr>
          <w:rFonts w:hint="default" w:ascii="Times New Roman" w:hAnsi="Times New Roman" w:cs="Times New Roman"/>
          <w:color w:val="auto"/>
          <w:sz w:val="24"/>
          <w:szCs w:val="24"/>
          <w:lang w:val="en-US" w:eastAsia="zh-CN"/>
        </w:rPr>
        <w:t>’</w:t>
      </w:r>
      <w:r>
        <w:rPr>
          <w:rFonts w:hint="default" w:ascii="Times New Roman" w:hAnsi="Times New Roman" w:cs="Times New Roman"/>
          <w:color w:val="auto"/>
          <w:sz w:val="24"/>
          <w:szCs w:val="24"/>
        </w:rPr>
        <w:t>-deletion constructs of the HMOX1 promoter in the presence of YAP overexpression, presented as fold activation relative to the empty vector control. The schematic above the graph illustrates the cloned promoter fragments.</w:t>
      </w:r>
      <w:r>
        <w:rPr>
          <w:rFonts w:hint="default" w:ascii="Times New Roman" w:hAnsi="Times New Roman" w:eastAsia="Segoe UI" w:cs="Times New Roman"/>
          <w:i w:val="0"/>
          <w:iCs w:val="0"/>
          <w:caps w:val="0"/>
          <w:color w:val="auto"/>
          <w:spacing w:val="0"/>
          <w:sz w:val="24"/>
          <w:szCs w:val="24"/>
          <w:shd w:val="clear" w:fill="FFFFFF"/>
        </w:rPr>
        <w:t> </w:t>
      </w:r>
      <w:r>
        <w:rPr>
          <w:rFonts w:hint="default" w:ascii="Times New Roman" w:hAnsi="Times New Roman" w:cs="Times New Roman"/>
          <w:color w:val="auto"/>
          <w:sz w:val="24"/>
          <w:szCs w:val="24"/>
          <w:shd w:val="clear" w:color="auto" w:fill="FFFFFF"/>
        </w:rPr>
        <w:t>(</w:t>
      </w:r>
      <w:r>
        <w:rPr>
          <w:rFonts w:hint="default" w:ascii="Times New Roman" w:hAnsi="Times New Roman" w:cs="Times New Roman"/>
          <w:color w:val="auto"/>
          <w:sz w:val="24"/>
          <w:szCs w:val="24"/>
          <w:shd w:val="clear" w:color="auto" w:fill="FFFFFF"/>
          <w:lang w:val="en-US" w:eastAsia="zh-CN"/>
        </w:rPr>
        <w:t>F</w:t>
      </w:r>
      <w:r>
        <w:rPr>
          <w:rFonts w:hint="default" w:ascii="Times New Roman" w:hAnsi="Times New Roman" w:cs="Times New Roman"/>
          <w:color w:val="auto"/>
          <w:sz w:val="24"/>
          <w:szCs w:val="24"/>
          <w:shd w:val="clear" w:color="auto" w:fill="FFFFFF"/>
        </w:rPr>
        <w:t xml:space="preserve">) Cell viability assessed by CCK-8 assay in PC9 cells with YAP overexpression, with or without concomitant HMOX1 downregulation. </w:t>
      </w:r>
      <w:r>
        <w:rPr>
          <w:rStyle w:val="4"/>
          <w:rFonts w:hint="default" w:ascii="Times New Roman" w:hAnsi="Times New Roman" w:cs="Times New Roman"/>
          <w:b w:val="0"/>
          <w:color w:val="auto"/>
          <w:sz w:val="24"/>
          <w:szCs w:val="24"/>
          <w:shd w:val="clear" w:color="auto" w:fill="FFFFFF"/>
        </w:rPr>
        <w:t>(</w:t>
      </w:r>
      <w:r>
        <w:rPr>
          <w:rStyle w:val="4"/>
          <w:rFonts w:hint="default" w:ascii="Times New Roman" w:hAnsi="Times New Roman" w:cs="Times New Roman"/>
          <w:b w:val="0"/>
          <w:color w:val="auto"/>
          <w:sz w:val="24"/>
          <w:szCs w:val="24"/>
          <w:shd w:val="clear" w:color="auto" w:fill="FFFFFF"/>
          <w:lang w:val="en-US" w:eastAsia="zh-CN"/>
        </w:rPr>
        <w:t>G</w:t>
      </w:r>
      <w:r>
        <w:rPr>
          <w:rStyle w:val="4"/>
          <w:rFonts w:hint="default" w:ascii="Times New Roman" w:hAnsi="Times New Roman" w:cs="Times New Roman"/>
          <w:b w:val="0"/>
          <w:color w:val="auto"/>
          <w:sz w:val="24"/>
          <w:szCs w:val="24"/>
          <w:shd w:val="clear" w:color="auto" w:fill="FFFFFF"/>
        </w:rPr>
        <w:t>)</w:t>
      </w:r>
      <w:r>
        <w:rPr>
          <w:rFonts w:hint="default" w:ascii="Times New Roman" w:hAnsi="Times New Roman" w:cs="Times New Roman"/>
          <w:color w:val="auto"/>
          <w:sz w:val="24"/>
          <w:szCs w:val="24"/>
          <w:shd w:val="clear" w:color="auto" w:fill="FFFFFF"/>
        </w:rPr>
        <w:t xml:space="preserve"> Measurement of cellular </w:t>
      </w:r>
      <w:r>
        <w:rPr>
          <w:rFonts w:hint="default" w:ascii="Times New Roman" w:hAnsi="Times New Roman" w:cs="Times New Roman"/>
          <w:color w:val="auto"/>
          <w:sz w:val="24"/>
          <w:szCs w:val="24"/>
          <w:shd w:val="clear" w:color="auto" w:fill="FFFFFF"/>
          <w:lang w:val="en-US" w:eastAsia="zh-CN"/>
        </w:rPr>
        <w:t>GSH</w:t>
      </w:r>
      <w:r>
        <w:rPr>
          <w:rFonts w:hint="default" w:ascii="Times New Roman" w:hAnsi="Times New Roman" w:cs="Times New Roman"/>
          <w:color w:val="auto"/>
          <w:sz w:val="24"/>
          <w:szCs w:val="24"/>
          <w:shd w:val="clear" w:color="auto" w:fill="FFFFFF"/>
        </w:rPr>
        <w:t xml:space="preserve"> levels in the indicated groups of PC9</w:t>
      </w:r>
      <w:r>
        <w:rPr>
          <w:rStyle w:val="4"/>
          <w:rFonts w:hint="default" w:ascii="Times New Roman" w:hAnsi="Times New Roman" w:cs="Times New Roman"/>
          <w:b w:val="0"/>
          <w:color w:val="auto"/>
          <w:sz w:val="24"/>
          <w:szCs w:val="24"/>
          <w:shd w:val="clear" w:color="auto" w:fill="FFFFFF"/>
        </w:rPr>
        <w:t xml:space="preserve"> </w:t>
      </w:r>
      <w:r>
        <w:rPr>
          <w:rFonts w:hint="default" w:ascii="Times New Roman" w:hAnsi="Times New Roman" w:cs="Times New Roman"/>
          <w:color w:val="auto"/>
          <w:sz w:val="24"/>
          <w:szCs w:val="24"/>
          <w:shd w:val="clear" w:color="auto" w:fill="FFFFFF"/>
        </w:rPr>
        <w:t xml:space="preserve">cells. </w:t>
      </w:r>
      <w:r>
        <w:rPr>
          <w:rStyle w:val="4"/>
          <w:rFonts w:hint="default" w:ascii="Times New Roman" w:hAnsi="Times New Roman" w:cs="Times New Roman"/>
          <w:b w:val="0"/>
          <w:color w:val="auto"/>
          <w:sz w:val="24"/>
          <w:szCs w:val="24"/>
          <w:shd w:val="clear" w:color="auto" w:fill="FFFFFF"/>
        </w:rPr>
        <w:t>(</w:t>
      </w:r>
      <w:r>
        <w:rPr>
          <w:rStyle w:val="4"/>
          <w:rFonts w:hint="default" w:ascii="Times New Roman" w:hAnsi="Times New Roman" w:cs="Times New Roman"/>
          <w:b w:val="0"/>
          <w:color w:val="auto"/>
          <w:sz w:val="24"/>
          <w:szCs w:val="24"/>
          <w:shd w:val="clear" w:color="auto" w:fill="FFFFFF"/>
          <w:lang w:val="en-US" w:eastAsia="zh-CN"/>
        </w:rPr>
        <w:t>H</w:t>
      </w:r>
      <w:r>
        <w:rPr>
          <w:rStyle w:val="4"/>
          <w:rFonts w:hint="default" w:ascii="Times New Roman" w:hAnsi="Times New Roman" w:cs="Times New Roman"/>
          <w:b w:val="0"/>
          <w:color w:val="auto"/>
          <w:sz w:val="24"/>
          <w:szCs w:val="24"/>
          <w:shd w:val="clear" w:color="auto" w:fill="FFFFFF"/>
        </w:rPr>
        <w:t>)</w:t>
      </w:r>
      <w:r>
        <w:rPr>
          <w:rFonts w:hint="default" w:ascii="Times New Roman" w:hAnsi="Times New Roman" w:cs="Times New Roman"/>
          <w:b/>
          <w:color w:val="auto"/>
          <w:sz w:val="24"/>
          <w:szCs w:val="24"/>
          <w:shd w:val="clear" w:color="auto" w:fill="FFFFFF"/>
        </w:rPr>
        <w:t> </w:t>
      </w:r>
      <w:r>
        <w:rPr>
          <w:rFonts w:hint="default" w:ascii="Times New Roman" w:hAnsi="Times New Roman" w:cs="Times New Roman"/>
          <w:color w:val="auto"/>
          <w:sz w:val="24"/>
          <w:szCs w:val="24"/>
          <w:shd w:val="clear" w:color="auto" w:fill="FFFFFF"/>
        </w:rPr>
        <w:t xml:space="preserve">Measurement of cellular </w:t>
      </w:r>
      <w:r>
        <w:rPr>
          <w:rFonts w:hint="default" w:ascii="Times New Roman" w:hAnsi="Times New Roman" w:cs="Times New Roman"/>
          <w:color w:val="auto"/>
          <w:sz w:val="24"/>
          <w:szCs w:val="24"/>
          <w:shd w:val="clear" w:color="auto" w:fill="FFFFFF"/>
          <w:lang w:val="en-US" w:eastAsia="zh-CN"/>
        </w:rPr>
        <w:t>MDA</w:t>
      </w:r>
      <w:r>
        <w:rPr>
          <w:rFonts w:hint="default" w:ascii="Times New Roman" w:hAnsi="Times New Roman" w:cs="Times New Roman"/>
          <w:color w:val="auto"/>
          <w:sz w:val="24"/>
          <w:szCs w:val="24"/>
          <w:shd w:val="clear" w:color="auto" w:fill="FFFFFF"/>
        </w:rPr>
        <w:t xml:space="preserve"> levels in the indicated groups of PC9 cells.</w:t>
      </w:r>
      <w:r>
        <w:rPr>
          <w:rFonts w:hint="default" w:ascii="Times New Roman" w:hAnsi="Times New Roman" w:cs="Times New Roman"/>
          <w:color w:val="auto"/>
          <w:sz w:val="24"/>
          <w:szCs w:val="24"/>
        </w:rPr>
        <w:t>Data are shown as the mean ± SD (n = 3). Statistical analysis: Two-tailed unpaired Student’s t-test (A, B, C); One-way ANOVA followed by Tukey’s post hoc test (D, E); Two-way ANOVA followed by Sidak’s post hoc test (F, G, H). *P &lt; 0.05, **P &lt; 0.01.</w:t>
      </w:r>
    </w:p>
    <w:p w14:paraId="2AA1A791">
      <w:pPr>
        <w:spacing w:line="360" w:lineRule="auto"/>
        <w:rPr>
          <w:rFonts w:hint="default" w:ascii="Times New Roman" w:hAnsi="Times New Roman" w:cs="Times New Roman"/>
          <w:color w:val="auto"/>
          <w:sz w:val="24"/>
          <w:szCs w:val="24"/>
        </w:rPr>
      </w:pPr>
      <w:r>
        <w:rPr>
          <w:rFonts w:hint="default" w:ascii="Times New Roman" w:hAnsi="Times New Roman" w:cs="Times New Roman"/>
          <w:b/>
          <w:color w:val="auto"/>
          <w:sz w:val="24"/>
          <w:szCs w:val="24"/>
        </w:rPr>
        <w:t>Fig S</w:t>
      </w:r>
      <w:r>
        <w:rPr>
          <w:rFonts w:hint="default" w:ascii="Times New Roman" w:hAnsi="Times New Roman" w:cs="Times New Roman"/>
          <w:b/>
          <w:color w:val="auto"/>
          <w:sz w:val="24"/>
          <w:szCs w:val="24"/>
          <w:lang w:val="en-US" w:eastAsia="zh-CN"/>
        </w:rPr>
        <w:t>6</w:t>
      </w:r>
      <w:r>
        <w:rPr>
          <w:rFonts w:hint="default" w:ascii="Times New Roman" w:hAnsi="Times New Roman" w:cs="Times New Roman"/>
          <w:b/>
          <w:color w:val="auto"/>
          <w:sz w:val="24"/>
          <w:szCs w:val="24"/>
        </w:rPr>
        <w:t>. MDA and GSH levels in vivo.</w:t>
      </w:r>
      <w:r>
        <w:rPr>
          <w:rFonts w:hint="default" w:ascii="Times New Roman" w:hAnsi="Times New Roman" w:cs="Times New Roman"/>
          <w:color w:val="auto"/>
          <w:sz w:val="24"/>
          <w:szCs w:val="24"/>
        </w:rPr>
        <w:t xml:space="preserve"> (A) The cellular GSH levels were assayed in the tissues from animal models. (B) The cellular MDA levels were assayed in the tissues from animal models.</w:t>
      </w:r>
      <w:r>
        <w:rPr>
          <w:rFonts w:hint="eastAsia" w:ascii="Times New Roman" w:hAnsi="Times New Roman" w:cs="Times New Roman"/>
          <w:color w:val="auto"/>
          <w:sz w:val="24"/>
          <w:szCs w:val="24"/>
          <w:lang w:val="en-US" w:eastAsia="zh-CN"/>
        </w:rPr>
        <w:t xml:space="preserve"> </w:t>
      </w:r>
      <w:r>
        <w:rPr>
          <w:rFonts w:hint="default" w:ascii="Times New Roman" w:hAnsi="Times New Roman" w:cs="Times New Roman"/>
          <w:color w:val="auto"/>
          <w:sz w:val="24"/>
          <w:szCs w:val="24"/>
        </w:rPr>
        <w:t>Data are shown as the mean ± SD (n = 3). Statistical significance was determined by one-way ANOVA followed by Tukey’s post hoc test. *P &lt; 0.05, **P &lt; 0.01.</w:t>
      </w:r>
    </w:p>
    <w:p w14:paraId="5DFB4820">
      <w:pPr>
        <w:spacing w:line="360" w:lineRule="auto"/>
        <w:rPr>
          <w:rFonts w:hint="default" w:ascii="Times New Roman" w:hAnsi="Times New Roman" w:cs="Times New Roman"/>
          <w:color w:val="auto"/>
          <w:sz w:val="24"/>
          <w:szCs w:val="24"/>
        </w:rPr>
      </w:pPr>
      <w:r>
        <w:rPr>
          <w:rFonts w:hint="default" w:ascii="Times New Roman" w:hAnsi="Times New Roman" w:cs="Times New Roman"/>
          <w:b/>
          <w:bCs/>
          <w:color w:val="auto"/>
          <w:sz w:val="24"/>
          <w:szCs w:val="24"/>
        </w:rPr>
        <w:t>Fig S7. TROP2 regulates the Hippo pathway upstream kinase LATS1</w:t>
      </w:r>
      <w:r>
        <w:rPr>
          <w:rFonts w:hint="default" w:ascii="Times New Roman" w:hAnsi="Times New Roman" w:cs="Times New Roman"/>
          <w:b/>
          <w:bCs/>
          <w:color w:val="auto"/>
          <w:sz w:val="24"/>
          <w:szCs w:val="24"/>
          <w:lang w:val="en-US" w:eastAsia="zh-CN"/>
        </w:rPr>
        <w:t>.</w:t>
      </w:r>
      <w:r>
        <w:rPr>
          <w:rFonts w:hint="default" w:ascii="Times New Roman" w:hAnsi="Times New Roman" w:cs="Times New Roman"/>
          <w:color w:val="auto"/>
          <w:sz w:val="24"/>
          <w:szCs w:val="24"/>
          <w:lang w:val="en-US" w:eastAsia="zh-CN"/>
        </w:rPr>
        <w:t xml:space="preserve"> </w:t>
      </w:r>
      <w:r>
        <w:rPr>
          <w:rFonts w:hint="default" w:ascii="Times New Roman" w:hAnsi="Times New Roman" w:cs="Times New Roman"/>
          <w:color w:val="auto"/>
          <w:sz w:val="24"/>
          <w:szCs w:val="24"/>
        </w:rPr>
        <w:t>(A) Western blot analysis of LATS1 and phosphorylated LATS1 (p-LATS1, Ser909) protein levels in control and TROP2-knockdown PC9 and H292 cells. GAPDH was used as a loading control.</w:t>
      </w:r>
      <w:r>
        <w:rPr>
          <w:rFonts w:hint="default" w:ascii="Times New Roman" w:hAnsi="Times New Roman" w:cs="Times New Roman"/>
          <w:color w:val="auto"/>
          <w:sz w:val="24"/>
          <w:szCs w:val="24"/>
          <w:lang w:val="en-US" w:eastAsia="zh-CN"/>
        </w:rPr>
        <w:t xml:space="preserve"> </w:t>
      </w:r>
      <w:r>
        <w:rPr>
          <w:rFonts w:hint="default" w:ascii="Times New Roman" w:hAnsi="Times New Roman" w:cs="Times New Roman"/>
          <w:color w:val="auto"/>
          <w:sz w:val="24"/>
          <w:szCs w:val="24"/>
        </w:rPr>
        <w:t>(B</w:t>
      </w:r>
      <w:r>
        <w:rPr>
          <w:rFonts w:hint="default" w:ascii="Times New Roman" w:hAnsi="Times New Roman" w:cs="Times New Roman"/>
          <w:color w:val="auto"/>
          <w:sz w:val="24"/>
          <w:szCs w:val="24"/>
          <w:lang w:val="en-US" w:eastAsia="zh-CN"/>
        </w:rPr>
        <w:t>-C</w:t>
      </w:r>
      <w:r>
        <w:rPr>
          <w:rFonts w:hint="default" w:ascii="Times New Roman" w:hAnsi="Times New Roman" w:cs="Times New Roman"/>
          <w:color w:val="auto"/>
          <w:sz w:val="24"/>
          <w:szCs w:val="24"/>
        </w:rPr>
        <w:t>) Quantification of the band intensity for p-LATS1 and total LATS1 from (A), normalized to GAPDH.</w:t>
      </w:r>
      <w:r>
        <w:rPr>
          <w:rFonts w:hint="default" w:ascii="Times New Roman" w:hAnsi="Times New Roman" w:cs="Times New Roman"/>
          <w:color w:val="auto"/>
          <w:sz w:val="24"/>
          <w:szCs w:val="24"/>
          <w:lang w:val="en-US" w:eastAsia="zh-CN"/>
        </w:rPr>
        <w:t xml:space="preserve"> </w:t>
      </w:r>
      <w:r>
        <w:rPr>
          <w:rFonts w:hint="default" w:ascii="Times New Roman" w:hAnsi="Times New Roman" w:cs="Times New Roman"/>
          <w:color w:val="auto"/>
          <w:sz w:val="24"/>
          <w:szCs w:val="24"/>
        </w:rPr>
        <w:t xml:space="preserve">Data are shown as the mean ± SD (n = 3 independent experiments). </w:t>
      </w:r>
      <w:r>
        <w:rPr>
          <w:rFonts w:hint="default" w:ascii="Times New Roman" w:hAnsi="Times New Roman" w:cs="Times New Roman"/>
          <w:bCs/>
          <w:color w:val="000000" w:themeColor="text1"/>
          <w:sz w:val="24"/>
          <w:szCs w:val="24"/>
          <w14:textFill>
            <w14:solidFill>
              <w14:schemeClr w14:val="tx1"/>
            </w14:solidFill>
          </w14:textFill>
        </w:rPr>
        <w:t>Student’s t test</w:t>
      </w:r>
      <w:r>
        <w:rPr>
          <w:rFonts w:hint="eastAsia" w:ascii="Times New Roman" w:hAnsi="Times New Roman" w:cs="Times New Roman"/>
          <w:bCs/>
          <w:color w:val="000000" w:themeColor="text1"/>
          <w:sz w:val="24"/>
          <w:szCs w:val="24"/>
          <w:lang w:val="en-US" w:eastAsia="zh-CN"/>
          <w14:textFill>
            <w14:solidFill>
              <w14:schemeClr w14:val="tx1"/>
            </w14:solidFill>
          </w14:textFill>
        </w:rPr>
        <w:t xml:space="preserve"> was</w:t>
      </w:r>
      <w:r>
        <w:rPr>
          <w:rFonts w:hint="default" w:ascii="Times New Roman" w:hAnsi="Times New Roman" w:cs="Times New Roman"/>
          <w:bCs/>
          <w:color w:val="000000" w:themeColor="text1"/>
          <w:sz w:val="24"/>
          <w:szCs w:val="24"/>
          <w14:textFill>
            <w14:solidFill>
              <w14:schemeClr w14:val="tx1"/>
            </w14:solidFill>
          </w14:textFill>
        </w:rPr>
        <w:t xml:space="preserve"> performed for statistical analysis.</w:t>
      </w:r>
      <w:r>
        <w:rPr>
          <w:rFonts w:hint="default" w:ascii="Times New Roman" w:hAnsi="Times New Roman" w:cs="Times New Roman"/>
          <w:color w:val="auto"/>
          <w:sz w:val="24"/>
          <w:szCs w:val="24"/>
        </w:rPr>
        <w:t xml:space="preserve"> *P &lt; 0.05, **P &lt; 0.0.</w:t>
      </w:r>
    </w:p>
    <w:p w14:paraId="67C18CFD">
      <w:pPr>
        <w:spacing w:line="360" w:lineRule="auto"/>
        <w:rPr>
          <w:rFonts w:hint="default" w:ascii="Times New Roman" w:hAnsi="Times New Roman" w:cs="Times New Roman"/>
          <w:color w:val="auto"/>
          <w:sz w:val="24"/>
          <w:szCs w:val="24"/>
          <w:lang w:val="en-US" w:eastAsia="zh-CN"/>
        </w:rPr>
      </w:pPr>
      <w:r>
        <w:rPr>
          <w:rFonts w:hint="default" w:ascii="Times New Roman" w:hAnsi="Times New Roman" w:cs="Times New Roman"/>
          <w:b/>
          <w:bCs/>
          <w:color w:val="auto"/>
          <w:sz w:val="24"/>
          <w:szCs w:val="24"/>
        </w:rPr>
        <w:t xml:space="preserve">Fig S8. Analysis of ferroptosis-related gene expression upon </w:t>
      </w:r>
      <w:r>
        <w:rPr>
          <w:rFonts w:hint="default" w:ascii="Times New Roman" w:hAnsi="Times New Roman" w:cs="Times New Roman"/>
          <w:b/>
          <w:bCs/>
          <w:i/>
          <w:iCs/>
          <w:color w:val="auto"/>
          <w:sz w:val="24"/>
          <w:szCs w:val="24"/>
        </w:rPr>
        <w:t>TROP2</w:t>
      </w:r>
      <w:r>
        <w:rPr>
          <w:rFonts w:hint="default" w:ascii="Times New Roman" w:hAnsi="Times New Roman" w:cs="Times New Roman"/>
          <w:b/>
          <w:bCs/>
          <w:color w:val="auto"/>
          <w:sz w:val="24"/>
          <w:szCs w:val="24"/>
        </w:rPr>
        <w:t xml:space="preserve"> knockdown in H292 cells.</w:t>
      </w:r>
      <w:r>
        <w:rPr>
          <w:rFonts w:hint="eastAsia" w:ascii="Times New Roman" w:hAnsi="Times New Roman" w:cs="Times New Roman"/>
          <w:b/>
          <w:bCs/>
          <w:color w:val="auto"/>
          <w:sz w:val="24"/>
          <w:szCs w:val="24"/>
          <w:lang w:val="en-US" w:eastAsia="zh-CN"/>
        </w:rPr>
        <w:t xml:space="preserve"> </w:t>
      </w:r>
      <w:r>
        <w:rPr>
          <w:rFonts w:hint="default" w:ascii="Times New Roman" w:hAnsi="Times New Roman" w:cs="Times New Roman"/>
          <w:color w:val="auto"/>
          <w:sz w:val="24"/>
          <w:szCs w:val="24"/>
        </w:rPr>
        <w:t xml:space="preserve">(A) Heatmap depicting the expression changes of a curated set of ferroptosis-related genes in H292 cells with </w:t>
      </w:r>
      <w:r>
        <w:rPr>
          <w:rFonts w:hint="default" w:ascii="Times New Roman" w:hAnsi="Times New Roman" w:cs="Times New Roman"/>
          <w:i/>
          <w:iCs/>
          <w:color w:val="auto"/>
          <w:sz w:val="24"/>
          <w:szCs w:val="24"/>
        </w:rPr>
        <w:t>TROP2</w:t>
      </w:r>
      <w:r>
        <w:rPr>
          <w:rFonts w:hint="default" w:ascii="Times New Roman" w:hAnsi="Times New Roman" w:cs="Times New Roman"/>
          <w:color w:val="auto"/>
          <w:sz w:val="24"/>
          <w:szCs w:val="24"/>
        </w:rPr>
        <w:t xml:space="preserve"> knockdown (sTROP2) compared to control (s</w:t>
      </w:r>
      <w:r>
        <w:rPr>
          <w:rFonts w:hint="eastAsia" w:ascii="Times New Roman" w:hAnsi="Times New Roman" w:cs="Times New Roman"/>
          <w:color w:val="auto"/>
          <w:sz w:val="24"/>
          <w:szCs w:val="24"/>
          <w:lang w:val="en-US" w:eastAsia="zh-CN"/>
        </w:rPr>
        <w:t>iCON</w:t>
      </w:r>
      <w:r>
        <w:rPr>
          <w:rFonts w:hint="default" w:ascii="Times New Roman" w:hAnsi="Times New Roman" w:cs="Times New Roman"/>
          <w:color w:val="auto"/>
          <w:sz w:val="24"/>
          <w:szCs w:val="24"/>
        </w:rPr>
        <w:t>), based on RNA sequencing data. Genes were selected for their established roles in ferroptosis. Each row represents a gene, each column a biological replicate. Expression levels are shown as Z-score (or log2 fold change). (B) Quantitative RT-PCR (qRT-PCR) validation of selected differentially expressed genes (including</w:t>
      </w:r>
      <w:r>
        <w:rPr>
          <w:rFonts w:hint="eastAsia" w:ascii="Times New Roman" w:hAnsi="Times New Roman" w:cs="Times New Roman"/>
          <w:color w:val="auto"/>
          <w:sz w:val="24"/>
          <w:szCs w:val="24"/>
          <w:lang w:val="en-US" w:eastAsia="zh-CN"/>
        </w:rPr>
        <w:t xml:space="preserve"> </w:t>
      </w:r>
      <w:r>
        <w:rPr>
          <w:rFonts w:hint="eastAsia" w:ascii="Times New Roman" w:hAnsi="Times New Roman" w:cs="Times New Roman"/>
          <w:i/>
          <w:iCs/>
          <w:color w:val="auto"/>
          <w:sz w:val="24"/>
          <w:szCs w:val="24"/>
          <w:lang w:val="en-US" w:eastAsia="zh-CN"/>
        </w:rPr>
        <w:t>SLC40A1, SAT1, FTH1, TEAD2, ALOX5, NFE2L2, TEAD4, LPCAT3, GCH1 and NQO1</w:t>
      </w:r>
      <w:r>
        <w:rPr>
          <w:rFonts w:hint="default" w:ascii="Times New Roman" w:hAnsi="Times New Roman" w:cs="Times New Roman"/>
          <w:color w:val="auto"/>
          <w:sz w:val="24"/>
          <w:szCs w:val="24"/>
        </w:rPr>
        <w:t>). Expression levels are normalized to GAPDH and presented as fold change relative to s</w:t>
      </w:r>
      <w:r>
        <w:rPr>
          <w:rFonts w:hint="eastAsia" w:ascii="Times New Roman" w:hAnsi="Times New Roman" w:cs="Times New Roman"/>
          <w:color w:val="auto"/>
          <w:sz w:val="24"/>
          <w:szCs w:val="24"/>
          <w:lang w:val="en-US" w:eastAsia="zh-CN"/>
        </w:rPr>
        <w:t>i</w:t>
      </w:r>
      <w:r>
        <w:rPr>
          <w:rFonts w:hint="default" w:ascii="Times New Roman" w:hAnsi="Times New Roman" w:cs="Times New Roman"/>
          <w:color w:val="auto"/>
          <w:sz w:val="24"/>
          <w:szCs w:val="24"/>
        </w:rPr>
        <w:t>C</w:t>
      </w:r>
      <w:r>
        <w:rPr>
          <w:rFonts w:hint="eastAsia" w:ascii="Times New Roman" w:hAnsi="Times New Roman" w:cs="Times New Roman"/>
          <w:color w:val="auto"/>
          <w:sz w:val="24"/>
          <w:szCs w:val="24"/>
          <w:lang w:val="en-US" w:eastAsia="zh-CN"/>
        </w:rPr>
        <w:t>ON</w:t>
      </w:r>
      <w:r>
        <w:rPr>
          <w:rFonts w:hint="default" w:ascii="Times New Roman" w:hAnsi="Times New Roman" w:cs="Times New Roman"/>
          <w:color w:val="auto"/>
          <w:sz w:val="24"/>
          <w:szCs w:val="24"/>
        </w:rPr>
        <w:t>. Data are mean ± SD (n=3 independent experiments). Statistical significance was determined by two-tailed unpaired Student’s t-test. *P &lt; 0.05, **P &lt; 0.01.</w:t>
      </w:r>
    </w:p>
    <w:p w14:paraId="3B7E9745">
      <w:pPr>
        <w:spacing w:line="360" w:lineRule="auto"/>
        <w:rPr>
          <w:rFonts w:hint="default" w:ascii="Times New Roman" w:hAnsi="Times New Roman" w:cs="Times New Roman" w:eastAsiaTheme="minorEastAsia"/>
          <w:color w:val="auto"/>
          <w:kern w:val="2"/>
          <w:sz w:val="24"/>
          <w:szCs w:val="24"/>
          <w:lang w:val="en-US" w:eastAsia="zh-CN" w:bidi="ar-SA"/>
        </w:rPr>
      </w:pPr>
      <w:r>
        <w:rPr>
          <w:rFonts w:hint="default" w:ascii="Times New Roman" w:hAnsi="Times New Roman" w:cs="Times New Roman" w:eastAsiaTheme="minorEastAsia"/>
          <w:b/>
          <w:bCs/>
          <w:color w:val="auto"/>
          <w:kern w:val="2"/>
          <w:sz w:val="24"/>
          <w:szCs w:val="24"/>
          <w:lang w:val="en-US" w:eastAsia="zh-CN" w:bidi="ar-SA"/>
        </w:rPr>
        <w:t>Fig S</w:t>
      </w:r>
      <w:r>
        <w:rPr>
          <w:rFonts w:hint="default" w:ascii="Times New Roman" w:hAnsi="Times New Roman" w:cs="Times New Roman"/>
          <w:b/>
          <w:bCs/>
          <w:color w:val="auto"/>
          <w:kern w:val="2"/>
          <w:sz w:val="24"/>
          <w:szCs w:val="24"/>
          <w:lang w:val="en-US" w:eastAsia="zh-CN" w:bidi="ar-SA"/>
        </w:rPr>
        <w:t>9</w:t>
      </w:r>
      <w:r>
        <w:rPr>
          <w:rFonts w:hint="default" w:ascii="Times New Roman" w:hAnsi="Times New Roman" w:cs="Times New Roman" w:eastAsiaTheme="minorEastAsia"/>
          <w:b/>
          <w:bCs/>
          <w:color w:val="auto"/>
          <w:kern w:val="2"/>
          <w:sz w:val="24"/>
          <w:szCs w:val="24"/>
          <w:lang w:val="en-US" w:eastAsia="zh-CN" w:bidi="ar-SA"/>
        </w:rPr>
        <w:t>. Association of TROP2 expression with major driver mutations in lung adenocarcinoma (LUAD)</w:t>
      </w:r>
      <w:r>
        <w:rPr>
          <w:rFonts w:hint="default" w:ascii="Times New Roman" w:hAnsi="Times New Roman" w:cs="Times New Roman"/>
          <w:b/>
          <w:bCs/>
          <w:color w:val="auto"/>
          <w:kern w:val="2"/>
          <w:sz w:val="24"/>
          <w:szCs w:val="24"/>
          <w:lang w:val="en-US" w:eastAsia="zh-CN" w:bidi="ar-SA"/>
        </w:rPr>
        <w:t>.</w:t>
      </w:r>
      <w:r>
        <w:rPr>
          <w:rFonts w:hint="default" w:ascii="Times New Roman" w:hAnsi="Times New Roman" w:cs="Times New Roman" w:eastAsiaTheme="minorEastAsia"/>
          <w:b/>
          <w:bCs/>
          <w:color w:val="auto"/>
          <w:kern w:val="2"/>
          <w:sz w:val="24"/>
          <w:szCs w:val="24"/>
          <w:lang w:val="en-US" w:eastAsia="zh-CN" w:bidi="ar-SA"/>
        </w:rPr>
        <w:t xml:space="preserve"> </w:t>
      </w:r>
      <w:r>
        <w:rPr>
          <w:rFonts w:hint="default" w:ascii="Times New Roman" w:hAnsi="Times New Roman" w:cs="Times New Roman" w:eastAsiaTheme="minorEastAsia"/>
          <w:color w:val="auto"/>
          <w:kern w:val="2"/>
          <w:sz w:val="24"/>
          <w:szCs w:val="24"/>
          <w:lang w:val="en-US" w:eastAsia="zh-CN" w:bidi="ar-SA"/>
        </w:rPr>
        <w:t>(A) </w:t>
      </w:r>
      <w:r>
        <w:rPr>
          <w:rFonts w:hint="default" w:ascii="Times New Roman" w:hAnsi="Times New Roman" w:cs="Times New Roman" w:eastAsiaTheme="minorEastAsia"/>
          <w:i/>
          <w:iCs/>
          <w:color w:val="auto"/>
          <w:kern w:val="2"/>
          <w:sz w:val="24"/>
          <w:szCs w:val="24"/>
          <w:lang w:val="en-US" w:eastAsia="zh-CN" w:bidi="ar-SA"/>
        </w:rPr>
        <w:t>TROP2</w:t>
      </w:r>
      <w:r>
        <w:rPr>
          <w:rFonts w:hint="default" w:ascii="Times New Roman" w:hAnsi="Times New Roman" w:cs="Times New Roman" w:eastAsiaTheme="minorEastAsia"/>
          <w:color w:val="auto"/>
          <w:kern w:val="2"/>
          <w:sz w:val="24"/>
          <w:szCs w:val="24"/>
          <w:lang w:val="en-US" w:eastAsia="zh-CN" w:bidi="ar-SA"/>
        </w:rPr>
        <w:t> mRNA expression levels in the TCGA-LUAD cohort, stratified by EGFR mutation status (mutant vs. wild-type). (B) </w:t>
      </w:r>
      <w:r>
        <w:rPr>
          <w:rFonts w:hint="default" w:ascii="Times New Roman" w:hAnsi="Times New Roman" w:cs="Times New Roman" w:eastAsiaTheme="minorEastAsia"/>
          <w:i/>
          <w:iCs/>
          <w:color w:val="auto"/>
          <w:kern w:val="2"/>
          <w:sz w:val="24"/>
          <w:szCs w:val="24"/>
          <w:lang w:val="en-US" w:eastAsia="zh-CN" w:bidi="ar-SA"/>
        </w:rPr>
        <w:t>TROP2</w:t>
      </w:r>
      <w:r>
        <w:rPr>
          <w:rFonts w:hint="default" w:ascii="Times New Roman" w:hAnsi="Times New Roman" w:cs="Times New Roman" w:eastAsiaTheme="minorEastAsia"/>
          <w:color w:val="auto"/>
          <w:kern w:val="2"/>
          <w:sz w:val="24"/>
          <w:szCs w:val="24"/>
          <w:lang w:val="en-US" w:eastAsia="zh-CN" w:bidi="ar-SA"/>
        </w:rPr>
        <w:t> mRNA expression levels in the TCGA-LUAD cohort, stratified by TP53 mutation status (mutant vs. wild-type). Data are presented as box plots showing the median, interquartile range, and min-max values. The number of patients (n) in each group is indicated. Statistical significance was determined by the Mann-Whitney U test (or Student’s t-test if data are normally distributed). ns, not significant; *P &lt; 0.05, **P &lt; 0.01. Data source: The Cancer Genome Atlas Lung Adenocarcinoma (TCGA-LUAD) dataset.</w:t>
      </w:r>
    </w:p>
    <w:p w14:paraId="20054845">
      <w:pPr>
        <w:spacing w:line="360" w:lineRule="auto"/>
        <w:rPr>
          <w:rFonts w:hint="default" w:ascii="Times New Roman" w:hAnsi="Times New Roman" w:cs="Times New Roman" w:eastAsiaTheme="minorEastAsia"/>
          <w:color w:val="auto"/>
          <w:kern w:val="2"/>
          <w:sz w:val="24"/>
          <w:szCs w:val="24"/>
          <w:lang w:val="en-US" w:eastAsia="zh-CN" w:bidi="ar-SA"/>
        </w:rPr>
      </w:pPr>
    </w:p>
    <w:p w14:paraId="59A5B68E">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20D7A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character" w:styleId="4">
    <w:name w:val="Strong"/>
    <w:basedOn w:val="3"/>
    <w:qFormat/>
    <w:uiPriority w:val="22"/>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2026-01-28T07:30:51Z</dcterms:created>
  <dc:creator>admin</dc:creator>
  <cp:lastModifiedBy>admin</cp:lastModifiedBy>
  <dcterms:modified xsi:type="dcterms:W3CDTF">2026-01-28T07:31:00Z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KSOTemplateDocerSaveRecord">
    <vt:lpwstr>eyJoZGlkIjoiMjFhN2FiZGE2ZDlhODViNGU4NzE1MGU2NDg4ZjJjZDcifQ==</vt:lpwstr>
  </property>
  <property fmtid="{D5CDD505-2E9C-101B-9397-08002B2CF9AE}" pid="4" name="ICV">
    <vt:lpwstr>63C18BB7B768476384D8F4016370FA77_12</vt:lpwstr>
  </property>
</Properties>
</file>