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B7587">
      <w:pPr>
        <w:jc w:val="center"/>
        <w:rPr>
          <w:rFonts w:ascii="Times New Roman" w:hAnsi="Times New Roman" w:cs="Times New Roman"/>
          <w:b/>
          <w:bCs/>
          <w:color w:val="000000" w:themeColor="text1"/>
          <w:sz w:val="28"/>
          <w:szCs w:val="36"/>
          <w14:textFill>
            <w14:solidFill>
              <w14:schemeClr w14:val="tx1"/>
            </w14:solidFill>
          </w14:textFill>
        </w:rPr>
      </w:pPr>
      <w:bookmarkStart w:id="0" w:name="OLE_LINK13"/>
      <w:r>
        <w:rPr>
          <w:rFonts w:hint="eastAsia" w:ascii="Times New Roman" w:hAnsi="Times New Roman" w:cs="Times New Roman"/>
          <w:b/>
          <w:bCs/>
          <w:color w:val="000000" w:themeColor="text1"/>
          <w:sz w:val="28"/>
          <w:szCs w:val="36"/>
          <w14:textFill>
            <w14:solidFill>
              <w14:schemeClr w14:val="tx1"/>
            </w14:solidFill>
          </w14:textFill>
        </w:rPr>
        <w:t xml:space="preserve">Butyrate-producing </w:t>
      </w:r>
      <w:r>
        <w:rPr>
          <w:rFonts w:hint="eastAsia" w:ascii="Times New Roman" w:hAnsi="Times New Roman" w:cs="Times New Roman"/>
          <w:b/>
          <w:bCs/>
          <w:i/>
          <w:iCs/>
          <w:color w:val="000000" w:themeColor="text1"/>
          <w:sz w:val="28"/>
          <w:szCs w:val="36"/>
          <w14:textFill>
            <w14:solidFill>
              <w14:schemeClr w14:val="tx1"/>
            </w14:solidFill>
          </w14:textFill>
        </w:rPr>
        <w:t>Eubacterium rectale</w:t>
      </w:r>
      <w:r>
        <w:rPr>
          <w:rFonts w:hint="eastAsia" w:ascii="Times New Roman" w:hAnsi="Times New Roman" w:cs="Times New Roman"/>
          <w:b/>
          <w:bCs/>
          <w:color w:val="000000" w:themeColor="text1"/>
          <w:sz w:val="28"/>
          <w:szCs w:val="36"/>
          <w14:textFill>
            <w14:solidFill>
              <w14:schemeClr w14:val="tx1"/>
            </w14:solidFill>
          </w14:textFill>
        </w:rPr>
        <w:t xml:space="preserve"> inhibits gastric carcinogenesis and augments the efficacy of immunotherapy</w:t>
      </w:r>
    </w:p>
    <w:p w14:paraId="3DF29D59">
      <w:pPr>
        <w:ind w:firstLine="562"/>
        <w:jc w:val="center"/>
        <w:rPr>
          <w:rFonts w:ascii="Times New Roman" w:hAnsi="Times New Roman" w:cs="Times New Roman"/>
          <w:b/>
          <w:bCs/>
          <w:color w:val="000000" w:themeColor="text1"/>
          <w:sz w:val="28"/>
          <w:szCs w:val="36"/>
          <w14:textFill>
            <w14:solidFill>
              <w14:schemeClr w14:val="tx1"/>
            </w14:solidFill>
          </w14:textFill>
        </w:rPr>
      </w:pPr>
    </w:p>
    <w:bookmarkEnd w:id="0"/>
    <w:p w14:paraId="1F45BFBE">
      <w:pPr>
        <w:spacing w:line="360" w:lineRule="auto"/>
        <w:jc w:val="center"/>
        <w:rPr>
          <w:rFonts w:hint="eastAsia"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Wei Gao</w:t>
      </w:r>
      <w:r>
        <w:rPr>
          <w:rFonts w:hint="eastAsia" w:ascii="Times New Roman" w:hAnsi="Times New Roman" w:cs="Times New Roman"/>
          <w:color w:val="000000" w:themeColor="text1"/>
          <w:sz w:val="24"/>
          <w:vertAlign w:val="superscript"/>
          <w14:textFill>
            <w14:solidFill>
              <w14:schemeClr w14:val="tx1"/>
            </w14:solidFill>
          </w14:textFill>
        </w:rPr>
        <w:t>1,2,3</w:t>
      </w:r>
      <w:r>
        <w:rPr>
          <w:rFonts w:hint="eastAsia" w:ascii="Times New Roman" w:hAnsi="Times New Roman" w:cs="Times New Roman"/>
          <w:color w:val="000000" w:themeColor="text1"/>
          <w:sz w:val="24"/>
          <w14:textFill>
            <w14:solidFill>
              <w14:schemeClr w14:val="tx1"/>
            </w14:solidFill>
          </w14:textFill>
        </w:rPr>
        <w:t>, Jiani Xiong</w:t>
      </w:r>
      <w:r>
        <w:rPr>
          <w:rFonts w:hint="eastAsia" w:ascii="Times New Roman" w:hAnsi="Times New Roman" w:cs="Times New Roman"/>
          <w:color w:val="000000" w:themeColor="text1"/>
          <w:sz w:val="24"/>
          <w:vertAlign w:val="superscript"/>
          <w14:textFill>
            <w14:solidFill>
              <w14:schemeClr w14:val="tx1"/>
            </w14:solidFill>
          </w14:textFill>
        </w:rPr>
        <w:t>1,2</w:t>
      </w:r>
      <w:r>
        <w:rPr>
          <w:rFonts w:hint="eastAsia" w:ascii="Times New Roman" w:hAnsi="Times New Roman" w:cs="Times New Roman"/>
          <w:color w:val="000000" w:themeColor="text1"/>
          <w:sz w:val="24"/>
          <w14:textFill>
            <w14:solidFill>
              <w14:schemeClr w14:val="tx1"/>
            </w14:solidFill>
          </w14:textFill>
        </w:rPr>
        <w:t>, Guangfeng Wu</w:t>
      </w:r>
      <w:r>
        <w:rPr>
          <w:rFonts w:hint="eastAsia" w:ascii="Times New Roman" w:hAnsi="Times New Roman" w:cs="Times New Roman"/>
          <w:color w:val="000000" w:themeColor="text1"/>
          <w:sz w:val="24"/>
          <w:vertAlign w:val="superscript"/>
          <w14:textFill>
            <w14:solidFill>
              <w14:schemeClr w14:val="tx1"/>
            </w14:solidFill>
          </w14:textFill>
        </w:rPr>
        <w:t>1,2</w:t>
      </w:r>
      <w:r>
        <w:rPr>
          <w:rFonts w:hint="eastAsia" w:ascii="Times New Roman" w:hAnsi="Times New Roman" w:cs="Times New Roman"/>
          <w:color w:val="000000" w:themeColor="text1"/>
          <w:sz w:val="24"/>
          <w14:textFill>
            <w14:solidFill>
              <w14:schemeClr w14:val="tx1"/>
            </w14:solidFill>
          </w14:textFill>
        </w:rPr>
        <w:t>, Yuhuang Chen</w:t>
      </w:r>
      <w:r>
        <w:rPr>
          <w:rFonts w:hint="eastAsia" w:ascii="Times New Roman" w:hAnsi="Times New Roman" w:cs="Times New Roman"/>
          <w:color w:val="000000" w:themeColor="text1"/>
          <w:sz w:val="24"/>
          <w:vertAlign w:val="superscript"/>
          <w14:textFill>
            <w14:solidFill>
              <w14:schemeClr w14:val="tx1"/>
            </w14:solidFill>
          </w14:textFill>
        </w:rPr>
        <w:t>4</w:t>
      </w:r>
      <w:r>
        <w:rPr>
          <w:rFonts w:hint="eastAsia" w:ascii="Times New Roman" w:hAnsi="Times New Roman" w:cs="Times New Roman"/>
          <w:color w:val="000000" w:themeColor="text1"/>
          <w:sz w:val="24"/>
          <w14:textFill>
            <w14:solidFill>
              <w14:schemeClr w14:val="tx1"/>
            </w14:solidFill>
          </w14:textFill>
        </w:rPr>
        <w:t>, Xiaoyan Lin</w:t>
      </w:r>
      <w:r>
        <w:rPr>
          <w:rFonts w:hint="eastAsia" w:ascii="Times New Roman" w:hAnsi="Times New Roman" w:cs="Times New Roman"/>
          <w:color w:val="000000" w:themeColor="text1"/>
          <w:sz w:val="24"/>
          <w:vertAlign w:val="superscript"/>
          <w14:textFill>
            <w14:solidFill>
              <w14:schemeClr w14:val="tx1"/>
            </w14:solidFill>
          </w14:textFill>
        </w:rPr>
        <w:t>3</w:t>
      </w:r>
    </w:p>
    <w:p w14:paraId="51D98F6C">
      <w:pPr>
        <w:spacing w:line="360" w:lineRule="auto"/>
        <w:ind w:firstLine="480"/>
        <w:rPr>
          <w:rFonts w:ascii="Times New Roman" w:hAnsi="Times New Roman" w:cs="Times New Roman"/>
          <w:color w:val="000000" w:themeColor="text1"/>
          <w:sz w:val="24"/>
          <w14:textFill>
            <w14:solidFill>
              <w14:schemeClr w14:val="tx1"/>
            </w14:solidFill>
          </w14:textFill>
        </w:rPr>
      </w:pPr>
    </w:p>
    <w:p w14:paraId="2260134E">
      <w:pPr>
        <w:spacing w:line="360" w:lineRule="auto"/>
        <w:ind w:left="0" w:leftChars="0" w:firstLine="0" w:firstLineChars="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vertAlign w:val="superscript"/>
          <w14:textFill>
            <w14:solidFill>
              <w14:schemeClr w14:val="tx1"/>
            </w14:solidFill>
          </w14:textFill>
        </w:rPr>
        <w:t>1</w:t>
      </w:r>
      <w:r>
        <w:rPr>
          <w:rFonts w:ascii="Times New Roman" w:hAnsi="Times New Roman" w:cs="Times New Roman"/>
          <w:color w:val="000000" w:themeColor="text1"/>
          <w:sz w:val="24"/>
          <w14:textFill>
            <w14:solidFill>
              <w14:schemeClr w14:val="tx1"/>
            </w14:solidFill>
          </w14:textFill>
        </w:rPr>
        <w:t>Departments of Medical Oncology, Fujian Cancer Hospital, Fuzhou, Fujian, 350014, PR China.</w:t>
      </w:r>
    </w:p>
    <w:p w14:paraId="5AD14E7B">
      <w:pPr>
        <w:spacing w:line="360" w:lineRule="auto"/>
        <w:ind w:left="0" w:leftChars="0" w:firstLine="0" w:firstLineChars="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vertAlign w:val="super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 xml:space="preserve">Clinical Oncology School of Fujian Medical University, Fuzhou, Fujian, 350014, PR China.  </w:t>
      </w:r>
    </w:p>
    <w:p w14:paraId="2ABCB8E6">
      <w:pPr>
        <w:spacing w:line="360" w:lineRule="auto"/>
        <w:ind w:left="0" w:leftChars="0" w:firstLine="0" w:firstLineChars="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vertAlign w:val="superscript"/>
          <w14:textFill>
            <w14:solidFill>
              <w14:schemeClr w14:val="tx1"/>
            </w14:solidFill>
          </w14:textFill>
        </w:rPr>
        <w:t>3</w:t>
      </w:r>
      <w:r>
        <w:rPr>
          <w:rFonts w:ascii="Times New Roman" w:hAnsi="Times New Roman" w:cs="Times New Roman"/>
          <w:color w:val="000000" w:themeColor="text1"/>
          <w:sz w:val="24"/>
          <w14:textFill>
            <w14:solidFill>
              <w14:schemeClr w14:val="tx1"/>
            </w14:solidFill>
          </w14:textFill>
        </w:rPr>
        <w:t xml:space="preserve">Department of Medical Oncology, Fujian Medical University Union Hospital, No.29, Xinquan Road, Gulou District, Fuzhou, Fujian 350001, PR China.  </w:t>
      </w:r>
    </w:p>
    <w:p w14:paraId="503BFEC7">
      <w:pPr>
        <w:spacing w:line="360" w:lineRule="auto"/>
        <w:ind w:left="0" w:leftChars="0" w:firstLine="0" w:firstLineChars="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vertAlign w:val="superscript"/>
          <w14:textFill>
            <w14:solidFill>
              <w14:schemeClr w14:val="tx1"/>
            </w14:solidFill>
          </w14:textFill>
        </w:rPr>
        <w:t>4</w:t>
      </w:r>
      <w:r>
        <w:rPr>
          <w:rFonts w:hint="eastAsia" w:ascii="Times New Roman" w:hAnsi="Times New Roman" w:cs="Times New Roman"/>
          <w:color w:val="000000" w:themeColor="text1"/>
          <w:sz w:val="24"/>
          <w14:textFill>
            <w14:solidFill>
              <w14:schemeClr w14:val="tx1"/>
            </w14:solidFill>
          </w14:textFill>
        </w:rPr>
        <w:t>Department of Gastroenterology, Lianjiang County General Hospital，Fuzhou，Fujian 350500, PR China.</w:t>
      </w:r>
    </w:p>
    <w:p w14:paraId="07C4E680">
      <w:pPr>
        <w:spacing w:line="360" w:lineRule="auto"/>
        <w:ind w:firstLine="480"/>
        <w:rPr>
          <w:rFonts w:hint="eastAsia" w:ascii="Times New Roman" w:hAnsi="Times New Roman" w:cs="Times New Roman"/>
          <w:color w:val="000000" w:themeColor="text1"/>
          <w:sz w:val="24"/>
          <w14:textFill>
            <w14:solidFill>
              <w14:schemeClr w14:val="tx1"/>
            </w14:solidFill>
          </w14:textFill>
        </w:rPr>
      </w:pPr>
    </w:p>
    <w:p w14:paraId="0EECF27E">
      <w:pPr>
        <w:rPr>
          <w:rFonts w:hint="eastAsia"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szCs w:val="32"/>
          <w14:textFill>
            <w14:solidFill>
              <w14:schemeClr w14:val="tx1"/>
            </w14:solidFill>
          </w14:textFill>
        </w:rPr>
        <w:t xml:space="preserve">*Correspondence: Xiaoyan Lin, E-mail: </w:t>
      </w:r>
      <w:r>
        <w:rPr>
          <w:rFonts w:hint="eastAsia" w:ascii="Times New Roman" w:hAnsi="Times New Roman" w:cs="Times New Roman"/>
          <w:color w:val="000000" w:themeColor="text1"/>
          <w:sz w:val="24"/>
          <w:u w:val="none"/>
          <w14:textFill>
            <w14:solidFill>
              <w14:schemeClr w14:val="tx1"/>
            </w14:solidFill>
          </w14:textFill>
        </w:rPr>
        <w:t>0591linxiaoyan@sina.com</w:t>
      </w:r>
    </w:p>
    <w:p w14:paraId="3B2CEF26">
      <w:pPr>
        <w:rPr>
          <w:rFonts w:hint="eastAsia"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br w:type="page"/>
      </w:r>
    </w:p>
    <w:p w14:paraId="638530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color w:val="000000" w:themeColor="text1"/>
          <w:sz w:val="24"/>
          <w:lang w:val="en-US" w:eastAsia="zh-CN"/>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Contents</w:t>
      </w:r>
    </w:p>
    <w:p w14:paraId="3C2E9C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Table S1</w:t>
      </w:r>
    </w:p>
    <w:p w14:paraId="21D9110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Table S2</w:t>
      </w:r>
    </w:p>
    <w:p w14:paraId="3F8ECE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S1</w:t>
      </w:r>
    </w:p>
    <w:p w14:paraId="7E91522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S2</w:t>
      </w:r>
    </w:p>
    <w:p w14:paraId="237256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S3</w:t>
      </w:r>
    </w:p>
    <w:p w14:paraId="1C06E22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S4</w:t>
      </w:r>
    </w:p>
    <w:p w14:paraId="77AA33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S5</w:t>
      </w:r>
    </w:p>
    <w:p w14:paraId="756A4B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S6</w:t>
      </w:r>
    </w:p>
    <w:p w14:paraId="2895E72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S7</w:t>
      </w:r>
    </w:p>
    <w:p w14:paraId="414B98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S8</w:t>
      </w:r>
    </w:p>
    <w:p w14:paraId="625D9C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S9</w:t>
      </w:r>
    </w:p>
    <w:p w14:paraId="41AA4F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Fig. S10</w:t>
      </w:r>
      <w:bookmarkStart w:id="1" w:name="_GoBack"/>
      <w:bookmarkEnd w:id="1"/>
    </w:p>
    <w:p w14:paraId="6DC571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Supplementary Text 1</w:t>
      </w:r>
    </w:p>
    <w:p w14:paraId="7ABD4951">
      <w:pPr>
        <w:rPr>
          <w:rFonts w:hint="default" w:ascii="Times New Roman" w:hAnsi="Times New Roman" w:cs="Times New Roman"/>
          <w:color w:val="000000" w:themeColor="text1"/>
          <w:sz w:val="24"/>
          <w:lang w:val="en-US" w:eastAsia="zh-CN"/>
          <w14:textFill>
            <w14:solidFill>
              <w14:schemeClr w14:val="tx1"/>
            </w14:solidFill>
          </w14:textFill>
        </w:rPr>
      </w:pPr>
    </w:p>
    <w:p w14:paraId="63867020">
      <w:pPr>
        <w:rPr>
          <w:rFonts w:hint="default" w:ascii="Times New Roman" w:hAnsi="Times New Roman" w:cs="Times New Roman"/>
          <w:color w:val="000000" w:themeColor="text1"/>
          <w:sz w:val="24"/>
          <w:lang w:val="en-US" w:eastAsia="zh-CN"/>
          <w14:textFill>
            <w14:solidFill>
              <w14:schemeClr w14:val="tx1"/>
            </w14:solidFill>
          </w14:textFill>
        </w:rPr>
      </w:pPr>
    </w:p>
    <w:p w14:paraId="221EC174">
      <w:pPr>
        <w:rPr>
          <w:rFonts w:hint="default" w:ascii="Times New Roman" w:hAnsi="Times New Roman" w:cs="Times New Roman"/>
          <w:color w:val="000000" w:themeColor="text1"/>
          <w:sz w:val="24"/>
          <w:lang w:val="en-US" w:eastAsia="zh-CN"/>
          <w14:textFill>
            <w14:solidFill>
              <w14:schemeClr w14:val="tx1"/>
            </w14:solidFill>
          </w14:textFill>
        </w:rPr>
      </w:pPr>
    </w:p>
    <w:p w14:paraId="7863A96D">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br w:type="page"/>
      </w:r>
    </w:p>
    <w:p w14:paraId="088D93FE">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Supplementary Table S1. </w:t>
      </w:r>
      <w:r>
        <w:rPr>
          <w:rFonts w:hint="default" w:ascii="Times New Roman" w:hAnsi="Times New Roman" w:cs="Times New Roman"/>
          <w:sz w:val="24"/>
          <w:szCs w:val="24"/>
          <w:lang w:val="en-US" w:eastAsia="zh-CN"/>
        </w:rPr>
        <w:t>Baseline clinical characteristics of 30 patients with GC recruited in this study.</w:t>
      </w:r>
    </w:p>
    <w:tbl>
      <w:tblPr>
        <w:tblStyle w:val="3"/>
        <w:tblW w:w="8541" w:type="dxa"/>
        <w:jc w:val="center"/>
        <w:tblLayout w:type="fixed"/>
        <w:tblCellMar>
          <w:top w:w="0" w:type="dxa"/>
          <w:left w:w="108" w:type="dxa"/>
          <w:bottom w:w="0" w:type="dxa"/>
          <w:right w:w="108" w:type="dxa"/>
        </w:tblCellMar>
      </w:tblPr>
      <w:tblGrid>
        <w:gridCol w:w="2154"/>
        <w:gridCol w:w="2993"/>
        <w:gridCol w:w="1529"/>
        <w:gridCol w:w="1865"/>
      </w:tblGrid>
      <w:tr w14:paraId="38B05A33">
        <w:tblPrEx>
          <w:tblCellMar>
            <w:top w:w="0" w:type="dxa"/>
            <w:left w:w="108" w:type="dxa"/>
            <w:bottom w:w="0" w:type="dxa"/>
            <w:right w:w="108" w:type="dxa"/>
          </w:tblCellMar>
        </w:tblPrEx>
        <w:trPr>
          <w:trHeight w:val="113" w:hRule="atLeast"/>
          <w:tblHeader/>
          <w:jc w:val="center"/>
        </w:trPr>
        <w:tc>
          <w:tcPr>
            <w:tcW w:w="2154" w:type="dxa"/>
            <w:tcBorders>
              <w:top w:val="single" w:color="000000" w:themeColor="dark1" w:sz="12" w:space="0"/>
              <w:left w:val="nil"/>
              <w:bottom w:val="single" w:color="000000" w:themeColor="dark1" w:sz="6" w:space="0"/>
              <w:right w:val="nil"/>
            </w:tcBorders>
            <w:shd w:val="clear" w:color="auto" w:fill="FFFFFF"/>
            <w:noWrap/>
            <w:vAlign w:val="center"/>
          </w:tcPr>
          <w:p w14:paraId="3D3E27A5">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sz w:val="21"/>
                <w:szCs w:val="21"/>
                <w:lang w:val="en-US" w:eastAsia="zh-CN"/>
                <w14:textFill>
                  <w14:solidFill>
                    <w14:schemeClr w14:val="tx1"/>
                  </w14:solidFill>
                </w14:textFill>
              </w:rPr>
              <w:t>Feature</w:t>
            </w:r>
          </w:p>
        </w:tc>
        <w:tc>
          <w:tcPr>
            <w:tcW w:w="2993" w:type="dxa"/>
            <w:tcBorders>
              <w:top w:val="single" w:color="000000" w:themeColor="dark1" w:sz="12" w:space="0"/>
              <w:left w:val="nil"/>
              <w:bottom w:val="single" w:color="000000" w:themeColor="dark1" w:sz="6" w:space="0"/>
              <w:right w:val="nil"/>
            </w:tcBorders>
            <w:shd w:val="clear" w:color="auto" w:fill="FFFFFF"/>
            <w:vAlign w:val="center"/>
          </w:tcPr>
          <w:p w14:paraId="2923C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i w:val="0"/>
                <w:iCs w:val="0"/>
                <w:color w:val="000000" w:themeColor="text1"/>
                <w:sz w:val="21"/>
                <w:szCs w:val="21"/>
                <w14:textFill>
                  <w14:solidFill>
                    <w14:schemeClr w14:val="tx1"/>
                  </w14:solidFill>
                </w14:textFill>
              </w:rPr>
            </w:pPr>
            <w:r>
              <w:rPr>
                <w:rFonts w:hint="default" w:ascii="Times New Roman" w:hAnsi="Times New Roman" w:eastAsia="宋体" w:cs="Times New Roman"/>
                <w:b w:val="0"/>
                <w:bCs/>
                <w:i w:val="0"/>
                <w:iCs w:val="0"/>
                <w:color w:val="000000" w:themeColor="text1"/>
                <w:sz w:val="21"/>
                <w:szCs w:val="21"/>
                <w14:textFill>
                  <w14:solidFill>
                    <w14:schemeClr w14:val="tx1"/>
                  </w14:solidFill>
                </w14:textFill>
              </w:rPr>
              <w:t>level</w:t>
            </w:r>
          </w:p>
        </w:tc>
        <w:tc>
          <w:tcPr>
            <w:tcW w:w="1529" w:type="dxa"/>
            <w:tcBorders>
              <w:top w:val="single" w:color="000000" w:themeColor="dark1" w:sz="12" w:space="0"/>
              <w:left w:val="nil"/>
              <w:bottom w:val="single" w:color="000000" w:themeColor="dark1" w:sz="6" w:space="0"/>
              <w:right w:val="nil"/>
            </w:tcBorders>
            <w:shd w:val="clear" w:color="auto" w:fill="FFFFFF"/>
            <w:vAlign w:val="center"/>
          </w:tcPr>
          <w:p w14:paraId="08E991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sz w:val="21"/>
                <w:szCs w:val="21"/>
                <w:lang w:val="en-US" w:eastAsia="zh-CN"/>
                <w14:textFill>
                  <w14:solidFill>
                    <w14:schemeClr w14:val="tx1"/>
                  </w14:solidFill>
                </w14:textFill>
              </w:rPr>
              <w:t>Number of patients</w:t>
            </w:r>
          </w:p>
        </w:tc>
        <w:tc>
          <w:tcPr>
            <w:tcW w:w="1865" w:type="dxa"/>
            <w:tcBorders>
              <w:top w:val="single" w:color="000000" w:themeColor="dark1" w:sz="12" w:space="0"/>
              <w:left w:val="nil"/>
              <w:bottom w:val="single" w:color="000000" w:themeColor="dark1" w:sz="6" w:space="0"/>
              <w:right w:val="nil"/>
            </w:tcBorders>
            <w:shd w:val="clear" w:color="auto" w:fill="FFFFFF"/>
            <w:vAlign w:val="center"/>
          </w:tcPr>
          <w:p w14:paraId="65565D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sz w:val="21"/>
                <w:szCs w:val="21"/>
                <w:lang w:val="en-US" w:eastAsia="zh-CN"/>
                <w14:textFill>
                  <w14:solidFill>
                    <w14:schemeClr w14:val="tx1"/>
                  </w14:solidFill>
                </w14:textFill>
              </w:rPr>
              <w:t>Proportion (%)</w:t>
            </w:r>
          </w:p>
        </w:tc>
      </w:tr>
      <w:tr w14:paraId="7F735097">
        <w:tblPrEx>
          <w:tblCellMar>
            <w:top w:w="0" w:type="dxa"/>
            <w:left w:w="108" w:type="dxa"/>
            <w:bottom w:w="0" w:type="dxa"/>
            <w:right w:w="108" w:type="dxa"/>
          </w:tblCellMar>
        </w:tblPrEx>
        <w:trPr>
          <w:trHeight w:val="113" w:hRule="atLeast"/>
          <w:jc w:val="center"/>
        </w:trPr>
        <w:tc>
          <w:tcPr>
            <w:tcW w:w="2154" w:type="dxa"/>
            <w:tcBorders>
              <w:top w:val="single" w:color="000000" w:themeColor="dark1" w:sz="6" w:space="0"/>
              <w:left w:val="nil"/>
              <w:bottom w:val="nil"/>
              <w:right w:val="nil"/>
            </w:tcBorders>
            <w:shd w:val="clear" w:color="auto" w:fill="F2F2F2"/>
            <w:noWrap/>
            <w:vAlign w:val="center"/>
          </w:tcPr>
          <w:p w14:paraId="1E2EFB5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Age</w:t>
            </w:r>
          </w:p>
        </w:tc>
        <w:tc>
          <w:tcPr>
            <w:tcW w:w="2993" w:type="dxa"/>
            <w:tcBorders>
              <w:top w:val="single" w:color="000000" w:themeColor="dark1" w:sz="6" w:space="0"/>
              <w:left w:val="nil"/>
              <w:bottom w:val="nil"/>
              <w:right w:val="nil"/>
            </w:tcBorders>
            <w:shd w:val="clear" w:color="auto" w:fill="F2F2F2"/>
            <w:noWrap/>
            <w:vAlign w:val="center"/>
          </w:tcPr>
          <w:p w14:paraId="5CE4A2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14:textFill>
                  <w14:solidFill>
                    <w14:schemeClr w14:val="tx1"/>
                  </w14:solidFill>
                </w14:textFill>
              </w:rPr>
              <w:t>&lt;60</w:t>
            </w:r>
          </w:p>
        </w:tc>
        <w:tc>
          <w:tcPr>
            <w:tcW w:w="1529" w:type="dxa"/>
            <w:tcBorders>
              <w:top w:val="single" w:color="000000" w:themeColor="dark1" w:sz="6" w:space="0"/>
              <w:left w:val="nil"/>
              <w:bottom w:val="nil"/>
              <w:right w:val="nil"/>
            </w:tcBorders>
            <w:shd w:val="clear" w:color="auto" w:fill="F2F2F2"/>
            <w:noWrap/>
            <w:vAlign w:val="center"/>
          </w:tcPr>
          <w:p w14:paraId="54251A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13</w:t>
            </w:r>
          </w:p>
        </w:tc>
        <w:tc>
          <w:tcPr>
            <w:tcW w:w="1865" w:type="dxa"/>
            <w:tcBorders>
              <w:top w:val="single" w:color="000000" w:themeColor="dark1" w:sz="6" w:space="0"/>
              <w:left w:val="nil"/>
              <w:bottom w:val="nil"/>
              <w:right w:val="nil"/>
            </w:tcBorders>
            <w:shd w:val="clear" w:color="auto" w:fill="F2F2F2"/>
            <w:noWrap/>
            <w:vAlign w:val="center"/>
          </w:tcPr>
          <w:p w14:paraId="1F0C4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43.3</w:t>
            </w:r>
          </w:p>
        </w:tc>
      </w:tr>
      <w:tr w14:paraId="12A9BED1">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noWrap/>
            <w:vAlign w:val="center"/>
          </w:tcPr>
          <w:p w14:paraId="2D514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2A700C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14:textFill>
                  <w14:solidFill>
                    <w14:schemeClr w14:val="tx1"/>
                  </w14:solidFill>
                </w14:textFill>
              </w:rPr>
              <w:t>≥60</w:t>
            </w:r>
          </w:p>
        </w:tc>
        <w:tc>
          <w:tcPr>
            <w:tcW w:w="1529" w:type="dxa"/>
            <w:tcBorders>
              <w:top w:val="nil"/>
              <w:left w:val="nil"/>
              <w:bottom w:val="nil"/>
              <w:right w:val="nil"/>
            </w:tcBorders>
            <w:shd w:val="clear" w:color="auto" w:fill="FFFFFF"/>
            <w:noWrap/>
            <w:vAlign w:val="center"/>
          </w:tcPr>
          <w:p w14:paraId="5F77B2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17</w:t>
            </w:r>
          </w:p>
        </w:tc>
        <w:tc>
          <w:tcPr>
            <w:tcW w:w="1865" w:type="dxa"/>
            <w:tcBorders>
              <w:top w:val="nil"/>
              <w:left w:val="nil"/>
              <w:bottom w:val="nil"/>
              <w:right w:val="nil"/>
            </w:tcBorders>
            <w:shd w:val="clear" w:color="auto" w:fill="FFFFFF"/>
            <w:noWrap/>
            <w:vAlign w:val="center"/>
          </w:tcPr>
          <w:p w14:paraId="3B35B5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56.7</w:t>
            </w:r>
          </w:p>
        </w:tc>
      </w:tr>
      <w:tr w14:paraId="554E8035">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30ACC0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Gender</w:t>
            </w:r>
          </w:p>
        </w:tc>
        <w:tc>
          <w:tcPr>
            <w:tcW w:w="2993" w:type="dxa"/>
            <w:tcBorders>
              <w:top w:val="nil"/>
              <w:left w:val="nil"/>
              <w:bottom w:val="nil"/>
              <w:right w:val="nil"/>
            </w:tcBorders>
            <w:shd w:val="clear" w:color="auto" w:fill="F2F2F2"/>
            <w:noWrap/>
            <w:vAlign w:val="center"/>
          </w:tcPr>
          <w:p w14:paraId="1C15DB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i w:val="0"/>
                <w:iCs w:val="0"/>
                <w:color w:val="000000" w:themeColor="text1"/>
                <w:sz w:val="21"/>
                <w:szCs w:val="21"/>
                <w:lang w:val="en-US" w:eastAsia="zh-CN"/>
                <w14:textFill>
                  <w14:solidFill>
                    <w14:schemeClr w14:val="tx1"/>
                  </w14:solidFill>
                </w14:textFill>
              </w:rPr>
              <w:t>Female</w:t>
            </w:r>
          </w:p>
        </w:tc>
        <w:tc>
          <w:tcPr>
            <w:tcW w:w="1529" w:type="dxa"/>
            <w:tcBorders>
              <w:top w:val="nil"/>
              <w:left w:val="nil"/>
              <w:bottom w:val="nil"/>
              <w:right w:val="nil"/>
            </w:tcBorders>
            <w:shd w:val="clear" w:color="auto" w:fill="F2F2F2"/>
            <w:noWrap/>
            <w:vAlign w:val="center"/>
          </w:tcPr>
          <w:p w14:paraId="753383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13</w:t>
            </w:r>
          </w:p>
        </w:tc>
        <w:tc>
          <w:tcPr>
            <w:tcW w:w="1865" w:type="dxa"/>
            <w:tcBorders>
              <w:top w:val="nil"/>
              <w:left w:val="nil"/>
              <w:bottom w:val="nil"/>
              <w:right w:val="nil"/>
            </w:tcBorders>
            <w:shd w:val="clear" w:color="auto" w:fill="F2F2F2"/>
            <w:noWrap/>
            <w:vAlign w:val="center"/>
          </w:tcPr>
          <w:p w14:paraId="6D0EB4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43.3</w:t>
            </w:r>
          </w:p>
        </w:tc>
      </w:tr>
      <w:tr w14:paraId="66C8138F">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noWrap/>
            <w:vAlign w:val="center"/>
          </w:tcPr>
          <w:p w14:paraId="3496A9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0AD96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i w:val="0"/>
                <w:iCs w:val="0"/>
                <w:color w:val="000000" w:themeColor="text1"/>
                <w:sz w:val="21"/>
                <w:szCs w:val="21"/>
                <w:lang w:val="en-US" w:eastAsia="zh-CN"/>
                <w14:textFill>
                  <w14:solidFill>
                    <w14:schemeClr w14:val="tx1"/>
                  </w14:solidFill>
                </w14:textFill>
              </w:rPr>
              <w:t>Male</w:t>
            </w:r>
          </w:p>
        </w:tc>
        <w:tc>
          <w:tcPr>
            <w:tcW w:w="1529" w:type="dxa"/>
            <w:tcBorders>
              <w:top w:val="nil"/>
              <w:left w:val="nil"/>
              <w:bottom w:val="nil"/>
              <w:right w:val="nil"/>
            </w:tcBorders>
            <w:shd w:val="clear" w:color="auto" w:fill="FFFFFF"/>
            <w:noWrap/>
            <w:vAlign w:val="center"/>
          </w:tcPr>
          <w:p w14:paraId="7A4CC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17</w:t>
            </w:r>
          </w:p>
        </w:tc>
        <w:tc>
          <w:tcPr>
            <w:tcW w:w="1865" w:type="dxa"/>
            <w:tcBorders>
              <w:top w:val="nil"/>
              <w:left w:val="nil"/>
              <w:bottom w:val="nil"/>
              <w:right w:val="nil"/>
            </w:tcBorders>
            <w:shd w:val="clear" w:color="auto" w:fill="FFFFFF"/>
            <w:noWrap/>
            <w:vAlign w:val="center"/>
          </w:tcPr>
          <w:p w14:paraId="6B2968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56.7</w:t>
            </w:r>
          </w:p>
        </w:tc>
      </w:tr>
      <w:tr w14:paraId="6013DE97">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58D112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14:textFill>
                  <w14:solidFill>
                    <w14:schemeClr w14:val="tx1"/>
                  </w14:solidFill>
                </w14:textFill>
              </w:rPr>
              <w:t>ECOG PS</w:t>
            </w:r>
          </w:p>
        </w:tc>
        <w:tc>
          <w:tcPr>
            <w:tcW w:w="2993" w:type="dxa"/>
            <w:tcBorders>
              <w:top w:val="nil"/>
              <w:left w:val="nil"/>
              <w:bottom w:val="nil"/>
              <w:right w:val="nil"/>
            </w:tcBorders>
            <w:shd w:val="clear" w:color="auto" w:fill="F2F2F2"/>
            <w:noWrap/>
            <w:vAlign w:val="center"/>
          </w:tcPr>
          <w:p w14:paraId="6EC1E1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14:textFill>
                  <w14:solidFill>
                    <w14:schemeClr w14:val="tx1"/>
                  </w14:solidFill>
                </w14:textFill>
              </w:rPr>
              <w:t>0</w:t>
            </w:r>
          </w:p>
        </w:tc>
        <w:tc>
          <w:tcPr>
            <w:tcW w:w="1529" w:type="dxa"/>
            <w:tcBorders>
              <w:top w:val="nil"/>
              <w:left w:val="nil"/>
              <w:bottom w:val="nil"/>
              <w:right w:val="nil"/>
            </w:tcBorders>
            <w:shd w:val="clear" w:color="auto" w:fill="F2F2F2"/>
            <w:noWrap/>
            <w:vAlign w:val="center"/>
          </w:tcPr>
          <w:p w14:paraId="040CA4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w:t>
            </w:r>
          </w:p>
        </w:tc>
        <w:tc>
          <w:tcPr>
            <w:tcW w:w="1865" w:type="dxa"/>
            <w:tcBorders>
              <w:top w:val="nil"/>
              <w:left w:val="nil"/>
              <w:bottom w:val="nil"/>
              <w:right w:val="nil"/>
            </w:tcBorders>
            <w:shd w:val="clear" w:color="auto" w:fill="F2F2F2"/>
            <w:noWrap/>
            <w:vAlign w:val="center"/>
          </w:tcPr>
          <w:p w14:paraId="679FB9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6.7%</w:t>
            </w:r>
          </w:p>
        </w:tc>
      </w:tr>
      <w:tr w14:paraId="54867A1E">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noWrap/>
            <w:vAlign w:val="center"/>
          </w:tcPr>
          <w:p w14:paraId="2E7AF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2F3639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w:t>
            </w:r>
          </w:p>
        </w:tc>
        <w:tc>
          <w:tcPr>
            <w:tcW w:w="1529" w:type="dxa"/>
            <w:tcBorders>
              <w:top w:val="nil"/>
              <w:left w:val="nil"/>
              <w:bottom w:val="nil"/>
              <w:right w:val="nil"/>
            </w:tcBorders>
            <w:shd w:val="clear" w:color="auto" w:fill="FFFFFF"/>
            <w:noWrap/>
            <w:vAlign w:val="center"/>
          </w:tcPr>
          <w:p w14:paraId="6B8F66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28</w:t>
            </w:r>
          </w:p>
        </w:tc>
        <w:tc>
          <w:tcPr>
            <w:tcW w:w="1865" w:type="dxa"/>
            <w:tcBorders>
              <w:top w:val="nil"/>
              <w:left w:val="nil"/>
              <w:bottom w:val="nil"/>
              <w:right w:val="nil"/>
            </w:tcBorders>
            <w:shd w:val="clear" w:color="auto" w:fill="FFFFFF"/>
            <w:noWrap/>
            <w:vAlign w:val="center"/>
          </w:tcPr>
          <w:p w14:paraId="6A584F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93.4</w:t>
            </w:r>
          </w:p>
        </w:tc>
      </w:tr>
      <w:tr w14:paraId="1F3D8507">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6114D1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primary lesion</w:t>
            </w:r>
          </w:p>
        </w:tc>
        <w:tc>
          <w:tcPr>
            <w:tcW w:w="2993" w:type="dxa"/>
            <w:tcBorders>
              <w:top w:val="nil"/>
              <w:left w:val="nil"/>
              <w:bottom w:val="nil"/>
              <w:right w:val="nil"/>
            </w:tcBorders>
            <w:shd w:val="clear" w:color="auto" w:fill="F2F2F2"/>
            <w:noWrap/>
            <w:vAlign w:val="center"/>
          </w:tcPr>
          <w:p w14:paraId="53F3A4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cardia</w:t>
            </w:r>
          </w:p>
        </w:tc>
        <w:tc>
          <w:tcPr>
            <w:tcW w:w="1529" w:type="dxa"/>
            <w:tcBorders>
              <w:top w:val="nil"/>
              <w:left w:val="nil"/>
              <w:bottom w:val="nil"/>
              <w:right w:val="nil"/>
            </w:tcBorders>
            <w:shd w:val="clear" w:color="auto" w:fill="F2F2F2"/>
            <w:noWrap/>
            <w:vAlign w:val="center"/>
          </w:tcPr>
          <w:p w14:paraId="08132B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7</w:t>
            </w:r>
          </w:p>
        </w:tc>
        <w:tc>
          <w:tcPr>
            <w:tcW w:w="1865" w:type="dxa"/>
            <w:tcBorders>
              <w:top w:val="nil"/>
              <w:left w:val="nil"/>
              <w:bottom w:val="nil"/>
              <w:right w:val="nil"/>
            </w:tcBorders>
            <w:shd w:val="clear" w:color="auto" w:fill="F2F2F2"/>
            <w:noWrap/>
            <w:vAlign w:val="center"/>
          </w:tcPr>
          <w:p w14:paraId="24461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23.3</w:t>
            </w:r>
          </w:p>
        </w:tc>
      </w:tr>
      <w:tr w14:paraId="0FEF3FB9">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noWrap/>
            <w:vAlign w:val="center"/>
          </w:tcPr>
          <w:p w14:paraId="2A788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60BB87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gastric body</w:t>
            </w:r>
          </w:p>
        </w:tc>
        <w:tc>
          <w:tcPr>
            <w:tcW w:w="1529" w:type="dxa"/>
            <w:tcBorders>
              <w:top w:val="nil"/>
              <w:left w:val="nil"/>
              <w:bottom w:val="nil"/>
              <w:right w:val="nil"/>
            </w:tcBorders>
            <w:shd w:val="clear" w:color="auto" w:fill="FFFFFF"/>
            <w:noWrap/>
            <w:vAlign w:val="center"/>
          </w:tcPr>
          <w:p w14:paraId="6149C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5</w:t>
            </w:r>
          </w:p>
        </w:tc>
        <w:tc>
          <w:tcPr>
            <w:tcW w:w="1865" w:type="dxa"/>
            <w:tcBorders>
              <w:top w:val="nil"/>
              <w:left w:val="nil"/>
              <w:bottom w:val="nil"/>
              <w:right w:val="nil"/>
            </w:tcBorders>
            <w:shd w:val="clear" w:color="auto" w:fill="FFFFFF"/>
            <w:noWrap/>
            <w:vAlign w:val="center"/>
          </w:tcPr>
          <w:p w14:paraId="21D5BB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16.7</w:t>
            </w:r>
          </w:p>
        </w:tc>
      </w:tr>
      <w:tr w14:paraId="71051AE7">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3CF9C4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2F2F2"/>
            <w:noWrap/>
            <w:vAlign w:val="center"/>
          </w:tcPr>
          <w:p w14:paraId="7A254E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gastric antral carcinoma</w:t>
            </w:r>
          </w:p>
        </w:tc>
        <w:tc>
          <w:tcPr>
            <w:tcW w:w="1529" w:type="dxa"/>
            <w:tcBorders>
              <w:top w:val="nil"/>
              <w:left w:val="nil"/>
              <w:bottom w:val="nil"/>
              <w:right w:val="nil"/>
            </w:tcBorders>
            <w:shd w:val="clear" w:color="auto" w:fill="F2F2F2"/>
            <w:noWrap/>
            <w:vAlign w:val="center"/>
          </w:tcPr>
          <w:p w14:paraId="45517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8</w:t>
            </w:r>
          </w:p>
        </w:tc>
        <w:tc>
          <w:tcPr>
            <w:tcW w:w="1865" w:type="dxa"/>
            <w:tcBorders>
              <w:top w:val="nil"/>
              <w:left w:val="nil"/>
              <w:bottom w:val="nil"/>
              <w:right w:val="nil"/>
            </w:tcBorders>
            <w:shd w:val="clear" w:color="auto" w:fill="F2F2F2"/>
            <w:noWrap/>
            <w:vAlign w:val="center"/>
          </w:tcPr>
          <w:p w14:paraId="74D5D7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26.7</w:t>
            </w:r>
          </w:p>
        </w:tc>
      </w:tr>
      <w:tr w14:paraId="35631DA4">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noWrap/>
            <w:vAlign w:val="center"/>
          </w:tcPr>
          <w:p w14:paraId="54D7A4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1C1083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other</w:t>
            </w:r>
          </w:p>
        </w:tc>
        <w:tc>
          <w:tcPr>
            <w:tcW w:w="1529" w:type="dxa"/>
            <w:tcBorders>
              <w:top w:val="nil"/>
              <w:left w:val="nil"/>
              <w:bottom w:val="nil"/>
              <w:right w:val="nil"/>
            </w:tcBorders>
            <w:shd w:val="clear" w:color="auto" w:fill="FFFFFF"/>
            <w:noWrap/>
            <w:vAlign w:val="center"/>
          </w:tcPr>
          <w:p w14:paraId="5B4B29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10</w:t>
            </w:r>
          </w:p>
        </w:tc>
        <w:tc>
          <w:tcPr>
            <w:tcW w:w="1865" w:type="dxa"/>
            <w:tcBorders>
              <w:top w:val="nil"/>
              <w:left w:val="nil"/>
              <w:bottom w:val="nil"/>
              <w:right w:val="nil"/>
            </w:tcBorders>
            <w:shd w:val="clear" w:color="auto" w:fill="FFFFFF"/>
            <w:noWrap/>
            <w:vAlign w:val="center"/>
          </w:tcPr>
          <w:p w14:paraId="0FCDD0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33.3</w:t>
            </w:r>
          </w:p>
        </w:tc>
      </w:tr>
      <w:tr w14:paraId="46AA48B6">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503A73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metastatic sites</w:t>
            </w:r>
          </w:p>
        </w:tc>
        <w:tc>
          <w:tcPr>
            <w:tcW w:w="2993" w:type="dxa"/>
            <w:tcBorders>
              <w:top w:val="nil"/>
              <w:left w:val="nil"/>
              <w:bottom w:val="nil"/>
              <w:right w:val="nil"/>
            </w:tcBorders>
            <w:shd w:val="clear" w:color="auto" w:fill="F2F2F2"/>
            <w:noWrap/>
            <w:vAlign w:val="center"/>
          </w:tcPr>
          <w:p w14:paraId="09991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hepatic metastasis</w:t>
            </w:r>
          </w:p>
          <w:p w14:paraId="46E34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p>
        </w:tc>
        <w:tc>
          <w:tcPr>
            <w:tcW w:w="1529" w:type="dxa"/>
            <w:tcBorders>
              <w:top w:val="nil"/>
              <w:left w:val="nil"/>
              <w:bottom w:val="nil"/>
              <w:right w:val="nil"/>
            </w:tcBorders>
            <w:shd w:val="clear" w:color="auto" w:fill="F2F2F2"/>
            <w:noWrap/>
            <w:vAlign w:val="center"/>
          </w:tcPr>
          <w:p w14:paraId="56BF61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7</w:t>
            </w:r>
          </w:p>
        </w:tc>
        <w:tc>
          <w:tcPr>
            <w:tcW w:w="1865" w:type="dxa"/>
            <w:tcBorders>
              <w:top w:val="nil"/>
              <w:left w:val="nil"/>
              <w:bottom w:val="nil"/>
              <w:right w:val="nil"/>
            </w:tcBorders>
            <w:shd w:val="clear" w:color="auto" w:fill="F2F2F2"/>
            <w:noWrap/>
            <w:vAlign w:val="center"/>
          </w:tcPr>
          <w:p w14:paraId="5013D0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23.3</w:t>
            </w:r>
          </w:p>
        </w:tc>
      </w:tr>
      <w:tr w14:paraId="4FFD8A79">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noWrap/>
            <w:vAlign w:val="center"/>
          </w:tcPr>
          <w:p w14:paraId="7665F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047FEF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Peritoneal metastasis</w:t>
            </w:r>
          </w:p>
        </w:tc>
        <w:tc>
          <w:tcPr>
            <w:tcW w:w="1529" w:type="dxa"/>
            <w:tcBorders>
              <w:top w:val="nil"/>
              <w:left w:val="nil"/>
              <w:bottom w:val="nil"/>
              <w:right w:val="nil"/>
            </w:tcBorders>
            <w:shd w:val="clear" w:color="auto" w:fill="FFFFFF"/>
            <w:noWrap/>
            <w:vAlign w:val="center"/>
          </w:tcPr>
          <w:p w14:paraId="561C1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14</w:t>
            </w:r>
          </w:p>
        </w:tc>
        <w:tc>
          <w:tcPr>
            <w:tcW w:w="1865" w:type="dxa"/>
            <w:tcBorders>
              <w:top w:val="nil"/>
              <w:left w:val="nil"/>
              <w:bottom w:val="nil"/>
              <w:right w:val="nil"/>
            </w:tcBorders>
            <w:shd w:val="clear" w:color="auto" w:fill="FFFFFF"/>
            <w:noWrap/>
            <w:vAlign w:val="center"/>
          </w:tcPr>
          <w:p w14:paraId="53228F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46.7</w:t>
            </w:r>
          </w:p>
        </w:tc>
      </w:tr>
      <w:tr w14:paraId="7458199E">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38672D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p>
        </w:tc>
        <w:tc>
          <w:tcPr>
            <w:tcW w:w="2993" w:type="dxa"/>
            <w:tcBorders>
              <w:top w:val="nil"/>
              <w:left w:val="nil"/>
              <w:bottom w:val="nil"/>
              <w:right w:val="nil"/>
            </w:tcBorders>
            <w:shd w:val="clear" w:color="auto" w:fill="F2F2F2"/>
            <w:noWrap/>
            <w:vAlign w:val="center"/>
          </w:tcPr>
          <w:p w14:paraId="57A6A8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Distant lymph node metastasis</w:t>
            </w:r>
          </w:p>
        </w:tc>
        <w:tc>
          <w:tcPr>
            <w:tcW w:w="1529" w:type="dxa"/>
            <w:tcBorders>
              <w:top w:val="nil"/>
              <w:left w:val="nil"/>
              <w:bottom w:val="nil"/>
              <w:right w:val="nil"/>
            </w:tcBorders>
            <w:shd w:val="clear" w:color="auto" w:fill="F2F2F2"/>
            <w:noWrap/>
            <w:vAlign w:val="center"/>
          </w:tcPr>
          <w:p w14:paraId="5F5465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21</w:t>
            </w:r>
          </w:p>
        </w:tc>
        <w:tc>
          <w:tcPr>
            <w:tcW w:w="1865" w:type="dxa"/>
            <w:tcBorders>
              <w:top w:val="nil"/>
              <w:left w:val="nil"/>
              <w:bottom w:val="nil"/>
              <w:right w:val="nil"/>
            </w:tcBorders>
            <w:shd w:val="clear" w:color="auto" w:fill="F2F2F2"/>
            <w:noWrap/>
            <w:vAlign w:val="center"/>
          </w:tcPr>
          <w:p w14:paraId="14668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70.1</w:t>
            </w:r>
          </w:p>
        </w:tc>
      </w:tr>
      <w:tr w14:paraId="1FC1322F">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noWrap/>
            <w:vAlign w:val="center"/>
          </w:tcPr>
          <w:p w14:paraId="3B6AD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26467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bone metastasis</w:t>
            </w:r>
          </w:p>
        </w:tc>
        <w:tc>
          <w:tcPr>
            <w:tcW w:w="1529" w:type="dxa"/>
            <w:tcBorders>
              <w:top w:val="nil"/>
              <w:left w:val="nil"/>
              <w:bottom w:val="nil"/>
              <w:right w:val="nil"/>
            </w:tcBorders>
            <w:shd w:val="clear" w:color="auto" w:fill="FFFFFF"/>
            <w:noWrap/>
            <w:vAlign w:val="center"/>
          </w:tcPr>
          <w:p w14:paraId="6999DB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w:t>
            </w:r>
          </w:p>
        </w:tc>
        <w:tc>
          <w:tcPr>
            <w:tcW w:w="1865" w:type="dxa"/>
            <w:tcBorders>
              <w:top w:val="nil"/>
              <w:left w:val="nil"/>
              <w:bottom w:val="nil"/>
              <w:right w:val="nil"/>
            </w:tcBorders>
            <w:shd w:val="clear" w:color="auto" w:fill="FFFFFF"/>
            <w:noWrap/>
            <w:vAlign w:val="center"/>
          </w:tcPr>
          <w:p w14:paraId="182574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6.7</w:t>
            </w:r>
          </w:p>
        </w:tc>
      </w:tr>
      <w:tr w14:paraId="77D1DA55">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654579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The number of metastatic sites</w:t>
            </w:r>
          </w:p>
        </w:tc>
        <w:tc>
          <w:tcPr>
            <w:tcW w:w="2993" w:type="dxa"/>
            <w:tcBorders>
              <w:top w:val="nil"/>
              <w:left w:val="nil"/>
              <w:bottom w:val="nil"/>
              <w:right w:val="nil"/>
            </w:tcBorders>
            <w:shd w:val="clear" w:color="auto" w:fill="F2F2F2"/>
            <w:noWrap/>
            <w:vAlign w:val="center"/>
          </w:tcPr>
          <w:p w14:paraId="762083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Style w:val="6"/>
                <w:rFonts w:hint="default" w:ascii="Times New Roman" w:hAnsi="Times New Roman" w:eastAsia="宋体" w:cs="Times New Roman"/>
                <w:b w:val="0"/>
                <w:bCs w:val="0"/>
                <w:i w:val="0"/>
                <w:iCs w:val="0"/>
                <w:caps w:val="0"/>
                <w:color w:val="000000"/>
                <w:spacing w:val="-2"/>
                <w:sz w:val="21"/>
                <w:szCs w:val="21"/>
                <w:shd w:val="clear" w:fill="FFFFFF"/>
                <w:vertAlign w:val="baseline"/>
              </w:rPr>
              <w:t>≤</w:t>
            </w:r>
            <w:r>
              <w:rPr>
                <w:rFonts w:hint="default" w:ascii="Times New Roman" w:hAnsi="Times New Roman" w:eastAsia="宋体" w:cs="Times New Roman"/>
                <w:b w:val="0"/>
                <w:bCs w:val="0"/>
                <w:i w:val="0"/>
                <w:iCs w:val="0"/>
                <w:color w:val="000000" w:themeColor="text1"/>
                <w:sz w:val="21"/>
                <w:szCs w:val="21"/>
                <w:lang w:val="en-US" w:eastAsia="zh-CN"/>
                <w14:textFill>
                  <w14:solidFill>
                    <w14:schemeClr w14:val="tx1"/>
                  </w14:solidFill>
                </w14:textFill>
              </w:rPr>
              <w:t>2</w:t>
            </w:r>
          </w:p>
        </w:tc>
        <w:tc>
          <w:tcPr>
            <w:tcW w:w="1529" w:type="dxa"/>
            <w:tcBorders>
              <w:top w:val="nil"/>
              <w:left w:val="nil"/>
              <w:bottom w:val="nil"/>
              <w:right w:val="nil"/>
            </w:tcBorders>
            <w:shd w:val="clear" w:color="auto" w:fill="F2F2F2"/>
            <w:noWrap/>
            <w:vAlign w:val="center"/>
          </w:tcPr>
          <w:p w14:paraId="5BA47C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13</w:t>
            </w:r>
          </w:p>
        </w:tc>
        <w:tc>
          <w:tcPr>
            <w:tcW w:w="1865" w:type="dxa"/>
            <w:tcBorders>
              <w:top w:val="nil"/>
              <w:left w:val="nil"/>
              <w:bottom w:val="nil"/>
              <w:right w:val="nil"/>
            </w:tcBorders>
            <w:shd w:val="clear" w:color="auto" w:fill="F2F2F2"/>
            <w:noWrap/>
            <w:vAlign w:val="center"/>
          </w:tcPr>
          <w:p w14:paraId="481D87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46.7</w:t>
            </w:r>
          </w:p>
        </w:tc>
      </w:tr>
      <w:tr w14:paraId="5A7D4DAD">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noWrap/>
            <w:vAlign w:val="center"/>
          </w:tcPr>
          <w:p w14:paraId="3321D3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p>
        </w:tc>
        <w:tc>
          <w:tcPr>
            <w:tcW w:w="2993" w:type="dxa"/>
            <w:tcBorders>
              <w:top w:val="nil"/>
              <w:left w:val="nil"/>
              <w:bottom w:val="nil"/>
              <w:right w:val="nil"/>
            </w:tcBorders>
            <w:shd w:val="clear" w:color="auto" w:fill="F2F2F2"/>
            <w:noWrap/>
            <w:vAlign w:val="center"/>
          </w:tcPr>
          <w:p w14:paraId="0DCE45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≥3</w:t>
            </w:r>
          </w:p>
        </w:tc>
        <w:tc>
          <w:tcPr>
            <w:tcW w:w="1529" w:type="dxa"/>
            <w:tcBorders>
              <w:top w:val="nil"/>
              <w:left w:val="nil"/>
              <w:bottom w:val="nil"/>
              <w:right w:val="nil"/>
            </w:tcBorders>
            <w:shd w:val="clear" w:color="auto" w:fill="F2F2F2"/>
            <w:noWrap/>
            <w:vAlign w:val="center"/>
          </w:tcPr>
          <w:p w14:paraId="35FEF7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16</w:t>
            </w:r>
          </w:p>
        </w:tc>
        <w:tc>
          <w:tcPr>
            <w:tcW w:w="1865" w:type="dxa"/>
            <w:tcBorders>
              <w:top w:val="nil"/>
              <w:left w:val="nil"/>
              <w:bottom w:val="nil"/>
              <w:right w:val="nil"/>
            </w:tcBorders>
            <w:shd w:val="clear" w:color="auto" w:fill="F2F2F2"/>
            <w:noWrap/>
            <w:vAlign w:val="center"/>
          </w:tcPr>
          <w:p w14:paraId="4DB947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53.3</w:t>
            </w:r>
          </w:p>
        </w:tc>
      </w:tr>
      <w:tr w14:paraId="1E8F2BB1">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vAlign w:val="center"/>
          </w:tcPr>
          <w:p w14:paraId="4BB4BF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Lauren subtyping</w:t>
            </w:r>
          </w:p>
        </w:tc>
        <w:tc>
          <w:tcPr>
            <w:tcW w:w="2993" w:type="dxa"/>
            <w:tcBorders>
              <w:top w:val="nil"/>
              <w:left w:val="nil"/>
              <w:bottom w:val="nil"/>
              <w:right w:val="nil"/>
            </w:tcBorders>
            <w:shd w:val="clear" w:color="auto" w:fill="FFFFFF"/>
            <w:noWrap/>
            <w:vAlign w:val="center"/>
          </w:tcPr>
          <w:p w14:paraId="43259A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intestinal type</w:t>
            </w:r>
          </w:p>
        </w:tc>
        <w:tc>
          <w:tcPr>
            <w:tcW w:w="1529" w:type="dxa"/>
            <w:tcBorders>
              <w:top w:val="nil"/>
              <w:left w:val="nil"/>
              <w:bottom w:val="nil"/>
              <w:right w:val="nil"/>
            </w:tcBorders>
            <w:shd w:val="clear" w:color="auto" w:fill="FFFFFF"/>
            <w:noWrap/>
            <w:vAlign w:val="center"/>
          </w:tcPr>
          <w:p w14:paraId="35C4E0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17</w:t>
            </w:r>
          </w:p>
        </w:tc>
        <w:tc>
          <w:tcPr>
            <w:tcW w:w="1865" w:type="dxa"/>
            <w:tcBorders>
              <w:top w:val="nil"/>
              <w:left w:val="nil"/>
              <w:bottom w:val="nil"/>
              <w:right w:val="nil"/>
            </w:tcBorders>
            <w:shd w:val="clear" w:color="auto" w:fill="FFFFFF"/>
            <w:noWrap/>
            <w:vAlign w:val="center"/>
          </w:tcPr>
          <w:p w14:paraId="13C282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56.7</w:t>
            </w:r>
          </w:p>
        </w:tc>
      </w:tr>
      <w:tr w14:paraId="78B4EDAE">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vAlign w:val="center"/>
          </w:tcPr>
          <w:p w14:paraId="56369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p>
        </w:tc>
        <w:tc>
          <w:tcPr>
            <w:tcW w:w="2993" w:type="dxa"/>
            <w:tcBorders>
              <w:top w:val="nil"/>
              <w:left w:val="nil"/>
              <w:bottom w:val="nil"/>
              <w:right w:val="nil"/>
            </w:tcBorders>
            <w:shd w:val="clear" w:color="auto" w:fill="F2F2F2"/>
            <w:noWrap/>
            <w:vAlign w:val="center"/>
          </w:tcPr>
          <w:p w14:paraId="29FA3F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14:textFill>
                  <w14:solidFill>
                    <w14:schemeClr w14:val="tx1"/>
                  </w14:solidFill>
                </w14:textFill>
              </w:rPr>
              <w:t>diffuse type</w:t>
            </w:r>
          </w:p>
        </w:tc>
        <w:tc>
          <w:tcPr>
            <w:tcW w:w="1529" w:type="dxa"/>
            <w:tcBorders>
              <w:top w:val="nil"/>
              <w:left w:val="nil"/>
              <w:bottom w:val="nil"/>
              <w:right w:val="nil"/>
            </w:tcBorders>
            <w:shd w:val="clear" w:color="auto" w:fill="F2F2F2"/>
            <w:noWrap/>
            <w:vAlign w:val="center"/>
          </w:tcPr>
          <w:p w14:paraId="52CE89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11</w:t>
            </w:r>
          </w:p>
        </w:tc>
        <w:tc>
          <w:tcPr>
            <w:tcW w:w="1865" w:type="dxa"/>
            <w:tcBorders>
              <w:top w:val="nil"/>
              <w:left w:val="nil"/>
              <w:bottom w:val="nil"/>
              <w:right w:val="nil"/>
            </w:tcBorders>
            <w:shd w:val="clear" w:color="auto" w:fill="F2F2F2"/>
            <w:noWrap/>
            <w:vAlign w:val="center"/>
          </w:tcPr>
          <w:p w14:paraId="518334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36.7</w:t>
            </w:r>
          </w:p>
        </w:tc>
      </w:tr>
      <w:tr w14:paraId="63D5E4F6">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vAlign w:val="center"/>
          </w:tcPr>
          <w:p w14:paraId="30EE5E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69199D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14:textFill>
                  <w14:solidFill>
                    <w14:schemeClr w14:val="tx1"/>
                  </w14:solidFill>
                </w14:textFill>
              </w:rPr>
              <w:t>mixed type</w:t>
            </w:r>
          </w:p>
        </w:tc>
        <w:tc>
          <w:tcPr>
            <w:tcW w:w="1529" w:type="dxa"/>
            <w:tcBorders>
              <w:top w:val="nil"/>
              <w:left w:val="nil"/>
              <w:bottom w:val="nil"/>
              <w:right w:val="nil"/>
            </w:tcBorders>
            <w:shd w:val="clear" w:color="auto" w:fill="FFFFFF"/>
            <w:noWrap/>
            <w:vAlign w:val="center"/>
          </w:tcPr>
          <w:p w14:paraId="3981CA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2</w:t>
            </w:r>
          </w:p>
        </w:tc>
        <w:tc>
          <w:tcPr>
            <w:tcW w:w="1865" w:type="dxa"/>
            <w:tcBorders>
              <w:top w:val="nil"/>
              <w:left w:val="nil"/>
              <w:bottom w:val="nil"/>
              <w:right w:val="nil"/>
            </w:tcBorders>
            <w:shd w:val="clear" w:color="auto" w:fill="FFFFFF"/>
            <w:noWrap/>
            <w:vAlign w:val="center"/>
          </w:tcPr>
          <w:p w14:paraId="5A5E63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6.6</w:t>
            </w:r>
          </w:p>
        </w:tc>
      </w:tr>
      <w:tr w14:paraId="515EF502">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2F2F2"/>
            <w:vAlign w:val="center"/>
          </w:tcPr>
          <w:p w14:paraId="53DBCF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CPS score</w:t>
            </w:r>
          </w:p>
        </w:tc>
        <w:tc>
          <w:tcPr>
            <w:tcW w:w="2993" w:type="dxa"/>
            <w:tcBorders>
              <w:top w:val="nil"/>
              <w:left w:val="nil"/>
              <w:bottom w:val="nil"/>
              <w:right w:val="nil"/>
            </w:tcBorders>
            <w:shd w:val="clear" w:color="auto" w:fill="F2F2F2"/>
            <w:noWrap/>
            <w:vAlign w:val="center"/>
          </w:tcPr>
          <w:p w14:paraId="16E8C7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&lt;1</w:t>
            </w:r>
          </w:p>
        </w:tc>
        <w:tc>
          <w:tcPr>
            <w:tcW w:w="1529" w:type="dxa"/>
            <w:tcBorders>
              <w:top w:val="nil"/>
              <w:left w:val="nil"/>
              <w:bottom w:val="nil"/>
              <w:right w:val="nil"/>
            </w:tcBorders>
            <w:shd w:val="clear" w:color="auto" w:fill="F2F2F2"/>
            <w:noWrap/>
            <w:vAlign w:val="center"/>
          </w:tcPr>
          <w:p w14:paraId="105883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10</w:t>
            </w:r>
          </w:p>
        </w:tc>
        <w:tc>
          <w:tcPr>
            <w:tcW w:w="1865" w:type="dxa"/>
            <w:tcBorders>
              <w:top w:val="nil"/>
              <w:left w:val="nil"/>
              <w:bottom w:val="nil"/>
              <w:right w:val="nil"/>
            </w:tcBorders>
            <w:shd w:val="clear" w:color="auto" w:fill="F2F2F2"/>
            <w:noWrap/>
            <w:vAlign w:val="center"/>
          </w:tcPr>
          <w:p w14:paraId="31E15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33.3</w:t>
            </w:r>
          </w:p>
        </w:tc>
      </w:tr>
      <w:tr w14:paraId="4FBCD61A">
        <w:tblPrEx>
          <w:tblCellMar>
            <w:top w:w="0" w:type="dxa"/>
            <w:left w:w="108" w:type="dxa"/>
            <w:bottom w:w="0" w:type="dxa"/>
            <w:right w:w="108" w:type="dxa"/>
          </w:tblCellMar>
        </w:tblPrEx>
        <w:trPr>
          <w:trHeight w:val="113" w:hRule="atLeast"/>
          <w:jc w:val="center"/>
        </w:trPr>
        <w:tc>
          <w:tcPr>
            <w:tcW w:w="2154" w:type="dxa"/>
            <w:tcBorders>
              <w:top w:val="nil"/>
              <w:left w:val="nil"/>
              <w:bottom w:val="nil"/>
              <w:right w:val="nil"/>
            </w:tcBorders>
            <w:shd w:val="clear" w:color="auto" w:fill="FFFFFF"/>
            <w:vAlign w:val="center"/>
          </w:tcPr>
          <w:p w14:paraId="5AA038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p>
        </w:tc>
        <w:tc>
          <w:tcPr>
            <w:tcW w:w="2993" w:type="dxa"/>
            <w:tcBorders>
              <w:top w:val="nil"/>
              <w:left w:val="nil"/>
              <w:bottom w:val="nil"/>
              <w:right w:val="nil"/>
            </w:tcBorders>
            <w:shd w:val="clear" w:color="auto" w:fill="FFFFFF"/>
            <w:noWrap/>
            <w:vAlign w:val="center"/>
          </w:tcPr>
          <w:p w14:paraId="1D8B8C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1-5</w:t>
            </w:r>
          </w:p>
        </w:tc>
        <w:tc>
          <w:tcPr>
            <w:tcW w:w="1529" w:type="dxa"/>
            <w:tcBorders>
              <w:top w:val="nil"/>
              <w:left w:val="nil"/>
              <w:bottom w:val="nil"/>
              <w:right w:val="nil"/>
            </w:tcBorders>
            <w:shd w:val="clear" w:color="auto" w:fill="FFFFFF"/>
            <w:noWrap/>
            <w:vAlign w:val="center"/>
          </w:tcPr>
          <w:p w14:paraId="77348F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15</w:t>
            </w:r>
          </w:p>
        </w:tc>
        <w:tc>
          <w:tcPr>
            <w:tcW w:w="1865" w:type="dxa"/>
            <w:tcBorders>
              <w:top w:val="nil"/>
              <w:left w:val="nil"/>
              <w:bottom w:val="nil"/>
              <w:right w:val="nil"/>
            </w:tcBorders>
            <w:shd w:val="clear" w:color="auto" w:fill="FFFFFF"/>
            <w:noWrap/>
            <w:vAlign w:val="center"/>
          </w:tcPr>
          <w:p w14:paraId="3258CF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50.0</w:t>
            </w:r>
          </w:p>
        </w:tc>
      </w:tr>
      <w:tr w14:paraId="3FE8C7B5">
        <w:tblPrEx>
          <w:tblCellMar>
            <w:top w:w="0" w:type="dxa"/>
            <w:left w:w="108" w:type="dxa"/>
            <w:bottom w:w="0" w:type="dxa"/>
            <w:right w:w="108" w:type="dxa"/>
          </w:tblCellMar>
        </w:tblPrEx>
        <w:trPr>
          <w:trHeight w:val="113" w:hRule="atLeast"/>
          <w:jc w:val="center"/>
        </w:trPr>
        <w:tc>
          <w:tcPr>
            <w:tcW w:w="2154" w:type="dxa"/>
            <w:tcBorders>
              <w:top w:val="nil"/>
              <w:left w:val="nil"/>
              <w:bottom w:val="single" w:color="000000" w:themeColor="dark1" w:sz="12" w:space="0"/>
              <w:right w:val="nil"/>
            </w:tcBorders>
            <w:shd w:val="clear" w:color="auto" w:fill="F2F2F2"/>
            <w:vAlign w:val="center"/>
          </w:tcPr>
          <w:p w14:paraId="7036F1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p>
        </w:tc>
        <w:tc>
          <w:tcPr>
            <w:tcW w:w="2993" w:type="dxa"/>
            <w:tcBorders>
              <w:top w:val="nil"/>
              <w:left w:val="nil"/>
              <w:bottom w:val="single" w:color="000000" w:themeColor="dark1" w:sz="12" w:space="0"/>
              <w:right w:val="nil"/>
            </w:tcBorders>
            <w:shd w:val="clear" w:color="auto" w:fill="F2F2F2"/>
            <w:noWrap/>
            <w:vAlign w:val="center"/>
          </w:tcPr>
          <w:p w14:paraId="7171E2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&gt;5</w:t>
            </w:r>
          </w:p>
        </w:tc>
        <w:tc>
          <w:tcPr>
            <w:tcW w:w="1529" w:type="dxa"/>
            <w:tcBorders>
              <w:top w:val="nil"/>
              <w:left w:val="nil"/>
              <w:bottom w:val="single" w:color="000000" w:themeColor="dark1" w:sz="12" w:space="0"/>
              <w:right w:val="nil"/>
            </w:tcBorders>
            <w:shd w:val="clear" w:color="auto" w:fill="F2F2F2"/>
            <w:noWrap/>
            <w:vAlign w:val="center"/>
          </w:tcPr>
          <w:p w14:paraId="75C417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5</w:t>
            </w:r>
          </w:p>
        </w:tc>
        <w:tc>
          <w:tcPr>
            <w:tcW w:w="1865" w:type="dxa"/>
            <w:tcBorders>
              <w:top w:val="nil"/>
              <w:left w:val="nil"/>
              <w:bottom w:val="single" w:color="000000" w:themeColor="dark1" w:sz="12" w:space="0"/>
              <w:right w:val="nil"/>
            </w:tcBorders>
            <w:shd w:val="clear" w:color="auto" w:fill="F2F2F2"/>
            <w:noWrap/>
            <w:vAlign w:val="center"/>
          </w:tcPr>
          <w:p w14:paraId="30E1C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i w:val="0"/>
                <w:iCs w:val="0"/>
                <w:color w:val="000000" w:themeColor="text1"/>
                <w:sz w:val="21"/>
                <w:szCs w:val="21"/>
                <w:lang w:val="en-US" w:eastAsia="zh-CN"/>
                <w14:textFill>
                  <w14:solidFill>
                    <w14:schemeClr w14:val="tx1"/>
                  </w14:solidFill>
                </w14:textFill>
              </w:rPr>
              <w:t>16.7</w:t>
            </w:r>
          </w:p>
        </w:tc>
      </w:tr>
    </w:tbl>
    <w:p w14:paraId="3509E7DF">
      <w:pPr>
        <w:rPr>
          <w:rFonts w:hint="eastAsia"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ECOG PS, </w:t>
      </w:r>
      <w:r>
        <w:rPr>
          <w:rFonts w:hint="default" w:ascii="Times New Roman" w:hAnsi="Times New Roman" w:cs="Times New Roman"/>
          <w:sz w:val="24"/>
          <w:szCs w:val="32"/>
        </w:rPr>
        <w:t>Eastern Cooperative Oncology Group Performance Status</w:t>
      </w:r>
      <w:r>
        <w:rPr>
          <w:rFonts w:hint="eastAsia" w:ascii="Times New Roman" w:hAnsi="Times New Roman" w:cs="Times New Roman"/>
          <w:sz w:val="24"/>
          <w:szCs w:val="32"/>
          <w:lang w:val="en-US" w:eastAsia="zh-CN"/>
        </w:rPr>
        <w:t>. CPS, combined positive score.</w:t>
      </w:r>
    </w:p>
    <w:p w14:paraId="33D2FC2E">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br w:type="page"/>
      </w:r>
    </w:p>
    <w:p w14:paraId="506B49EC">
      <w:pPr>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Supplementary Table S2. Evaluation criteria for the efficacy of chemotherapy combined with immunotherapy in patients with gastric cancer.</w:t>
      </w:r>
    </w:p>
    <w:tbl>
      <w:tblPr>
        <w:tblStyle w:val="4"/>
        <w:tblW w:w="8679" w:type="dxa"/>
        <w:jc w:val="center"/>
        <w:tblBorders>
          <w:top w:val="single" w:color="000000" w:themeColor="dark1" w:sz="12" w:space="0"/>
          <w:left w:val="none" w:color="auto" w:sz="0" w:space="0"/>
          <w:bottom w:val="single" w:color="000000" w:themeColor="text1" w:sz="12" w:space="0"/>
          <w:right w:val="none" w:color="auto" w:sz="0" w:space="0"/>
          <w:insideH w:val="none" w:color="auto" w:sz="0" w:space="0"/>
          <w:insideV w:val="none" w:color="auto" w:sz="0" w:space="0"/>
        </w:tblBorders>
        <w:tblLayout w:type="fixed"/>
        <w:tblCellMar>
          <w:top w:w="45" w:type="dxa"/>
          <w:left w:w="96" w:type="dxa"/>
          <w:bottom w:w="45" w:type="dxa"/>
          <w:right w:w="96" w:type="dxa"/>
        </w:tblCellMar>
      </w:tblPr>
      <w:tblGrid>
        <w:gridCol w:w="2033"/>
        <w:gridCol w:w="6646"/>
      </w:tblGrid>
      <w:tr w14:paraId="4CD4D72A">
        <w:tblPrEx>
          <w:tblBorders>
            <w:top w:val="single" w:color="000000" w:themeColor="dark1" w:sz="12" w:space="0"/>
            <w:left w:val="none" w:color="auto" w:sz="0" w:space="0"/>
            <w:bottom w:val="single" w:color="000000" w:themeColor="text1" w:sz="12"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531" w:hRule="atLeast"/>
          <w:tblHeader/>
          <w:jc w:val="center"/>
        </w:trPr>
        <w:tc>
          <w:tcPr>
            <w:tcW w:w="2033" w:type="dxa"/>
            <w:tcBorders>
              <w:bottom w:val="single" w:color="000000" w:themeColor="text1" w:sz="8" w:space="0"/>
            </w:tcBorders>
            <w:shd w:val="clear" w:color="auto" w:fill="FFFFFF"/>
            <w:vAlign w:val="center"/>
          </w:tcPr>
          <w:p w14:paraId="2BAB8A7F">
            <w:pPr>
              <w:jc w:val="center"/>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Response</w:t>
            </w:r>
          </w:p>
        </w:tc>
        <w:tc>
          <w:tcPr>
            <w:tcW w:w="6646" w:type="dxa"/>
            <w:tcBorders>
              <w:bottom w:val="single" w:color="000000" w:themeColor="text1" w:sz="8" w:space="0"/>
            </w:tcBorders>
            <w:shd w:val="clear" w:color="auto" w:fill="FFFFFF"/>
            <w:vAlign w:val="center"/>
          </w:tcPr>
          <w:p w14:paraId="288DDC99">
            <w:pPr>
              <w:jc w:val="center"/>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Criteria</w:t>
            </w:r>
          </w:p>
        </w:tc>
      </w:tr>
      <w:tr w14:paraId="75CD27C0">
        <w:tblPrEx>
          <w:tblBorders>
            <w:top w:val="single" w:color="000000" w:themeColor="dark1" w:sz="12" w:space="0"/>
            <w:left w:val="none" w:color="auto" w:sz="0" w:space="0"/>
            <w:bottom w:val="single" w:color="000000" w:themeColor="text1" w:sz="12"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644" w:hRule="atLeast"/>
          <w:jc w:val="center"/>
        </w:trPr>
        <w:tc>
          <w:tcPr>
            <w:tcW w:w="2033" w:type="dxa"/>
            <w:tcBorders>
              <w:top w:val="single" w:color="000000" w:themeColor="text1" w:sz="8" w:space="0"/>
              <w:tl2br w:val="nil"/>
              <w:tr2bl w:val="nil"/>
            </w:tcBorders>
            <w:shd w:val="clear" w:color="auto" w:fill="FFFFFF"/>
            <w:vAlign w:val="center"/>
          </w:tcPr>
          <w:p w14:paraId="424A9A66">
            <w:pPr>
              <w:jc w:val="cente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CR</w:t>
            </w:r>
          </w:p>
        </w:tc>
        <w:tc>
          <w:tcPr>
            <w:tcW w:w="6646" w:type="dxa"/>
            <w:tcBorders>
              <w:top w:val="single" w:color="000000" w:themeColor="text1" w:sz="8" w:space="0"/>
              <w:tl2br w:val="nil"/>
              <w:tr2bl w:val="nil"/>
            </w:tcBorders>
            <w:shd w:val="clear" w:color="auto" w:fill="FFFFFF"/>
            <w:vAlign w:val="top"/>
          </w:tcPr>
          <w:p w14:paraId="782F7742">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The target lesion completely disappeared and persisted for ≥4 weeks</w:t>
            </w:r>
          </w:p>
        </w:tc>
      </w:tr>
      <w:tr w14:paraId="4D88D981">
        <w:tblPrEx>
          <w:tblBorders>
            <w:top w:val="single" w:color="000000" w:themeColor="dark1" w:sz="12" w:space="0"/>
            <w:left w:val="none" w:color="auto" w:sz="0" w:space="0"/>
            <w:bottom w:val="single" w:color="000000" w:themeColor="text1" w:sz="12"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579" w:hRule="atLeast"/>
          <w:jc w:val="center"/>
        </w:trPr>
        <w:tc>
          <w:tcPr>
            <w:tcW w:w="2033" w:type="dxa"/>
            <w:tcBorders>
              <w:tl2br w:val="nil"/>
              <w:tr2bl w:val="nil"/>
            </w:tcBorders>
            <w:shd w:val="clear" w:color="auto" w:fill="F2F2F2"/>
            <w:vAlign w:val="center"/>
          </w:tcPr>
          <w:p w14:paraId="1BDC3D15">
            <w:pPr>
              <w:jc w:val="cente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PR</w:t>
            </w:r>
          </w:p>
        </w:tc>
        <w:tc>
          <w:tcPr>
            <w:tcW w:w="6646" w:type="dxa"/>
            <w:tcBorders>
              <w:tl2br w:val="nil"/>
              <w:tr2bl w:val="nil"/>
            </w:tcBorders>
            <w:shd w:val="clear" w:color="auto" w:fill="F2F2F2"/>
            <w:vAlign w:val="top"/>
          </w:tcPr>
          <w:p w14:paraId="04E6F8C8">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The total diameter of the target lesions is reduced by ≥30%</w:t>
            </w:r>
          </w:p>
        </w:tc>
      </w:tr>
      <w:tr w14:paraId="02247686">
        <w:tblPrEx>
          <w:tblBorders>
            <w:top w:val="single" w:color="000000" w:themeColor="dark1" w:sz="12" w:space="0"/>
            <w:left w:val="none" w:color="auto" w:sz="0" w:space="0"/>
            <w:bottom w:val="single" w:color="000000" w:themeColor="text1" w:sz="12"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579" w:hRule="atLeast"/>
          <w:jc w:val="center"/>
        </w:trPr>
        <w:tc>
          <w:tcPr>
            <w:tcW w:w="2033" w:type="dxa"/>
            <w:tcBorders>
              <w:tl2br w:val="nil"/>
              <w:tr2bl w:val="nil"/>
            </w:tcBorders>
            <w:shd w:val="clear" w:color="auto" w:fill="FFFFFF"/>
            <w:vAlign w:val="center"/>
          </w:tcPr>
          <w:p w14:paraId="56D55189">
            <w:pPr>
              <w:jc w:val="cente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SD</w:t>
            </w:r>
          </w:p>
        </w:tc>
        <w:tc>
          <w:tcPr>
            <w:tcW w:w="6646" w:type="dxa"/>
            <w:tcBorders>
              <w:tl2br w:val="nil"/>
              <w:tr2bl w:val="nil"/>
            </w:tcBorders>
            <w:shd w:val="clear" w:color="auto" w:fill="FFFFFF"/>
            <w:vAlign w:val="top"/>
          </w:tcPr>
          <w:p w14:paraId="71246184">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The changes of the target lesion are between those of PR and PD</w:t>
            </w:r>
          </w:p>
        </w:tc>
      </w:tr>
      <w:tr w14:paraId="3E20A752">
        <w:tblPrEx>
          <w:tblBorders>
            <w:top w:val="single" w:color="000000" w:themeColor="dark1" w:sz="12" w:space="0"/>
            <w:left w:val="none" w:color="auto" w:sz="0" w:space="0"/>
            <w:bottom w:val="single" w:color="000000" w:themeColor="text1" w:sz="12"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676" w:hRule="atLeast"/>
          <w:jc w:val="center"/>
        </w:trPr>
        <w:tc>
          <w:tcPr>
            <w:tcW w:w="2033" w:type="dxa"/>
            <w:tcBorders>
              <w:tl2br w:val="nil"/>
              <w:tr2bl w:val="nil"/>
            </w:tcBorders>
            <w:shd w:val="clear" w:color="auto" w:fill="F2F2F2"/>
            <w:vAlign w:val="center"/>
          </w:tcPr>
          <w:p w14:paraId="77E94401">
            <w:pPr>
              <w:jc w:val="cente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PD</w:t>
            </w:r>
          </w:p>
        </w:tc>
        <w:tc>
          <w:tcPr>
            <w:tcW w:w="6646" w:type="dxa"/>
            <w:tcBorders>
              <w:tl2br w:val="nil"/>
              <w:tr2bl w:val="nil"/>
            </w:tcBorders>
            <w:shd w:val="clear" w:color="auto" w:fill="F2F2F2"/>
            <w:vAlign w:val="top"/>
          </w:tcPr>
          <w:p w14:paraId="3F30FEE5">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The total diameter of the target lesions increases by ≥20% or new lesions appear</w:t>
            </w:r>
          </w:p>
        </w:tc>
      </w:tr>
    </w:tbl>
    <w:p w14:paraId="02C8CF3F">
      <w:pPr>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CR, complete response; PR, partial response; SD, stable disease; PD, progressive disease.</w:t>
      </w:r>
    </w:p>
    <w:p w14:paraId="0F9583E2">
      <w:pPr>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br w:type="page"/>
      </w:r>
    </w:p>
    <w:p w14:paraId="624136B9">
      <w:r>
        <w:drawing>
          <wp:inline distT="0" distB="0" distL="114300" distR="114300">
            <wp:extent cx="5272405" cy="2319020"/>
            <wp:effectExtent l="0" t="0" r="4445" b="50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a:off x="0" y="0"/>
                      <a:ext cx="5272405" cy="2319020"/>
                    </a:xfrm>
                    <a:prstGeom prst="rect">
                      <a:avLst/>
                    </a:prstGeom>
                    <a:noFill/>
                    <a:ln>
                      <a:noFill/>
                    </a:ln>
                  </pic:spPr>
                </pic:pic>
              </a:graphicData>
            </a:graphic>
          </wp:inline>
        </w:drawing>
      </w:r>
    </w:p>
    <w:p w14:paraId="293ADDFD">
      <w:pPr>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 S</w:t>
      </w:r>
      <w:r>
        <w:rPr>
          <w:rFonts w:hint="default" w:ascii="Times New Roman" w:hAnsi="Times New Roman" w:cs="Times New Roman"/>
          <w:sz w:val="24"/>
          <w:szCs w:val="32"/>
          <w:lang w:val="en-US" w:eastAsia="zh-CN"/>
        </w:rPr>
        <w:t>1. Rarefaction curves of alpha diversity indices.</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lang w:val="en-US" w:eastAsia="zh-CN"/>
        </w:rPr>
        <w:t>Rarefaction curves were generated by randomly subsampling sequences to evaluate the sufficiency of sequencing depth. (</w:t>
      </w:r>
      <w:r>
        <w:rPr>
          <w:rFonts w:hint="eastAsia" w:ascii="Times New Roman" w:hAnsi="Times New Roman" w:cs="Times New Roman"/>
          <w:sz w:val="24"/>
          <w:szCs w:val="32"/>
          <w:lang w:val="en-US" w:eastAsia="zh-CN"/>
        </w:rPr>
        <w:t>a</w:t>
      </w:r>
      <w:r>
        <w:rPr>
          <w:rFonts w:hint="default" w:ascii="Times New Roman" w:hAnsi="Times New Roman" w:cs="Times New Roman"/>
          <w:sz w:val="24"/>
          <w:szCs w:val="32"/>
          <w:lang w:val="en-US" w:eastAsia="zh-CN"/>
        </w:rPr>
        <w:t>) Curves based on the Shannon diversity index. (</w:t>
      </w:r>
      <w:r>
        <w:rPr>
          <w:rFonts w:hint="eastAsia" w:ascii="Times New Roman" w:hAnsi="Times New Roman" w:cs="Times New Roman"/>
          <w:sz w:val="24"/>
          <w:szCs w:val="32"/>
          <w:lang w:val="en-US" w:eastAsia="zh-CN"/>
        </w:rPr>
        <w:t>b</w:t>
      </w:r>
      <w:r>
        <w:rPr>
          <w:rFonts w:hint="default" w:ascii="Times New Roman" w:hAnsi="Times New Roman" w:cs="Times New Roman"/>
          <w:sz w:val="24"/>
          <w:szCs w:val="32"/>
          <w:lang w:val="en-US" w:eastAsia="zh-CN"/>
        </w:rPr>
        <w:t>) Curves based on the Simpson diversity index. The plateauing of all curves demonstrates that the sequencing effort comprehensively captured the microbial diversity within each sample, and further sequencing would yield minimal new diversity.</w:t>
      </w:r>
    </w:p>
    <w:p w14:paraId="6B39D682">
      <w:pPr>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br w:type="page"/>
      </w:r>
    </w:p>
    <w:p w14:paraId="79E1694C">
      <w:pPr>
        <w:jc w:val="center"/>
      </w:pPr>
      <w:r>
        <w:drawing>
          <wp:inline distT="0" distB="0" distL="114300" distR="114300">
            <wp:extent cx="3278505" cy="2593975"/>
            <wp:effectExtent l="0" t="0" r="17145" b="158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3278505" cy="2593975"/>
                    </a:xfrm>
                    <a:prstGeom prst="rect">
                      <a:avLst/>
                    </a:prstGeom>
                    <a:noFill/>
                    <a:ln>
                      <a:noFill/>
                    </a:ln>
                  </pic:spPr>
                </pic:pic>
              </a:graphicData>
            </a:graphic>
          </wp:inline>
        </w:drawing>
      </w:r>
    </w:p>
    <w:p w14:paraId="2419E0B2">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 S2</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 xml:space="preserve">Boxplot showing the difference in the relative abundance of </w:t>
      </w:r>
      <w:r>
        <w:rPr>
          <w:rFonts w:hint="eastAsia" w:ascii="Times New Roman" w:hAnsi="Times New Roman" w:cs="Times New Roman"/>
          <w:i/>
          <w:iCs/>
          <w:sz w:val="24"/>
          <w:szCs w:val="32"/>
          <w:lang w:val="en-US" w:eastAsia="zh-CN"/>
        </w:rPr>
        <w:t>E. rectale</w:t>
      </w:r>
      <w:r>
        <w:rPr>
          <w:rFonts w:hint="eastAsia" w:ascii="Times New Roman" w:hAnsi="Times New Roman" w:cs="Times New Roman"/>
          <w:sz w:val="24"/>
          <w:szCs w:val="32"/>
          <w:lang w:val="en-US" w:eastAsia="zh-CN"/>
        </w:rPr>
        <w:t xml:space="preserve"> between two groups based on the median PFS.</w:t>
      </w:r>
      <w:r>
        <w:br w:type="page"/>
      </w:r>
    </w:p>
    <w:p w14:paraId="66C0AE9F">
      <w:pPr>
        <w:jc w:val="center"/>
        <w:rPr>
          <w:vertAlign w:val="baseline"/>
        </w:rPr>
      </w:pPr>
      <w:r>
        <w:drawing>
          <wp:inline distT="0" distB="0" distL="114300" distR="114300">
            <wp:extent cx="3367405" cy="3460115"/>
            <wp:effectExtent l="0" t="0" r="444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367405" cy="3460115"/>
                    </a:xfrm>
                    <a:prstGeom prst="rect">
                      <a:avLst/>
                    </a:prstGeom>
                    <a:noFill/>
                    <a:ln>
                      <a:noFill/>
                    </a:ln>
                  </pic:spPr>
                </pic:pic>
              </a:graphicData>
            </a:graphic>
          </wp:inline>
        </w:drawing>
      </w:r>
    </w:p>
    <w:p w14:paraId="6086433F">
      <w:pPr>
        <w:jc w:val="both"/>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 S3</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Representative images of immunohistochemical analysis of PD-L1 protein expression in five groups.</w:t>
      </w:r>
    </w:p>
    <w:p w14:paraId="7C30D272">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br w:type="page"/>
      </w:r>
    </w:p>
    <w:p w14:paraId="5E57819E">
      <w:pPr>
        <w:jc w:val="both"/>
        <w:rPr>
          <w:rFonts w:hint="eastAsia" w:ascii="Times New Roman" w:hAnsi="Times New Roman" w:cs="Times New Roman"/>
          <w:sz w:val="24"/>
          <w:szCs w:val="32"/>
          <w:lang w:val="en-US" w:eastAsia="zh-CN"/>
        </w:rPr>
      </w:pPr>
      <w:r>
        <w:drawing>
          <wp:inline distT="0" distB="0" distL="114300" distR="114300">
            <wp:extent cx="5266690" cy="4538980"/>
            <wp:effectExtent l="0" t="0" r="1016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266690" cy="4538980"/>
                    </a:xfrm>
                    <a:prstGeom prst="rect">
                      <a:avLst/>
                    </a:prstGeom>
                    <a:noFill/>
                    <a:ln>
                      <a:noFill/>
                    </a:ln>
                  </pic:spPr>
                </pic:pic>
              </a:graphicData>
            </a:graphic>
          </wp:inline>
        </w:drawing>
      </w:r>
    </w:p>
    <w:p w14:paraId="49B7EA03">
      <w:pPr>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 S4</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Uncropped gels for Western Blots in Figure 2d.</w:t>
      </w:r>
      <w:r>
        <w:rPr>
          <w:rFonts w:hint="default" w:ascii="Times New Roman" w:hAnsi="Times New Roman" w:cs="Times New Roman"/>
          <w:sz w:val="24"/>
          <w:szCs w:val="32"/>
          <w:lang w:val="en-US" w:eastAsia="zh-CN"/>
        </w:rPr>
        <w:br w:type="page"/>
      </w:r>
    </w:p>
    <w:p w14:paraId="35DCE228">
      <w:pPr>
        <w:jc w:val="center"/>
      </w:pPr>
      <w:r>
        <w:drawing>
          <wp:inline distT="0" distB="0" distL="114300" distR="114300">
            <wp:extent cx="5409565" cy="4271645"/>
            <wp:effectExtent l="0" t="0" r="635"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tretch>
                      <a:fillRect/>
                    </a:stretch>
                  </pic:blipFill>
                  <pic:spPr>
                    <a:xfrm>
                      <a:off x="0" y="0"/>
                      <a:ext cx="5409565" cy="4271645"/>
                    </a:xfrm>
                    <a:prstGeom prst="rect">
                      <a:avLst/>
                    </a:prstGeom>
                    <a:noFill/>
                    <a:ln>
                      <a:noFill/>
                    </a:ln>
                  </pic:spPr>
                </pic:pic>
              </a:graphicData>
            </a:graphic>
          </wp:inline>
        </w:drawing>
      </w:r>
    </w:p>
    <w:p w14:paraId="784E926F">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 S5</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Phylogenetic tree of gut microbiota and intratumoral microbiota in mice. The color indicates the phylum to which this genus belongs. The outer columns indicate the abundance of this genus in each sample.</w:t>
      </w:r>
    </w:p>
    <w:p w14:paraId="601199A1">
      <w:r>
        <w:br w:type="page"/>
      </w:r>
    </w:p>
    <w:p w14:paraId="688F271C">
      <w:pPr>
        <w:jc w:val="both"/>
      </w:pPr>
      <w:r>
        <w:drawing>
          <wp:inline distT="0" distB="0" distL="114300" distR="114300">
            <wp:extent cx="5261610" cy="1739900"/>
            <wp:effectExtent l="0" t="0" r="571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261610" cy="1739900"/>
                    </a:xfrm>
                    <a:prstGeom prst="rect">
                      <a:avLst/>
                    </a:prstGeom>
                    <a:noFill/>
                    <a:ln>
                      <a:noFill/>
                    </a:ln>
                  </pic:spPr>
                </pic:pic>
              </a:graphicData>
            </a:graphic>
          </wp:inline>
        </w:drawing>
      </w:r>
    </w:p>
    <w:p w14:paraId="5287E5FD">
      <w:pPr>
        <w:jc w:val="both"/>
        <w:rPr>
          <w:rFonts w:hint="default"/>
          <w:lang w:val="en-US"/>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 S6</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Linear regression analysis showing the correlation between alpha diversity of gut microbiota and intratumoral microbiota. (a) Richness; (b) Simpson; (c) Shannon.</w:t>
      </w:r>
    </w:p>
    <w:p w14:paraId="19F316A0">
      <w:r>
        <w:br w:type="page"/>
      </w:r>
    </w:p>
    <w:p w14:paraId="07251D29">
      <w:pPr>
        <w:jc w:val="both"/>
      </w:pPr>
      <w:r>
        <w:drawing>
          <wp:inline distT="0" distB="0" distL="114300" distR="114300">
            <wp:extent cx="5271770" cy="3450590"/>
            <wp:effectExtent l="0" t="0" r="508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271770" cy="3450590"/>
                    </a:xfrm>
                    <a:prstGeom prst="rect">
                      <a:avLst/>
                    </a:prstGeom>
                    <a:noFill/>
                    <a:ln>
                      <a:noFill/>
                    </a:ln>
                  </pic:spPr>
                </pic:pic>
              </a:graphicData>
            </a:graphic>
          </wp:inline>
        </w:drawing>
      </w:r>
    </w:p>
    <w:p w14:paraId="64076CAF">
      <w:pPr>
        <w:rPr>
          <w:rFonts w:hint="default"/>
          <w:lang w:val="en-US" w:eastAsia="zh-CN"/>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 S7</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Boxplots showing the differences in alpha diversity of gut microbiota among the five groups. (a) Pielou; (b) Richness; (c) Shannon; (d) Simpson. ns, not significant.</w:t>
      </w:r>
      <w:r>
        <w:rPr>
          <w:rFonts w:hint="default"/>
          <w:lang w:val="en-US" w:eastAsia="zh-CN"/>
        </w:rPr>
        <w:br w:type="page"/>
      </w:r>
    </w:p>
    <w:p w14:paraId="600BB5D5">
      <w:pPr>
        <w:jc w:val="both"/>
      </w:pPr>
      <w:r>
        <w:drawing>
          <wp:inline distT="0" distB="0" distL="114300" distR="114300">
            <wp:extent cx="5265420" cy="3470275"/>
            <wp:effectExtent l="0" t="0" r="190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265420" cy="3470275"/>
                    </a:xfrm>
                    <a:prstGeom prst="rect">
                      <a:avLst/>
                    </a:prstGeom>
                    <a:noFill/>
                    <a:ln>
                      <a:noFill/>
                    </a:ln>
                  </pic:spPr>
                </pic:pic>
              </a:graphicData>
            </a:graphic>
          </wp:inline>
        </w:drawing>
      </w:r>
    </w:p>
    <w:p w14:paraId="7997DE06">
      <w:pPr>
        <w:jc w:val="both"/>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w:t>
      </w:r>
      <w:r>
        <w:rPr>
          <w:rFonts w:hint="default" w:ascii="Times New Roman" w:hAnsi="Times New Roman" w:cs="Times New Roman"/>
          <w:sz w:val="24"/>
          <w:szCs w:val="32"/>
          <w:lang w:val="en-US" w:eastAsia="zh-CN"/>
        </w:rPr>
        <w:t xml:space="preserve"> S</w:t>
      </w:r>
      <w:r>
        <w:rPr>
          <w:rFonts w:hint="eastAsia" w:ascii="Times New Roman" w:hAnsi="Times New Roman" w:cs="Times New Roman"/>
          <w:sz w:val="24"/>
          <w:szCs w:val="32"/>
          <w:lang w:val="en-US" w:eastAsia="zh-CN"/>
        </w:rPr>
        <w:t>8</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Boxplots showing the differences in alpha diversity of intratumoral microbiota among the five groups. (a) Pielou; (b) Richness; (c) Shannon; (d) Simpson. ns, not significant.</w:t>
      </w:r>
    </w:p>
    <w:p w14:paraId="750FFE0D">
      <w:pPr>
        <w:rPr>
          <w:rFonts w:hint="default"/>
          <w:lang w:val="en-US" w:eastAsia="zh-CN"/>
        </w:rPr>
      </w:pPr>
      <w:r>
        <w:rPr>
          <w:rFonts w:hint="default"/>
          <w:lang w:val="en-US" w:eastAsia="zh-CN"/>
        </w:rPr>
        <w:br w:type="page"/>
      </w:r>
    </w:p>
    <w:p w14:paraId="7BB7B033">
      <w:pPr>
        <w:jc w:val="both"/>
      </w:pPr>
      <w:r>
        <w:drawing>
          <wp:inline distT="0" distB="0" distL="114300" distR="114300">
            <wp:extent cx="5257800" cy="1925955"/>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5257800" cy="1925955"/>
                    </a:xfrm>
                    <a:prstGeom prst="rect">
                      <a:avLst/>
                    </a:prstGeom>
                    <a:noFill/>
                    <a:ln>
                      <a:noFill/>
                    </a:ln>
                  </pic:spPr>
                </pic:pic>
              </a:graphicData>
            </a:graphic>
          </wp:inline>
        </w:drawing>
      </w:r>
    </w:p>
    <w:p w14:paraId="2582581D">
      <w:pPr>
        <w:jc w:val="both"/>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Fig</w:t>
      </w:r>
      <w:r>
        <w:rPr>
          <w:rFonts w:hint="eastAsia" w:ascii="Times New Roman" w:hAnsi="Times New Roman" w:cs="Times New Roman"/>
          <w:sz w:val="24"/>
          <w:szCs w:val="32"/>
          <w:lang w:val="en-US" w:eastAsia="zh-CN"/>
        </w:rPr>
        <w:t>.</w:t>
      </w:r>
      <w:r>
        <w:rPr>
          <w:rFonts w:hint="default" w:ascii="Times New Roman" w:hAnsi="Times New Roman" w:cs="Times New Roman"/>
          <w:sz w:val="24"/>
          <w:szCs w:val="32"/>
          <w:lang w:val="en-US" w:eastAsia="zh-CN"/>
        </w:rPr>
        <w:t xml:space="preserve"> S</w:t>
      </w:r>
      <w:r>
        <w:rPr>
          <w:rFonts w:hint="eastAsia" w:ascii="Times New Roman" w:hAnsi="Times New Roman" w:cs="Times New Roman"/>
          <w:sz w:val="24"/>
          <w:szCs w:val="32"/>
          <w:lang w:val="en-US" w:eastAsia="zh-CN"/>
        </w:rPr>
        <w:t>9</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 xml:space="preserve">Boxplots showing the differences in beta diversity of microbiota among the five groups. (a) Gut microbiota; (b) Intratumoral microbiota. Beta diversity was measured by the Bray-Curtis dissimilarity index. </w:t>
      </w:r>
    </w:p>
    <w:p w14:paraId="10BA8136">
      <w:pPr>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br w:type="page"/>
      </w:r>
    </w:p>
    <w:p w14:paraId="08594143">
      <w:pPr>
        <w:jc w:val="center"/>
      </w:pPr>
      <w:r>
        <w:drawing>
          <wp:inline distT="0" distB="0" distL="114300" distR="114300">
            <wp:extent cx="3673475" cy="371475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3673475" cy="3714750"/>
                    </a:xfrm>
                    <a:prstGeom prst="rect">
                      <a:avLst/>
                    </a:prstGeom>
                    <a:noFill/>
                    <a:ln>
                      <a:noFill/>
                    </a:ln>
                  </pic:spPr>
                </pic:pic>
              </a:graphicData>
            </a:graphic>
          </wp:inline>
        </w:drawing>
      </w:r>
    </w:p>
    <w:p w14:paraId="362873D4">
      <w:pPr>
        <w:jc w:val="both"/>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Supplementary </w:t>
      </w:r>
      <w:r>
        <w:rPr>
          <w:rFonts w:hint="default" w:ascii="Times New Roman" w:hAnsi="Times New Roman" w:cs="Times New Roman"/>
          <w:sz w:val="24"/>
          <w:szCs w:val="32"/>
          <w:lang w:val="en-US" w:eastAsia="zh-CN"/>
        </w:rPr>
        <w:t>Fi</w:t>
      </w:r>
      <w:r>
        <w:rPr>
          <w:rFonts w:hint="eastAsia" w:ascii="Times New Roman" w:hAnsi="Times New Roman" w:cs="Times New Roman"/>
          <w:sz w:val="24"/>
          <w:szCs w:val="32"/>
          <w:lang w:val="en-US" w:eastAsia="zh-CN"/>
        </w:rPr>
        <w:t>g.</w:t>
      </w:r>
      <w:r>
        <w:rPr>
          <w:rFonts w:hint="default" w:ascii="Times New Roman" w:hAnsi="Times New Roman" w:cs="Times New Roman"/>
          <w:sz w:val="24"/>
          <w:szCs w:val="32"/>
          <w:lang w:val="en-US" w:eastAsia="zh-CN"/>
        </w:rPr>
        <w:t xml:space="preserve"> S</w:t>
      </w:r>
      <w:r>
        <w:rPr>
          <w:rFonts w:hint="eastAsia" w:ascii="Times New Roman" w:hAnsi="Times New Roman" w:cs="Times New Roman"/>
          <w:sz w:val="24"/>
          <w:szCs w:val="32"/>
          <w:lang w:val="en-US" w:eastAsia="zh-CN"/>
        </w:rPr>
        <w:t>10</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Boxplot showing the difference in phylogenetic normalized stochasticity ratio (pNST) between the gut microbiota and intratumoral microbiota.</w:t>
      </w:r>
    </w:p>
    <w:p w14:paraId="141E6B08">
      <w:pPr>
        <w:jc w:val="both"/>
        <w:rPr>
          <w:rFonts w:hint="default"/>
          <w:lang w:val="en-US" w:eastAsia="zh-CN"/>
        </w:rPr>
      </w:pPr>
    </w:p>
    <w:p w14:paraId="4353D48C">
      <w:pPr>
        <w:jc w:val="both"/>
        <w:rPr>
          <w:rFonts w:hint="default" w:ascii="Times New Roman" w:hAnsi="Times New Roman" w:cs="Times New Roman" w:eastAsiaTheme="minorEastAsia"/>
          <w:sz w:val="24"/>
          <w:szCs w:val="32"/>
          <w:lang w:val="en-US" w:eastAsia="zh-CN"/>
        </w:rPr>
      </w:pPr>
    </w:p>
    <w:p w14:paraId="5848A30A">
      <w:r>
        <w:br w:type="page"/>
      </w:r>
    </w:p>
    <w:p w14:paraId="28F24E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Supplementary Text 1</w:t>
      </w:r>
    </w:p>
    <w:p w14:paraId="364AAE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Quality control and taxonomic annotation</w:t>
      </w:r>
    </w:p>
    <w:p w14:paraId="71DD87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Paired- end reads were assigned to samples based on their unique barcode and truncated by cutting off the barcode and primer sequence. Paired-end reads were merged using FLASH (V1.2.11, http://ccb.jhu.edu/software/FLASH/), which was designed to merge paired end reads when at least some of the reads overlap the reads generated from the opposite end of the same DNA fragment, and the splicing sequences were called raw tags. Quality filtering on the raw tags were performed using the fastp (Version 0.23.1 ) software to obtain high-quality Clean Tags. </w:t>
      </w:r>
    </w:p>
    <w:p w14:paraId="0F74A6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The tags were compared with the reference database (Silva database, https://www.arb-silva.de/) to detect chimera sequences, And the effective tags were obtained by removing the chimera sequences with the vsearch package ( V2.16.0, https://github.com/torognes/vsearch). </w:t>
      </w:r>
    </w:p>
    <w:p w14:paraId="695DCF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For the Effective Tags obtained previously, denoise was performed with DADA2. Species annotation was performed using QIIME2 software. The annotation database is Silva Database.</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A592F"/>
    <w:rsid w:val="049A592F"/>
    <w:rsid w:val="061211DC"/>
    <w:rsid w:val="06372219"/>
    <w:rsid w:val="0E0662D9"/>
    <w:rsid w:val="11812E34"/>
    <w:rsid w:val="16F34A05"/>
    <w:rsid w:val="1B0E33FA"/>
    <w:rsid w:val="1BA8478B"/>
    <w:rsid w:val="25CA268A"/>
    <w:rsid w:val="28673483"/>
    <w:rsid w:val="2B634DF5"/>
    <w:rsid w:val="39F46430"/>
    <w:rsid w:val="3E656788"/>
    <w:rsid w:val="40496AF2"/>
    <w:rsid w:val="404E4719"/>
    <w:rsid w:val="4A1720FD"/>
    <w:rsid w:val="4B3D65E6"/>
    <w:rsid w:val="593B6F6F"/>
    <w:rsid w:val="66044428"/>
    <w:rsid w:val="6C9A56E0"/>
    <w:rsid w:val="6F763DEF"/>
    <w:rsid w:val="733F526C"/>
    <w:rsid w:val="743C69AC"/>
    <w:rsid w:val="79F14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691</Words>
  <Characters>4045</Characters>
  <Lines>0</Lines>
  <Paragraphs>0</Paragraphs>
  <TotalTime>0</TotalTime>
  <ScaleCrop>false</ScaleCrop>
  <LinksUpToDate>false</LinksUpToDate>
  <CharactersWithSpaces>4610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2025-10-10T06:13:00Z</dcterms:created>
  <dc:creator>计磊</dc:creator>
  <cp:lastModifiedBy>WPS_1658478639</cp:lastModifiedBy>
  <dcterms:modified xsi:type="dcterms:W3CDTF">2026-02-11T03:28:56Z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382EDCC1CD384BA9A32C8B45DF2BA2FC_11</vt:lpwstr>
  </property>
  <property fmtid="{D5CDD505-2E9C-101B-9397-08002B2CF9AE}" pid="4" name="KSOTemplateDocerSaveRecord">
    <vt:lpwstr>eyJoZGlkIjoiMDdlMDRlMDcwZGQ0ZDQ1YTQ5MzdjMzVjM2RmZDlkM2IiLCJ1c2VySWQiOiIxMzg4Nzc4NTA5In0=</vt:lpwstr>
  </property>
</Properties>
</file>