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4CA3" w14:textId="77777777" w:rsidR="00101C6C" w:rsidRDefault="00000000">
      <w:pPr>
        <w:pStyle w:val="NormalWeb"/>
        <w:spacing w:before="0" w:beforeAutospacing="0" w:afterAutospacing="0" w:line="360" w:lineRule="auto"/>
        <w:jc w:val="both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SUPPLEMENTARY MATERIALS</w:t>
      </w:r>
    </w:p>
    <w:p w14:paraId="1C45DCEA" w14:textId="77777777" w:rsidR="00101C6C" w:rsidRDefault="00000000">
      <w:pPr>
        <w:pStyle w:val="NormalWeb"/>
        <w:spacing w:before="0" w:beforeAutospacing="0" w:afterAutospacing="0" w:line="360" w:lineRule="auto"/>
        <w:jc w:val="both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noProof/>
          <w:color w:val="333333"/>
          <w:shd w:val="clear" w:color="auto" w:fill="FFFFFF"/>
        </w:rPr>
        <w:drawing>
          <wp:inline distT="0" distB="0" distL="114300" distR="114300" wp14:anchorId="2F747C8A" wp14:editId="22DA8297">
            <wp:extent cx="3095625" cy="3324860"/>
            <wp:effectExtent l="0" t="0" r="3175" b="2540"/>
            <wp:docPr id="1" name="图片 1" descr="supplement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AC5D" w14:textId="4003EC58" w:rsidR="00101C6C" w:rsidRDefault="00000000">
      <w:pPr>
        <w:spacing w:line="360" w:lineRule="auto"/>
        <w:jc w:val="both"/>
      </w:pPr>
      <w:bookmarkStart w:id="0" w:name="OLE_LINK64"/>
      <w:bookmarkStart w:id="1" w:name="OLE_LINK65"/>
      <w:r>
        <w:rPr>
          <w:rFonts w:ascii="Times New Roman" w:hAnsi="Times New Roman" w:cs="Times New Roman"/>
          <w:b/>
          <w:bCs/>
        </w:rPr>
        <w:t>Figure S1</w:t>
      </w:r>
      <w:r w:rsidR="00E426F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Flow cytometric analysis of CAR-T cell product purity and gating strategy.</w:t>
      </w:r>
      <w:r w:rsidR="00E426F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(A)</w:t>
      </w:r>
      <w:r w:rsidR="00D17808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Gating strategy and representative analysis for</w:t>
      </w:r>
      <w:r w:rsidR="00D17808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B7-H3 CAR-γδ T cells. Cells were first gated on the lymphocyte population based on forward and side scatter (FSC/SSC). Subsequently, live single cells were identified using viability dye and FSC-H vs. FSC-A parameters. The final gate shows the high purity of the engineered product, with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94.2%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 cells being TCRγδ⁺ and CAR⁺.</w:t>
      </w:r>
      <w:r w:rsidR="00E426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(B)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Parallel gating strategy applied to the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B7-H3 CAR-αβ T cell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product from the same donor. Using the same sequential gating approach, only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2.62%</w:t>
      </w:r>
      <w:r w:rsidR="00C679F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 cells were found to be TCRαβ⁺ and CAR⁺ within the lymphocyte gate, confirming minimal cross-contamination of αβ T cells in the γδ T cell expansion culture.</w:t>
      </w:r>
    </w:p>
    <w:bookmarkEnd w:id="0"/>
    <w:bookmarkEnd w:id="1"/>
    <w:p w14:paraId="7C393DD4" w14:textId="77777777" w:rsidR="00101C6C" w:rsidRDefault="00101C6C">
      <w:pPr>
        <w:pStyle w:val="NormalWeb"/>
        <w:shd w:val="clear" w:color="auto" w:fill="FFFFFF"/>
        <w:spacing w:before="320" w:beforeAutospacing="0" w:after="320" w:afterAutospacing="0"/>
        <w:rPr>
          <w:rFonts w:ascii="Helvetica Neue" w:eastAsia="Helvetica Neue" w:hAnsi="Helvetica Neue" w:cs="Helvetica Neue"/>
          <w:color w:val="0F1115"/>
          <w:sz w:val="32"/>
          <w:szCs w:val="32"/>
        </w:rPr>
      </w:pPr>
    </w:p>
    <w:p w14:paraId="3B05EA3F" w14:textId="77777777" w:rsidR="00101C6C" w:rsidRDefault="00101C6C"/>
    <w:p w14:paraId="6CF852DE" w14:textId="77777777" w:rsidR="00101C6C" w:rsidRDefault="00101C6C"/>
    <w:p w14:paraId="0D9002A4" w14:textId="77777777" w:rsidR="00101C6C" w:rsidRDefault="00101C6C">
      <w:pPr>
        <w:pStyle w:val="NormalWeb"/>
        <w:spacing w:before="0" w:beforeAutospacing="0" w:afterAutospacing="0" w:line="360" w:lineRule="auto"/>
        <w:jc w:val="both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</w:p>
    <w:p w14:paraId="68C207F2" w14:textId="77777777" w:rsidR="00101C6C" w:rsidRDefault="00000000">
      <w:pPr>
        <w:pStyle w:val="NormalWeb"/>
        <w:spacing w:before="0" w:beforeAutospacing="0" w:afterAutospacing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noProof/>
          <w:color w:val="000000"/>
        </w:rPr>
        <w:lastRenderedPageBreak/>
        <w:drawing>
          <wp:inline distT="0" distB="0" distL="114300" distR="114300" wp14:anchorId="33D0A722" wp14:editId="66A899BE">
            <wp:extent cx="5272405" cy="3863340"/>
            <wp:effectExtent l="0" t="0" r="10795" b="22860"/>
            <wp:docPr id="2" name="图片 2" descr="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7BBDB" w14:textId="77777777" w:rsidR="00101C6C" w:rsidRDefault="00000000">
      <w:pPr>
        <w:spacing w:line="360" w:lineRule="auto"/>
        <w:jc w:val="both"/>
        <w:rPr>
          <w:rFonts w:ascii="Times New Roman" w:hAnsi="Times New Roman" w:cs="Times New Roman"/>
        </w:rPr>
      </w:pPr>
      <w:bookmarkStart w:id="2" w:name="OLE_LINK31"/>
      <w:bookmarkStart w:id="3" w:name="OLE_LINK32"/>
      <w:r>
        <w:rPr>
          <w:rFonts w:ascii="Times New Roman Bold" w:hAnsi="Times New Roman Bold" w:cs="Times New Roman Bold"/>
          <w:b/>
          <w:bCs/>
        </w:rPr>
        <w:t xml:space="preserve">Figure S2. B7-H3 CAR-γδ T cells enhance anti-tumor cytotoxicity of cells </w:t>
      </w:r>
      <w:r>
        <w:rPr>
          <w:rFonts w:ascii="Times New Roman Bold Italic" w:hAnsi="Times New Roman Bold Italic" w:cs="Times New Roman Bold Italic"/>
          <w:b/>
          <w:bCs/>
          <w:i/>
          <w:iCs/>
        </w:rPr>
        <w:t>in vitro</w:t>
      </w:r>
      <w:r>
        <w:rPr>
          <w:rFonts w:ascii="Times New Roman Bold" w:hAnsi="Times New Roman Bold" w:cs="Times New Roman Bold"/>
          <w:b/>
          <w:bCs/>
        </w:rPr>
        <w:t xml:space="preserve">. </w:t>
      </w:r>
      <w:r>
        <w:rPr>
          <w:rFonts w:ascii="Times New Roman" w:hAnsi="Times New Roman" w:cs="Times New Roman"/>
        </w:rPr>
        <w:t>(A) B7-H3 CAR-αβ T cells and B7-H3 CAR-γδ T cells were co-cultured with U251 cells at different E/T ratios (from 0.5:1 to 8:1). Cytotoxicity was measured by the LDH release assay after 20 h of incubation. (B) B7-H3 CAR-αβ T cells and B7-H3 CAR-γδ T cells were co-cultured with multiple rounds of U</w:t>
      </w:r>
      <w:r>
        <w:rPr>
          <w:rFonts w:ascii="Times New Roman" w:hAnsi="Times New Roman" w:cs="Times New Roman" w:hint="eastAsia"/>
        </w:rPr>
        <w:t>251</w:t>
      </w:r>
      <w:r>
        <w:rPr>
          <w:rFonts w:ascii="Times New Roman" w:hAnsi="Times New Roman" w:cs="Times New Roman"/>
        </w:rPr>
        <w:t xml:space="preserve"> cells (E/T ratios 4:1). Long-term cytotoxicity was measured by the LDH release assay.</w:t>
      </w:r>
      <w:bookmarkEnd w:id="2"/>
      <w:bookmarkEnd w:id="3"/>
      <w:r>
        <w:rPr>
          <w:rFonts w:ascii="Times New Roman" w:hAnsi="Times New Roman" w:cs="Times New Roman"/>
        </w:rPr>
        <w:t xml:space="preserve"> (C-F) ELISA data showing the quantification of cytokines (TNF-α, IFN-γ, granzyme, and IL-2) in the supernatants after B7-H3 CAR-αβ T cells and B7-H3 CAR-γδ T cells were co-cultured with U251 cells at an E:T ratio of 8:1 for 20 h. Data shown are mean ± SD (n = 5). *p &lt; 0.05, **p &lt; 0.01, ***p &lt; 0.001, and ****p &lt; 0.0001 (two-way ANOVA). Not significant (ns). </w:t>
      </w:r>
    </w:p>
    <w:p w14:paraId="01AEC4D0" w14:textId="77777777" w:rsidR="00101C6C" w:rsidRDefault="00101C6C">
      <w:pPr>
        <w:pStyle w:val="NormalWeb"/>
        <w:spacing w:before="0" w:beforeAutospacing="0" w:afterAutospacing="0" w:line="360" w:lineRule="auto"/>
        <w:rPr>
          <w:rFonts w:ascii="Times New Roman" w:hAnsi="Times New Roman" w:cs="Times New Roman"/>
          <w:color w:val="000000"/>
        </w:rPr>
      </w:pPr>
    </w:p>
    <w:p w14:paraId="28C1039B" w14:textId="77777777" w:rsidR="00101C6C" w:rsidRDefault="00000000">
      <w:pPr>
        <w:spacing w:after="10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6D1EF86B" wp14:editId="582D1E60">
            <wp:extent cx="5271770" cy="3663950"/>
            <wp:effectExtent l="0" t="0" r="11430" b="19050"/>
            <wp:docPr id="3" name="图片 3" descr="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1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412F4" w14:textId="1CD80EC7" w:rsidR="00101C6C" w:rsidRDefault="00000000">
      <w:pPr>
        <w:spacing w:line="360" w:lineRule="auto"/>
        <w:jc w:val="both"/>
      </w:pPr>
      <w:r>
        <w:rPr>
          <w:rFonts w:ascii="Times New Roman Bold" w:hAnsi="Times New Roman Bold" w:cs="Times New Roman Bold"/>
          <w:b/>
          <w:bCs/>
          <w:lang w:bidi="ar"/>
        </w:rPr>
        <w:t>Figure S</w:t>
      </w:r>
      <w:r>
        <w:rPr>
          <w:rFonts w:ascii="Times New Roman Bold" w:hAnsi="Times New Roman Bold" w:cs="Times New Roman Bold" w:hint="eastAsia"/>
          <w:b/>
          <w:bCs/>
          <w:lang w:bidi="ar"/>
        </w:rPr>
        <w:t>3</w:t>
      </w:r>
      <w:r>
        <w:rPr>
          <w:rFonts w:ascii="Times New Roman Bold" w:hAnsi="Times New Roman Bold" w:cs="Times New Roman Bold"/>
          <w:b/>
          <w:bCs/>
          <w:lang w:bidi="ar"/>
        </w:rPr>
        <w:t>.</w:t>
      </w:r>
      <w:r w:rsidR="00E426F1">
        <w:rPr>
          <w:rFonts w:ascii="Times New Roman Bold" w:hAnsi="Times New Roman Bold" w:cs="Times New Roman Bold"/>
          <w:b/>
          <w:bCs/>
          <w:lang w:bidi="ar"/>
        </w:rPr>
        <w:t xml:space="preserve"> </w:t>
      </w:r>
      <w:r>
        <w:rPr>
          <w:rFonts w:ascii="Times New Roman Bold" w:hAnsi="Times New Roman Bold" w:cs="Times New Roman Bold"/>
          <w:b/>
          <w:bCs/>
        </w:rPr>
        <w:t>CAR-γδ T cells exhibit a more exhaustion-resistant phenotype than CAR-αβ T cells following prolonged antigen exposure</w:t>
      </w:r>
      <w:r w:rsidR="00140220">
        <w:rPr>
          <w:rFonts w:ascii="Times New Roman Bold" w:hAnsi="Times New Roman Bold" w:cs="Times New Roman Bold" w:hint="eastAsia"/>
          <w:b/>
          <w:bCs/>
        </w:rPr>
        <w:t xml:space="preserve"> </w:t>
      </w:r>
      <w:r>
        <w:rPr>
          <w:rFonts w:ascii="Times New Roman Bold Italic" w:hAnsi="Times New Roman Bold Italic" w:cs="Times New Roman Bold Italic"/>
          <w:b/>
          <w:bCs/>
          <w:i/>
          <w:iCs/>
        </w:rPr>
        <w:t>in vitro</w:t>
      </w:r>
      <w:r>
        <w:rPr>
          <w:rFonts w:ascii="Times New Roman Bold" w:hAnsi="Times New Roman Bold" w:cs="Times New Roman Bold"/>
          <w:b/>
          <w:bCs/>
        </w:rPr>
        <w:t>.</w:t>
      </w:r>
      <w:r w:rsidR="00E426F1"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" w:hAnsi="Times New Roman" w:cs="Times New Roman"/>
        </w:rPr>
        <w:t>(A-B)</w:t>
      </w:r>
      <w:r w:rsidR="0014022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percentage of PD-1-positive cells </w:t>
      </w:r>
      <w:r>
        <w:rPr>
          <w:rFonts w:ascii="Times New Roman" w:hAnsi="Times New Roman" w:cs="Times New Roman" w:hint="eastAsia"/>
        </w:rPr>
        <w:t xml:space="preserve">and LAG-3 cells </w:t>
      </w:r>
      <w:r>
        <w:rPr>
          <w:rFonts w:ascii="Times New Roman" w:hAnsi="Times New Roman" w:cs="Times New Roman"/>
        </w:rPr>
        <w:t>within</w:t>
      </w:r>
      <w:r w:rsidR="0014022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B7-H3 CAR-αβ T cells and</w:t>
      </w:r>
      <w:r w:rsidR="0014022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B7-H3 CAR-γδ T cells at the start (Day 0) and end (Day 22) of the long-term co-culture</w:t>
      </w:r>
      <w:r>
        <w:rPr>
          <w:rFonts w:ascii="Times New Roman" w:hAnsi="Times New Roman" w:cs="Times New Roman" w:hint="eastAsia"/>
        </w:rPr>
        <w:t xml:space="preserve"> with U87</w:t>
      </w:r>
      <w:r>
        <w:rPr>
          <w:rFonts w:ascii="Times New Roman" w:hAnsi="Times New Roman" w:cs="Times New Roman"/>
        </w:rPr>
        <w:t>.</w:t>
      </w:r>
      <w:r w:rsidR="00E426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  <w:r w:rsidR="0014022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percentage of PD-1-positive cells </w:t>
      </w:r>
      <w:r>
        <w:rPr>
          <w:rFonts w:ascii="Times New Roman" w:hAnsi="Times New Roman" w:cs="Times New Roman" w:hint="eastAsia"/>
        </w:rPr>
        <w:t xml:space="preserve">and LAG-3 cells </w:t>
      </w:r>
      <w:r>
        <w:rPr>
          <w:rFonts w:ascii="Times New Roman" w:hAnsi="Times New Roman" w:cs="Times New Roman"/>
        </w:rPr>
        <w:t>within</w:t>
      </w:r>
      <w:r w:rsidR="0014022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B7-H3 CAR-αβ T cells and</w:t>
      </w:r>
      <w:r w:rsidR="0014022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B7-H3 CAR-γδ T cells at the start (Day 0) and end (Day 22) of the long-term co-culture</w:t>
      </w:r>
      <w:r>
        <w:rPr>
          <w:rFonts w:ascii="Times New Roman" w:hAnsi="Times New Roman" w:cs="Times New Roman" w:hint="eastAsia"/>
        </w:rPr>
        <w:t xml:space="preserve"> with U251</w:t>
      </w:r>
      <w:r>
        <w:rPr>
          <w:rFonts w:ascii="Times New Roman" w:hAnsi="Times New Roman" w:cs="Times New Roman"/>
        </w:rPr>
        <w:t>.</w:t>
      </w:r>
    </w:p>
    <w:p w14:paraId="0A47C341" w14:textId="284476FD" w:rsidR="00101C6C" w:rsidRDefault="00101C6C">
      <w:pPr>
        <w:pStyle w:val="NormalWeb"/>
        <w:spacing w:before="0" w:beforeAutospacing="0" w:afterAutospacing="0" w:line="360" w:lineRule="auto"/>
        <w:rPr>
          <w:rFonts w:ascii="Times New Roman" w:hAnsi="Times New Roman" w:cs="Times New Roman"/>
        </w:rPr>
      </w:pPr>
    </w:p>
    <w:p w14:paraId="0F1C44CA" w14:textId="011C836A" w:rsidR="00101C6C" w:rsidRPr="00140220" w:rsidRDefault="00140220">
      <w:r>
        <w:rPr>
          <w:noProof/>
        </w:rPr>
        <w:lastRenderedPageBreak/>
        <w:drawing>
          <wp:inline distT="0" distB="0" distL="0" distR="0" wp14:anchorId="3DEA32FA" wp14:editId="2564CFE5">
            <wp:extent cx="5274310" cy="3199765"/>
            <wp:effectExtent l="0" t="0" r="0" b="635"/>
            <wp:docPr id="43698693" name="图片 1" descr="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8693" name="图片 1" descr="背景图案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C025" w14:textId="77777777" w:rsidR="00140220" w:rsidRDefault="00140220" w:rsidP="00140220">
      <w:pPr>
        <w:spacing w:line="360" w:lineRule="auto"/>
        <w:jc w:val="both"/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Figure S</w:t>
      </w:r>
      <w:r>
        <w:rPr>
          <w:rFonts w:ascii="Times New Roman Bold" w:hAnsi="Times New Roman Bold" w:cs="Times New Roman Bold" w:hint="eastAsia"/>
          <w:b/>
          <w:bCs/>
        </w:rPr>
        <w:t>4</w:t>
      </w:r>
      <w:r>
        <w:rPr>
          <w:rFonts w:ascii="Times New Roman Bold" w:hAnsi="Times New Roman Bold" w:cs="Times New Roman Bold"/>
          <w:b/>
          <w:bCs/>
        </w:rPr>
        <w:t>. Biosafety validation of B7-H3 CAR-γδ T cells and B7-H3 CAR-αβ </w:t>
      </w:r>
    </w:p>
    <w:p w14:paraId="5F7F0B21" w14:textId="77777777" w:rsidR="00140220" w:rsidRDefault="00140220" w:rsidP="0014022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 Bold" w:hAnsi="Times New Roman Bold" w:cs="Times New Roman Bold"/>
          <w:b/>
          <w:bCs/>
        </w:rPr>
        <w:t>T cells.</w:t>
      </w:r>
      <w:r>
        <w:rPr>
          <w:rFonts w:ascii="Times New Roman" w:hAnsi="Times New Roman" w:cs="Times New Roman"/>
        </w:rPr>
        <w:t xml:space="preserve"> (A) Hematoxylin and eosin (H&amp;E) staining of tissue from the major organs after animals were sacrificed after B7-H3 CAR-γδ T cell treatment (100×). (B) H&amp;E staining of tissues from the major organs after animals were sacrificed after B7-H3 CAR-αβ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 cell treatment (100×).</w:t>
      </w:r>
    </w:p>
    <w:p w14:paraId="4A87AAAF" w14:textId="77777777" w:rsidR="00101C6C" w:rsidRPr="00140220" w:rsidRDefault="00101C6C"/>
    <w:p w14:paraId="51ABE958" w14:textId="77777777" w:rsidR="00101C6C" w:rsidRDefault="00101C6C"/>
    <w:p w14:paraId="4B23B2C7" w14:textId="77777777" w:rsidR="00101C6C" w:rsidRDefault="00101C6C">
      <w:pPr>
        <w:spacing w:after="100" w:line="360" w:lineRule="auto"/>
        <w:rPr>
          <w:rFonts w:ascii="Times New Roman" w:hAnsi="Times New Roman" w:cs="Times New Roman"/>
        </w:rPr>
      </w:pPr>
    </w:p>
    <w:p w14:paraId="338E6605" w14:textId="77777777" w:rsidR="00101C6C" w:rsidRDefault="00000000">
      <w:pPr>
        <w:pStyle w:val="NormalWeb"/>
        <w:spacing w:before="0" w:beforeAutospacing="0" w:afterAutospacing="0" w:line="360" w:lineRule="auto"/>
        <w:jc w:val="both"/>
        <w:rPr>
          <w:rFonts w:ascii="Times New Roman" w:hAnsi="Times New Roman" w:cs="Times New Roman"/>
          <w:color w:val="C55E10" w:themeColor="accent2" w:themeShade="BF"/>
        </w:rPr>
      </w:pPr>
      <w:r>
        <w:rPr>
          <w:rFonts w:ascii="Times New Roman" w:hAnsi="Times New Roman" w:cs="Times New Roman" w:hint="eastAsia"/>
          <w:noProof/>
          <w:color w:val="C55E10" w:themeColor="accent2" w:themeShade="BF"/>
        </w:rPr>
        <w:lastRenderedPageBreak/>
        <w:drawing>
          <wp:inline distT="0" distB="0" distL="114300" distR="114300" wp14:anchorId="6F19DB8F" wp14:editId="4E08FB34">
            <wp:extent cx="5272405" cy="6896735"/>
            <wp:effectExtent l="0" t="0" r="10795" b="12065"/>
            <wp:docPr id="5" name="图片 5" descr="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111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9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8C9A" w14:textId="77777777" w:rsidR="00101C6C" w:rsidRDefault="0000000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The potential mechanism associated with B7-H3 CAR-γδ T cell cytotoxicity.</w:t>
      </w:r>
      <w:r>
        <w:rPr>
          <w:rFonts w:ascii="Times New Roman" w:hAnsi="Times New Roman" w:cs="Times New Roman"/>
        </w:rPr>
        <w:t xml:space="preserve"> (A) B7-H3 CAR-γδ T cells and B7-H3 CAR-αβT cells infiltrating into tumors were detected using anti-GFP monoclonal antibodies in U251 cells. (B) Quantitative analysis of EGFP+ cells in tumor tissues in U251 cells. (C) Expression of active caspase-3 was detected by immunofluorescence in U251 cells. (D) </w:t>
      </w:r>
      <w:r>
        <w:rPr>
          <w:rFonts w:ascii="Times New Roman" w:hAnsi="Times New Roman" w:cs="Times New Roman"/>
        </w:rPr>
        <w:lastRenderedPageBreak/>
        <w:t xml:space="preserve">Quantitative analysis of active caspase-3 in tumor tissues in U251 cells. (E-H) </w:t>
      </w:r>
      <w:r>
        <w:rPr>
          <w:rFonts w:ascii="Times New Roman" w:hAnsi="Times New Roman" w:cs="Times New Roman" w:hint="eastAsia"/>
        </w:rPr>
        <w:t>B7-H3</w:t>
      </w:r>
      <w:r>
        <w:rPr>
          <w:rFonts w:ascii="Times New Roman" w:hAnsi="Times New Roman" w:cs="Times New Roman"/>
        </w:rPr>
        <w:t xml:space="preserve"> CAR+ T cells were stained with antibodies targeting PD-1, CTLA-4, and LAG-3, respectively in U87 cells. Data shown are mean ± SD (n = 5). *p &lt; 0.05, **p &lt; 0.01, ***p &lt; 0.001, and ****p &lt; 0.0001 (two-way ANOVA). Not significant (ns). The bar represents 100 µm.</w:t>
      </w:r>
    </w:p>
    <w:p w14:paraId="25DAF864" w14:textId="77777777" w:rsidR="00101C6C" w:rsidRDefault="00101C6C">
      <w:pPr>
        <w:pStyle w:val="NormalWeb"/>
        <w:spacing w:before="0" w:beforeAutospacing="0" w:afterAutospacing="0" w:line="360" w:lineRule="auto"/>
        <w:jc w:val="both"/>
        <w:rPr>
          <w:rFonts w:ascii="Times New Roman" w:hAnsi="Times New Roman" w:cs="Times New Roman"/>
        </w:rPr>
      </w:pPr>
    </w:p>
    <w:p w14:paraId="5C77E553" w14:textId="77777777" w:rsidR="00101C6C" w:rsidRDefault="00101C6C">
      <w:pPr>
        <w:pStyle w:val="NormalWeb"/>
        <w:spacing w:before="0" w:beforeAutospacing="0" w:afterAutospacing="0" w:line="360" w:lineRule="auto"/>
        <w:rPr>
          <w:rFonts w:ascii="Times New Roman" w:hAnsi="Times New Roman" w:cs="Times New Roman"/>
        </w:rPr>
      </w:pPr>
    </w:p>
    <w:p w14:paraId="7EA5888D" w14:textId="77777777" w:rsidR="00101C6C" w:rsidRDefault="00101C6C"/>
    <w:sectPr w:rsidR="00101C6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FFFAFD"/>
    <w:rsid w:val="00101C6C"/>
    <w:rsid w:val="00140220"/>
    <w:rsid w:val="001F661F"/>
    <w:rsid w:val="002846D8"/>
    <w:rsid w:val="002A648F"/>
    <w:rsid w:val="003D3709"/>
    <w:rsid w:val="00827E03"/>
    <w:rsid w:val="00A7721B"/>
    <w:rsid w:val="00AA662E"/>
    <w:rsid w:val="00C679F5"/>
    <w:rsid w:val="00D17808"/>
    <w:rsid w:val="00E426F1"/>
    <w:rsid w:val="00F03AD9"/>
    <w:rsid w:val="5B77CE3A"/>
    <w:rsid w:val="73FFFAFD"/>
    <w:rsid w:val="FDF9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5CBE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LineNumber">
    <w:name w:val="line number"/>
    <w:basedOn w:val="DefaultParagraphFont"/>
  </w:style>
  <w:style w:type="paragraph" w:styleId="Revision">
    <w:name w:val="Revision"/>
    <w:hidden/>
    <w:uiPriority w:val="99"/>
    <w:unhideWhenUsed/>
    <w:rsid w:val="00E426F1"/>
    <w:rPr>
      <w:rFonts w:ascii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539</Words>
  <Characters>2712</Characters>
  <Application>Microsoft Office Word</Application>
  <DocSecurity>0</DocSecurity>
  <Lines>61</Lines>
  <Paragraphs>8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dcterms:created xsi:type="dcterms:W3CDTF">2025-12-22T22:08:00Z</dcterms:created>
  <dcterms:modified xsi:type="dcterms:W3CDTF">2026-02-15T12:10:00Z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16B914452DD99A9E4CE04869B0D61EDD_41</vt:lpwstr>
  </property>
</Properties>
</file>