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7DBE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 xml:space="preserve">Figure </w:t>
      </w:r>
      <w:r w:rsidRPr="00AF0B97">
        <w:rPr>
          <w:rFonts w:ascii="Times New Roman" w:hAnsi="Times New Roman" w:cs="Times New Roman" w:hint="eastAsia"/>
          <w:b/>
          <w:color w:val="000000" w:themeColor="text1"/>
          <w:sz w:val="24"/>
        </w:rPr>
        <w:t>S1.</w:t>
      </w:r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 xml:space="preserve"> CAR-T-cell-mediated killing of SMMC7721 and HepG2 </w:t>
      </w:r>
      <w:proofErr w:type="spellStart"/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>tumors</w:t>
      </w:r>
      <w:proofErr w:type="spellEnd"/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 xml:space="preserve"> visualized via microscopy.</w:t>
      </w:r>
      <w:r w:rsidRPr="00AF0B97">
        <w:rPr>
          <w:rFonts w:ascii="Times New Roman" w:hAnsi="Times New Roman" w:cs="Times New Roman" w:hint="eastAsia"/>
          <w:b/>
          <w:color w:val="000000" w:themeColor="text1"/>
          <w:sz w:val="24"/>
        </w:rPr>
        <w:t xml:space="preserve"> </w:t>
      </w:r>
    </w:p>
    <w:p w14:paraId="571CBA84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</w:rPr>
      </w:pP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>NTD, CD19-CAR-T and PG-CAR-T cells (red)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 xml:space="preserve"> 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>were incubated with the liver cancer cell lines SMMC7721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 xml:space="preserve"> (A)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 and HepG2 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(B)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 (green)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 xml:space="preserve"> 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>at an E:T ratio of 5:1 for 48 h.</w:t>
      </w:r>
    </w:p>
    <w:p w14:paraId="042C2EED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</w:rPr>
      </w:pPr>
    </w:p>
    <w:p w14:paraId="2E10ECD3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 xml:space="preserve">Figure </w:t>
      </w:r>
      <w:r w:rsidRPr="00AF0B97">
        <w:rPr>
          <w:rFonts w:ascii="Times New Roman" w:hAnsi="Times New Roman" w:cs="Times New Roman" w:hint="eastAsia"/>
          <w:b/>
          <w:color w:val="000000" w:themeColor="text1"/>
          <w:sz w:val="24"/>
        </w:rPr>
        <w:t>S2</w:t>
      </w:r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>. Cytotoxicity of PG-CAR-T cells is dependent on MMP14 expression.</w:t>
      </w:r>
    </w:p>
    <w:p w14:paraId="5A5A335E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</w:rPr>
      </w:pP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(A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) The knockdown efficiency of </w:t>
      </w:r>
      <w:proofErr w:type="spellStart"/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>shRNAs</w:t>
      </w:r>
      <w:proofErr w:type="spellEnd"/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 targeting MMP14 in SMMC7721 cells was tested via flow cytometry. 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(B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) The cytotoxicity of effector CD19-CAR-T cells and PG-CAR-T cells to target cells (SMMC7721-shCOO2, SMMC7721-shMMP14#1 or SMMC7721-shMMP14#2) was tested. After 24 h of incubation, the cells were subjected to a luciferase assay (n=3). 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(C and D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>) ELISAs were used to detect IFN-γ and TNF-α release by T cells in coculture supernatants.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 xml:space="preserve"> (E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) The MMP14 overexpression efficiency in MHCC97H cells was tested via flow cytometry. 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(F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) The cytotoxicity of CD19-CAR-T cells and PG-CAR-T cells to MHCC97H-Vector and MHCC97H-MMP14 cells was assessed via a luciferase assay (n=3). 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(G and H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>) ELISAs assay of IFN-γ and TNF-α release by T cells in coculture supernatants. The data are shown as the means ± SDs. Statistical significance was determined by two-way ANOVA with multiple comparisons. **P &lt; 0.01; ns, not significant.</w:t>
      </w:r>
    </w:p>
    <w:p w14:paraId="51717962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</w:rPr>
      </w:pPr>
    </w:p>
    <w:p w14:paraId="094A9572" w14:textId="77777777" w:rsidR="00FA03D8" w:rsidRPr="00AF0B97" w:rsidRDefault="00FA03D8" w:rsidP="00FA03D8">
      <w:pPr>
        <w:rPr>
          <w:rFonts w:ascii="Times New Roman" w:hAnsi="Times New Roman" w:cs="Times New Roman"/>
          <w:bCs/>
          <w:color w:val="000000" w:themeColor="text1"/>
          <w:sz w:val="24"/>
        </w:rPr>
      </w:pPr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 xml:space="preserve">Figure </w:t>
      </w:r>
      <w:r w:rsidRPr="00AF0B97">
        <w:rPr>
          <w:rFonts w:ascii="Times New Roman" w:hAnsi="Times New Roman" w:cs="Times New Roman" w:hint="eastAsia"/>
          <w:b/>
          <w:color w:val="000000" w:themeColor="text1"/>
          <w:sz w:val="24"/>
        </w:rPr>
        <w:t>S3.</w:t>
      </w:r>
      <w:r w:rsidRPr="00AF0B97">
        <w:rPr>
          <w:rFonts w:ascii="Times New Roman" w:hAnsi="Times New Roman" w:cs="Times New Roman"/>
          <w:b/>
          <w:color w:val="000000" w:themeColor="text1"/>
          <w:sz w:val="24"/>
        </w:rPr>
        <w:t xml:space="preserve"> Identification of liver cancer stem-like cells.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 xml:space="preserve"> </w:t>
      </w:r>
    </w:p>
    <w:p w14:paraId="0D53FF06" w14:textId="77777777" w:rsidR="00FA03D8" w:rsidRPr="00AF0B97" w:rsidRDefault="00FA03D8" w:rsidP="00FA03D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</w:rPr>
      </w:pP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(A)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 The protein levels of CD133, CD90, and CD44 in parental cells (SMMC7721 and HepG2) and cell line-derived cancer stem cells (SMMC7721-CSC and HepG2-CSC) were detected via western blotting. GAPDH was used as a loading control. </w:t>
      </w:r>
      <w:r w:rsidRPr="00AF0B97">
        <w:rPr>
          <w:rFonts w:ascii="Times New Roman" w:hAnsi="Times New Roman" w:cs="Times New Roman" w:hint="eastAsia"/>
          <w:bCs/>
          <w:color w:val="000000" w:themeColor="text1"/>
          <w:sz w:val="24"/>
        </w:rPr>
        <w:t>(B)</w:t>
      </w:r>
      <w:r w:rsidRPr="00AF0B97">
        <w:rPr>
          <w:rFonts w:ascii="Times New Roman" w:hAnsi="Times New Roman" w:cs="Times New Roman"/>
          <w:bCs/>
          <w:color w:val="000000" w:themeColor="text1"/>
          <w:sz w:val="24"/>
        </w:rPr>
        <w:t xml:space="preserve"> Representative images of cocultures of HepG2-CSC spheroids (green) with T cells (red) are shown.</w:t>
      </w:r>
    </w:p>
    <w:p w14:paraId="6A6B3D07" w14:textId="77777777" w:rsidR="008E7026" w:rsidRDefault="008E7026"/>
    <w:sectPr w:rsidR="008E70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3D8"/>
    <w:rsid w:val="000004D7"/>
    <w:rsid w:val="000071CB"/>
    <w:rsid w:val="000310BD"/>
    <w:rsid w:val="00042214"/>
    <w:rsid w:val="00060500"/>
    <w:rsid w:val="000704CA"/>
    <w:rsid w:val="00073610"/>
    <w:rsid w:val="000926F6"/>
    <w:rsid w:val="000A3EC2"/>
    <w:rsid w:val="000B0807"/>
    <w:rsid w:val="0010641B"/>
    <w:rsid w:val="001065C4"/>
    <w:rsid w:val="00112C99"/>
    <w:rsid w:val="00114FB0"/>
    <w:rsid w:val="00122AE0"/>
    <w:rsid w:val="00130340"/>
    <w:rsid w:val="00132224"/>
    <w:rsid w:val="001364A1"/>
    <w:rsid w:val="00156E2F"/>
    <w:rsid w:val="001658D1"/>
    <w:rsid w:val="001749EF"/>
    <w:rsid w:val="001945B2"/>
    <w:rsid w:val="00196DE2"/>
    <w:rsid w:val="001B2387"/>
    <w:rsid w:val="001B2998"/>
    <w:rsid w:val="001B2AA7"/>
    <w:rsid w:val="001C2966"/>
    <w:rsid w:val="001F1D8B"/>
    <w:rsid w:val="001F37DC"/>
    <w:rsid w:val="00200366"/>
    <w:rsid w:val="0020365F"/>
    <w:rsid w:val="00220741"/>
    <w:rsid w:val="00220F43"/>
    <w:rsid w:val="002261BD"/>
    <w:rsid w:val="00236431"/>
    <w:rsid w:val="002415F9"/>
    <w:rsid w:val="002852F5"/>
    <w:rsid w:val="002A7A1C"/>
    <w:rsid w:val="002B2154"/>
    <w:rsid w:val="002B6F87"/>
    <w:rsid w:val="002C2F26"/>
    <w:rsid w:val="002E02BB"/>
    <w:rsid w:val="002E5C4E"/>
    <w:rsid w:val="0031005E"/>
    <w:rsid w:val="003102F9"/>
    <w:rsid w:val="00325DC5"/>
    <w:rsid w:val="00355F85"/>
    <w:rsid w:val="00366988"/>
    <w:rsid w:val="00366F2A"/>
    <w:rsid w:val="00374272"/>
    <w:rsid w:val="00375A18"/>
    <w:rsid w:val="003A21AB"/>
    <w:rsid w:val="003A473F"/>
    <w:rsid w:val="003A66D2"/>
    <w:rsid w:val="003C1A3D"/>
    <w:rsid w:val="003C4285"/>
    <w:rsid w:val="003E6FD2"/>
    <w:rsid w:val="003F3BFE"/>
    <w:rsid w:val="003F730F"/>
    <w:rsid w:val="004057B9"/>
    <w:rsid w:val="004403D5"/>
    <w:rsid w:val="004474AE"/>
    <w:rsid w:val="00470AFB"/>
    <w:rsid w:val="00477353"/>
    <w:rsid w:val="0048062B"/>
    <w:rsid w:val="004B1157"/>
    <w:rsid w:val="004B24F9"/>
    <w:rsid w:val="004C52D1"/>
    <w:rsid w:val="004D3634"/>
    <w:rsid w:val="004E6CDD"/>
    <w:rsid w:val="004F05AF"/>
    <w:rsid w:val="004F619A"/>
    <w:rsid w:val="00502F97"/>
    <w:rsid w:val="00523B8F"/>
    <w:rsid w:val="005274B5"/>
    <w:rsid w:val="00534289"/>
    <w:rsid w:val="0053671E"/>
    <w:rsid w:val="005425A0"/>
    <w:rsid w:val="00564070"/>
    <w:rsid w:val="00590A8F"/>
    <w:rsid w:val="0059569A"/>
    <w:rsid w:val="005A3393"/>
    <w:rsid w:val="005A4ED2"/>
    <w:rsid w:val="005B2D85"/>
    <w:rsid w:val="005B7A4E"/>
    <w:rsid w:val="005C3551"/>
    <w:rsid w:val="005D3936"/>
    <w:rsid w:val="005D574D"/>
    <w:rsid w:val="005F0B69"/>
    <w:rsid w:val="005F5A4C"/>
    <w:rsid w:val="006006B6"/>
    <w:rsid w:val="00613110"/>
    <w:rsid w:val="00613C64"/>
    <w:rsid w:val="00642EFF"/>
    <w:rsid w:val="00647B71"/>
    <w:rsid w:val="006571C3"/>
    <w:rsid w:val="00670778"/>
    <w:rsid w:val="0067189D"/>
    <w:rsid w:val="006A7725"/>
    <w:rsid w:val="006C7481"/>
    <w:rsid w:val="006D4AC9"/>
    <w:rsid w:val="00700A8A"/>
    <w:rsid w:val="00717605"/>
    <w:rsid w:val="007512D5"/>
    <w:rsid w:val="007A14E9"/>
    <w:rsid w:val="007A3CE7"/>
    <w:rsid w:val="007E1EC1"/>
    <w:rsid w:val="007E37E9"/>
    <w:rsid w:val="007E71C8"/>
    <w:rsid w:val="007F7F86"/>
    <w:rsid w:val="00810090"/>
    <w:rsid w:val="008160C2"/>
    <w:rsid w:val="00825204"/>
    <w:rsid w:val="00842483"/>
    <w:rsid w:val="00857C94"/>
    <w:rsid w:val="008604CF"/>
    <w:rsid w:val="00883648"/>
    <w:rsid w:val="008B0BD8"/>
    <w:rsid w:val="008C03CF"/>
    <w:rsid w:val="008C4F8A"/>
    <w:rsid w:val="008C5532"/>
    <w:rsid w:val="008E7026"/>
    <w:rsid w:val="00931836"/>
    <w:rsid w:val="00941E83"/>
    <w:rsid w:val="0094438E"/>
    <w:rsid w:val="00965160"/>
    <w:rsid w:val="009906AB"/>
    <w:rsid w:val="00996CE5"/>
    <w:rsid w:val="009A36F8"/>
    <w:rsid w:val="009A6C7B"/>
    <w:rsid w:val="009B3B70"/>
    <w:rsid w:val="009B521B"/>
    <w:rsid w:val="009D719D"/>
    <w:rsid w:val="009F3D48"/>
    <w:rsid w:val="009F6FDF"/>
    <w:rsid w:val="00A02E2B"/>
    <w:rsid w:val="00A043A9"/>
    <w:rsid w:val="00A222DF"/>
    <w:rsid w:val="00A23DFD"/>
    <w:rsid w:val="00A27701"/>
    <w:rsid w:val="00A320FA"/>
    <w:rsid w:val="00A32B1F"/>
    <w:rsid w:val="00A33467"/>
    <w:rsid w:val="00A416C7"/>
    <w:rsid w:val="00A57207"/>
    <w:rsid w:val="00A61396"/>
    <w:rsid w:val="00A767C4"/>
    <w:rsid w:val="00A80BD2"/>
    <w:rsid w:val="00A96183"/>
    <w:rsid w:val="00AA794B"/>
    <w:rsid w:val="00AB0900"/>
    <w:rsid w:val="00AB15F0"/>
    <w:rsid w:val="00AC41C0"/>
    <w:rsid w:val="00AD0513"/>
    <w:rsid w:val="00AD5065"/>
    <w:rsid w:val="00AF684A"/>
    <w:rsid w:val="00B308B3"/>
    <w:rsid w:val="00B660D1"/>
    <w:rsid w:val="00B828C0"/>
    <w:rsid w:val="00B833A9"/>
    <w:rsid w:val="00BC127D"/>
    <w:rsid w:val="00BD358B"/>
    <w:rsid w:val="00BD592E"/>
    <w:rsid w:val="00BE36A0"/>
    <w:rsid w:val="00BE75D2"/>
    <w:rsid w:val="00C070A3"/>
    <w:rsid w:val="00C17A48"/>
    <w:rsid w:val="00D03225"/>
    <w:rsid w:val="00D152BD"/>
    <w:rsid w:val="00D2669D"/>
    <w:rsid w:val="00D33641"/>
    <w:rsid w:val="00D579AF"/>
    <w:rsid w:val="00D759C1"/>
    <w:rsid w:val="00DD2F21"/>
    <w:rsid w:val="00DD40F4"/>
    <w:rsid w:val="00DD42D9"/>
    <w:rsid w:val="00E04E2D"/>
    <w:rsid w:val="00E059DB"/>
    <w:rsid w:val="00E20C53"/>
    <w:rsid w:val="00E31760"/>
    <w:rsid w:val="00E36BA5"/>
    <w:rsid w:val="00E467C8"/>
    <w:rsid w:val="00EB7815"/>
    <w:rsid w:val="00EC41C3"/>
    <w:rsid w:val="00EF0E8D"/>
    <w:rsid w:val="00F12BC3"/>
    <w:rsid w:val="00F26267"/>
    <w:rsid w:val="00F3037D"/>
    <w:rsid w:val="00F52FE8"/>
    <w:rsid w:val="00F8116A"/>
    <w:rsid w:val="00FA03D8"/>
    <w:rsid w:val="00FD2245"/>
    <w:rsid w:val="00FE122A"/>
    <w:rsid w:val="00FF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CA0B2"/>
  <w15:docId w15:val="{271271B6-F716-4221-9C91-A517AEB7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Selvapriya Palani (Integra)</cp:lastModifiedBy>
  <cp:revision>2</cp:revision>
  <dcterms:created xsi:type="dcterms:W3CDTF">2026-03-16T04:33:00Z</dcterms:created>
  <dcterms:modified xsi:type="dcterms:W3CDTF">2026-03-16T04:33:00Z</dcterms:modified>
</cp:coreProperties>
</file>