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2C12" w:rsidRPr="00E358D1" w:rsidRDefault="007C2C12" w:rsidP="007C2C12">
      <w:pPr>
        <w:adjustRightInd w:val="0"/>
        <w:snapToGrid w:val="0"/>
        <w:spacing w:afterLines="100" w:after="312"/>
        <w:jc w:val="center"/>
        <w:rPr>
          <w:b/>
          <w:bCs/>
          <w:color w:val="000000"/>
          <w:w w:val="115"/>
          <w:sz w:val="30"/>
          <w:szCs w:val="30"/>
          <w:lang w:bidi="en-US"/>
        </w:rPr>
      </w:pPr>
      <w:bookmarkStart w:id="0" w:name="OLE_LINK119"/>
      <w:bookmarkStart w:id="1" w:name="OLE_LINK845"/>
      <w:bookmarkEnd w:id="0"/>
      <w:r w:rsidRPr="00E358D1">
        <w:rPr>
          <w:b/>
          <w:bCs/>
          <w:color w:val="000000"/>
          <w:w w:val="115"/>
          <w:sz w:val="30"/>
          <w:szCs w:val="30"/>
          <w:lang w:bidi="en-US"/>
        </w:rPr>
        <w:t>S100P Mediates IL-13/ATF4-Driven Epithelial Barrier Dysfunction in Eosinophilic Asthma: A Potential Biomarker and Therapeutic Target</w:t>
      </w:r>
    </w:p>
    <w:bookmarkEnd w:id="1"/>
    <w:p w:rsidR="007C2C12" w:rsidRPr="00E358D1" w:rsidRDefault="007C2C12" w:rsidP="007C2C12">
      <w:pPr>
        <w:spacing w:line="480" w:lineRule="auto"/>
        <w:rPr>
          <w:b/>
          <w:bCs/>
          <w:sz w:val="24"/>
          <w:szCs w:val="28"/>
        </w:rPr>
      </w:pPr>
      <w:r w:rsidRPr="00E358D1">
        <w:rPr>
          <w:b/>
          <w:bCs/>
          <w:sz w:val="24"/>
          <w:szCs w:val="28"/>
        </w:rPr>
        <w:t>Supplemental Table</w:t>
      </w:r>
    </w:p>
    <w:p w:rsidR="00C64D13" w:rsidRPr="00E358D1" w:rsidRDefault="00C64D13" w:rsidP="00C64D13">
      <w:pPr>
        <w:pStyle w:val="EndNoteBibliography"/>
        <w:adjustRightInd w:val="0"/>
        <w:snapToGrid w:val="0"/>
        <w:rPr>
          <w:b/>
          <w:bCs/>
          <w:color w:val="000000"/>
          <w:sz w:val="24"/>
          <w:szCs w:val="24"/>
        </w:rPr>
      </w:pPr>
      <w:r w:rsidRPr="00E358D1">
        <w:rPr>
          <w:b/>
          <w:bCs/>
          <w:color w:val="000000"/>
          <w:sz w:val="24"/>
          <w:szCs w:val="24"/>
        </w:rPr>
        <w:t>Table S1</w:t>
      </w:r>
    </w:p>
    <w:p w:rsidR="00C64D13" w:rsidRPr="00E358D1" w:rsidRDefault="00C64D13" w:rsidP="00C64D13">
      <w:pPr>
        <w:pStyle w:val="EndNoteBibliography"/>
        <w:adjustRightInd w:val="0"/>
        <w:snapToGrid w:val="0"/>
        <w:rPr>
          <w:b/>
          <w:bCs/>
          <w:color w:val="000000"/>
          <w:sz w:val="24"/>
          <w:szCs w:val="24"/>
        </w:rPr>
      </w:pPr>
      <w:r w:rsidRPr="00E358D1">
        <w:rPr>
          <w:rFonts w:hint="eastAsia"/>
          <w:b/>
          <w:bCs/>
          <w:color w:val="000000"/>
          <w:sz w:val="24"/>
          <w:szCs w:val="24"/>
        </w:rPr>
        <w:t>S</w:t>
      </w:r>
      <w:r w:rsidRPr="00E358D1">
        <w:rPr>
          <w:b/>
          <w:bCs/>
          <w:color w:val="000000"/>
          <w:sz w:val="24"/>
          <w:szCs w:val="24"/>
        </w:rPr>
        <w:t>equence of si-S100P (Homo)</w:t>
      </w:r>
    </w:p>
    <w:tbl>
      <w:tblPr>
        <w:tblW w:w="8222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402"/>
        <w:gridCol w:w="3402"/>
      </w:tblGrid>
      <w:tr w:rsidR="00F30212" w:rsidRPr="00E358D1" w:rsidTr="00541E63">
        <w:trPr>
          <w:jc w:val="center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adjustRightInd w:val="0"/>
              <w:snapToGrid w:val="0"/>
              <w:rPr>
                <w:b/>
                <w:bCs/>
                <w:color w:val="000000"/>
                <w:sz w:val="24"/>
              </w:rPr>
            </w:pPr>
            <w:r w:rsidRPr="00E358D1">
              <w:rPr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adjustRightInd w:val="0"/>
              <w:snapToGrid w:val="0"/>
              <w:rPr>
                <w:b/>
                <w:bCs/>
                <w:color w:val="000000"/>
                <w:sz w:val="24"/>
              </w:rPr>
            </w:pPr>
            <w:r w:rsidRPr="00E358D1">
              <w:rPr>
                <w:b/>
                <w:bCs/>
                <w:color w:val="000000"/>
                <w:sz w:val="24"/>
              </w:rPr>
              <w:t>Sense Strand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adjustRightInd w:val="0"/>
              <w:snapToGrid w:val="0"/>
              <w:rPr>
                <w:b/>
                <w:bCs/>
                <w:color w:val="000000"/>
                <w:sz w:val="24"/>
              </w:rPr>
            </w:pPr>
            <w:r w:rsidRPr="00E358D1">
              <w:rPr>
                <w:b/>
                <w:bCs/>
                <w:color w:val="000000"/>
                <w:sz w:val="24"/>
              </w:rPr>
              <w:t>Antisense Strand</w:t>
            </w:r>
          </w:p>
        </w:tc>
      </w:tr>
      <w:tr w:rsidR="00F30212" w:rsidRPr="00E358D1" w:rsidTr="00541E63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</w:rPr>
            </w:pPr>
            <w:bookmarkStart w:id="2" w:name="OLE_LINK513"/>
            <w:bookmarkStart w:id="3" w:name="OLE_LINK514"/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</w:rPr>
              <w:t>siRNA-59</w:t>
            </w:r>
            <w:bookmarkEnd w:id="2"/>
            <w:bookmarkEnd w:id="3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widowControl/>
              <w:jc w:val="left"/>
              <w:rPr>
                <w:rFonts w:eastAsia="DengXian"/>
                <w:color w:val="000000"/>
                <w:kern w:val="0"/>
              </w:rPr>
            </w:pPr>
            <w:r w:rsidRPr="00E358D1">
              <w:rPr>
                <w:rFonts w:eastAsia="DengXian"/>
                <w:color w:val="000000"/>
                <w:kern w:val="0"/>
              </w:rPr>
              <w:t>ACGGAACUAGAGACAGCCATT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adjustRightInd w:val="0"/>
              <w:snapToGrid w:val="0"/>
              <w:rPr>
                <w:color w:val="000000"/>
              </w:rPr>
            </w:pPr>
            <w:r w:rsidRPr="00E358D1">
              <w:rPr>
                <w:color w:val="000000"/>
              </w:rPr>
              <w:t>UGGCUGUCUCUAGUUCCGUTT</w:t>
            </w:r>
          </w:p>
        </w:tc>
      </w:tr>
      <w:tr w:rsidR="00F30212" w:rsidRPr="00E358D1" w:rsidTr="00541E63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</w:rPr>
            </w:pPr>
            <w:bookmarkStart w:id="4" w:name="OLE_LINK515"/>
            <w:bookmarkStart w:id="5" w:name="OLE_LINK516"/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</w:rPr>
              <w:t>siRNA-150</w:t>
            </w:r>
            <w:bookmarkEnd w:id="4"/>
            <w:bookmarkEnd w:id="5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widowControl/>
              <w:jc w:val="left"/>
              <w:rPr>
                <w:rFonts w:eastAsia="DengXian"/>
                <w:color w:val="000000"/>
                <w:kern w:val="0"/>
              </w:rPr>
            </w:pPr>
            <w:r w:rsidRPr="00E358D1">
              <w:rPr>
                <w:rFonts w:eastAsia="DengXian"/>
                <w:color w:val="000000"/>
                <w:kern w:val="0"/>
              </w:rPr>
              <w:t xml:space="preserve">AGCUCAAGGUGCUGAUGGATT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adjustRightInd w:val="0"/>
              <w:snapToGrid w:val="0"/>
              <w:rPr>
                <w:b/>
                <w:bCs/>
                <w:color w:val="000000"/>
              </w:rPr>
            </w:pPr>
            <w:r w:rsidRPr="00E358D1">
              <w:rPr>
                <w:color w:val="000000"/>
              </w:rPr>
              <w:t>UCCAUCAGCACCUUGAGCUTT</w:t>
            </w:r>
          </w:p>
        </w:tc>
      </w:tr>
      <w:tr w:rsidR="00F30212" w:rsidRPr="00E358D1" w:rsidTr="00541E63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</w:rPr>
              <w:t xml:space="preserve">siRNA-211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widowControl/>
              <w:jc w:val="left"/>
              <w:rPr>
                <w:rFonts w:eastAsia="DengXian"/>
                <w:color w:val="000000"/>
                <w:kern w:val="0"/>
              </w:rPr>
            </w:pPr>
            <w:r w:rsidRPr="00E358D1">
              <w:rPr>
                <w:rFonts w:eastAsia="DengXian"/>
                <w:color w:val="000000"/>
                <w:kern w:val="0"/>
              </w:rPr>
              <w:t>CCGUGGAUAAAUUGCUCAATT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adjustRightInd w:val="0"/>
              <w:snapToGrid w:val="0"/>
              <w:rPr>
                <w:color w:val="000000"/>
              </w:rPr>
            </w:pPr>
            <w:r w:rsidRPr="00E358D1">
              <w:rPr>
                <w:color w:val="000000"/>
              </w:rPr>
              <w:t>UUGAGCAAUUUAUCCACGGTT</w:t>
            </w:r>
          </w:p>
        </w:tc>
      </w:tr>
      <w:tr w:rsidR="00F30212" w:rsidRPr="00E358D1" w:rsidTr="00541E63"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</w:rPr>
              <w:t xml:space="preserve">siRNA-298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widowControl/>
              <w:jc w:val="left"/>
              <w:rPr>
                <w:rFonts w:eastAsia="DengXian"/>
                <w:color w:val="000000"/>
                <w:kern w:val="0"/>
              </w:rPr>
            </w:pPr>
            <w:r w:rsidRPr="00E358D1">
              <w:rPr>
                <w:rFonts w:eastAsia="DengXian"/>
                <w:color w:val="000000"/>
                <w:kern w:val="0"/>
              </w:rPr>
              <w:t>CACGUCUGCCUGUCACAAGTT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30212" w:rsidRPr="00E358D1" w:rsidRDefault="00F30212" w:rsidP="00541E63">
            <w:pPr>
              <w:adjustRightInd w:val="0"/>
              <w:snapToGrid w:val="0"/>
              <w:rPr>
                <w:b/>
                <w:bCs/>
                <w:color w:val="000000"/>
              </w:rPr>
            </w:pPr>
            <w:r w:rsidRPr="00E358D1">
              <w:rPr>
                <w:color w:val="000000"/>
              </w:rPr>
              <w:t>CUUGUGACAGGCAGACGUGTT</w:t>
            </w:r>
          </w:p>
        </w:tc>
      </w:tr>
    </w:tbl>
    <w:p w:rsidR="00C64D13" w:rsidRPr="00E358D1" w:rsidRDefault="00C64D13" w:rsidP="007C2C12">
      <w:pPr>
        <w:spacing w:line="480" w:lineRule="auto"/>
        <w:rPr>
          <w:b/>
          <w:bCs/>
          <w:sz w:val="24"/>
          <w:szCs w:val="28"/>
        </w:rPr>
      </w:pPr>
    </w:p>
    <w:p w:rsidR="007C2C12" w:rsidRPr="00E358D1" w:rsidRDefault="007C2C12" w:rsidP="007C2C12">
      <w:pPr>
        <w:pStyle w:val="EndNoteBibliography"/>
        <w:adjustRightInd w:val="0"/>
        <w:snapToGrid w:val="0"/>
        <w:rPr>
          <w:b/>
          <w:bCs/>
          <w:color w:val="000000"/>
          <w:sz w:val="24"/>
          <w:szCs w:val="24"/>
        </w:rPr>
      </w:pPr>
      <w:r w:rsidRPr="00E358D1">
        <w:rPr>
          <w:b/>
          <w:bCs/>
          <w:color w:val="000000"/>
          <w:sz w:val="24"/>
          <w:szCs w:val="24"/>
        </w:rPr>
        <w:t>Table S</w:t>
      </w:r>
      <w:r w:rsidR="00C64D13" w:rsidRPr="00E358D1">
        <w:rPr>
          <w:b/>
          <w:bCs/>
          <w:color w:val="000000"/>
          <w:sz w:val="24"/>
          <w:szCs w:val="24"/>
        </w:rPr>
        <w:t>2</w:t>
      </w:r>
    </w:p>
    <w:p w:rsidR="007C2C12" w:rsidRPr="00E358D1" w:rsidRDefault="007C2C12" w:rsidP="007C2C12">
      <w:pPr>
        <w:pStyle w:val="EndNoteBibliography"/>
        <w:adjustRightInd w:val="0"/>
        <w:snapToGrid w:val="0"/>
        <w:rPr>
          <w:b/>
          <w:bCs/>
          <w:color w:val="000000"/>
          <w:sz w:val="24"/>
          <w:szCs w:val="24"/>
        </w:rPr>
      </w:pPr>
      <w:r w:rsidRPr="00E358D1">
        <w:rPr>
          <w:b/>
          <w:bCs/>
          <w:color w:val="000000"/>
          <w:sz w:val="24"/>
          <w:szCs w:val="24"/>
        </w:rPr>
        <w:t xml:space="preserve">Candidate drug predicted using </w:t>
      </w:r>
      <w:proofErr w:type="spellStart"/>
      <w:r w:rsidRPr="00E358D1">
        <w:rPr>
          <w:b/>
          <w:bCs/>
          <w:color w:val="000000"/>
          <w:sz w:val="24"/>
          <w:szCs w:val="24"/>
        </w:rPr>
        <w:t>DsigDB</w:t>
      </w:r>
      <w:proofErr w:type="spellEnd"/>
      <w:r w:rsidRPr="00E358D1">
        <w:rPr>
          <w:b/>
          <w:bCs/>
          <w:color w:val="000000"/>
          <w:sz w:val="24"/>
          <w:szCs w:val="24"/>
        </w:rPr>
        <w:t>.</w:t>
      </w:r>
    </w:p>
    <w:tbl>
      <w:tblPr>
        <w:tblW w:w="8364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2126"/>
        <w:gridCol w:w="1418"/>
      </w:tblGrid>
      <w:tr w:rsidR="007C2C12" w:rsidRPr="00E358D1" w:rsidTr="00A82DA1">
        <w:tc>
          <w:tcPr>
            <w:tcW w:w="28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bookmarkStart w:id="6" w:name="_Hlk224172526"/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E358D1">
              <w:rPr>
                <w:b/>
                <w:b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E358D1">
              <w:rPr>
                <w:b/>
                <w:bCs/>
                <w:color w:val="000000"/>
                <w:sz w:val="24"/>
                <w:szCs w:val="24"/>
              </w:rPr>
              <w:t>Combined Score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E358D1">
              <w:rPr>
                <w:b/>
                <w:bCs/>
                <w:color w:val="000000"/>
                <w:sz w:val="24"/>
                <w:szCs w:val="24"/>
              </w:rPr>
              <w:t>Genes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Salbutamol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0.001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133525.545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Dobutamine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0.001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131975.023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Simvastatin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128549.420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Terbutaline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127326.105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Minocycline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122117.066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Fenoterol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121662.498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Diltiazem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120356.527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(-)-isoprenaline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0.003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118735.697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Orciprenaline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0.003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114844.470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Astemizole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0.005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105032.151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E358D1">
              <w:rPr>
                <w:color w:val="00000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Tonzonium</w:t>
            </w:r>
            <w:proofErr w:type="spellEnd"/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 xml:space="preserve"> bromide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0.007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97679.545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E358D1">
              <w:rPr>
                <w:rFonts w:eastAsia="Janson Text LT"/>
                <w:color w:val="000000"/>
                <w:kern w:val="0"/>
                <w:sz w:val="24"/>
                <w:szCs w:val="24"/>
              </w:rPr>
              <w:t>S100P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506-26-3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119530.059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color w:val="000000"/>
                <w:sz w:val="24"/>
                <w:szCs w:val="24"/>
              </w:rPr>
            </w:pPr>
            <w:r w:rsidRPr="00E358D1">
              <w:rPr>
                <w:rFonts w:hint="eastAsia"/>
                <w:color w:val="000000"/>
                <w:sz w:val="24"/>
                <w:szCs w:val="24"/>
              </w:rPr>
              <w:t>S</w:t>
            </w:r>
            <w:r w:rsidRPr="00E358D1">
              <w:rPr>
                <w:color w:val="000000"/>
                <w:sz w:val="24"/>
                <w:szCs w:val="24"/>
              </w:rPr>
              <w:t>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Gossypol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0.004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112131.598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color w:val="000000"/>
                <w:sz w:val="24"/>
                <w:szCs w:val="24"/>
              </w:rPr>
            </w:pPr>
            <w:r w:rsidRPr="00E358D1">
              <w:rPr>
                <w:rFonts w:hint="eastAsia"/>
                <w:color w:val="000000"/>
                <w:sz w:val="24"/>
                <w:szCs w:val="24"/>
              </w:rPr>
              <w:t>S</w:t>
            </w:r>
            <w:r w:rsidRPr="00E358D1">
              <w:rPr>
                <w:color w:val="000000"/>
                <w:sz w:val="24"/>
                <w:szCs w:val="24"/>
              </w:rPr>
              <w:t>100P</w:t>
            </w:r>
          </w:p>
        </w:tc>
      </w:tr>
      <w:tr w:rsidR="007C2C12" w:rsidRPr="00E358D1" w:rsidTr="00A82DA1"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E358D1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Celastrol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0.011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widowControl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358D1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88371.923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C2C12" w:rsidRPr="00E358D1" w:rsidRDefault="007C2C12" w:rsidP="00A82DA1">
            <w:pPr>
              <w:adjustRightInd w:val="0"/>
              <w:snapToGrid w:val="0"/>
              <w:rPr>
                <w:color w:val="000000"/>
                <w:sz w:val="24"/>
                <w:szCs w:val="24"/>
              </w:rPr>
            </w:pPr>
            <w:r w:rsidRPr="00E358D1">
              <w:rPr>
                <w:rFonts w:hint="eastAsia"/>
                <w:color w:val="000000"/>
                <w:sz w:val="24"/>
                <w:szCs w:val="24"/>
              </w:rPr>
              <w:t>S</w:t>
            </w:r>
            <w:r w:rsidRPr="00E358D1">
              <w:rPr>
                <w:color w:val="000000"/>
                <w:sz w:val="24"/>
                <w:szCs w:val="24"/>
              </w:rPr>
              <w:t>100P</w:t>
            </w:r>
          </w:p>
        </w:tc>
      </w:tr>
      <w:bookmarkEnd w:id="6"/>
    </w:tbl>
    <w:p w:rsidR="007C2C12" w:rsidRPr="00E358D1" w:rsidRDefault="007C2C12" w:rsidP="007C2C12">
      <w:pPr>
        <w:widowControl/>
        <w:jc w:val="left"/>
      </w:pPr>
      <w:r w:rsidRPr="00E358D1">
        <w:br w:type="page"/>
      </w:r>
    </w:p>
    <w:p w:rsidR="007C2C12" w:rsidRPr="00E358D1" w:rsidRDefault="007C2C12" w:rsidP="007C2C12">
      <w:pPr>
        <w:spacing w:line="480" w:lineRule="auto"/>
        <w:rPr>
          <w:b/>
          <w:bCs/>
          <w:kern w:val="0"/>
          <w:sz w:val="24"/>
          <w:szCs w:val="24"/>
        </w:rPr>
      </w:pPr>
      <w:r w:rsidRPr="00E358D1">
        <w:rPr>
          <w:b/>
          <w:bCs/>
          <w:kern w:val="0"/>
          <w:sz w:val="24"/>
          <w:szCs w:val="24"/>
        </w:rPr>
        <w:lastRenderedPageBreak/>
        <w:t>Supplemental Figures</w:t>
      </w:r>
    </w:p>
    <w:p w:rsidR="003F63F4" w:rsidRPr="00E358D1" w:rsidRDefault="007C2C12" w:rsidP="00F30212">
      <w:pPr>
        <w:jc w:val="center"/>
      </w:pPr>
      <w:r w:rsidRPr="00E358D1">
        <w:rPr>
          <w:noProof/>
        </w:rPr>
        <w:drawing>
          <wp:inline distT="0" distB="0" distL="114300" distR="114300" wp14:anchorId="18549276" wp14:editId="7F836958">
            <wp:extent cx="5274310" cy="7073668"/>
            <wp:effectExtent l="0" t="0" r="0" b="635"/>
            <wp:docPr id="11" name="图片 11" descr="/Users/Think/Library/Containers/com.kingsoft.wpsoffice.mac/Data/tmp/picturecompress_2026011103073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Users/Think/Library/Containers/com.kingsoft.wpsoffice.mac/Data/tmp/picturecompress_20260111030730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7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C12" w:rsidRPr="00E358D1" w:rsidRDefault="007C2C12" w:rsidP="002D321E">
      <w:pPr>
        <w:spacing w:afterLines="4000" w:after="12480" w:line="360" w:lineRule="auto"/>
        <w:rPr>
          <w:sz w:val="24"/>
          <w:szCs w:val="24"/>
        </w:rPr>
      </w:pPr>
      <w:bookmarkStart w:id="7" w:name="OLE_LINK85"/>
      <w:r w:rsidRPr="00E358D1">
        <w:rPr>
          <w:b/>
          <w:bCs/>
          <w:sz w:val="24"/>
          <w:szCs w:val="24"/>
        </w:rPr>
        <w:t>Fig</w:t>
      </w:r>
      <w:r w:rsidRPr="00E358D1">
        <w:rPr>
          <w:rFonts w:hint="eastAsia"/>
          <w:b/>
          <w:bCs/>
          <w:sz w:val="24"/>
          <w:szCs w:val="24"/>
        </w:rPr>
        <w:t>.</w:t>
      </w:r>
      <w:r w:rsidRPr="00E358D1">
        <w:rPr>
          <w:b/>
          <w:bCs/>
          <w:sz w:val="24"/>
          <w:szCs w:val="24"/>
        </w:rPr>
        <w:t xml:space="preserve"> S1 </w:t>
      </w:r>
      <w:bookmarkStart w:id="8" w:name="OLE_LINK305"/>
      <w:r w:rsidRPr="00E358D1">
        <w:rPr>
          <w:b/>
          <w:bCs/>
          <w:sz w:val="24"/>
          <w:szCs w:val="24"/>
        </w:rPr>
        <w:t xml:space="preserve">Imbalanced S100P expression coincides with chemokine signaling </w:t>
      </w:r>
      <w:r w:rsidRPr="00E358D1">
        <w:rPr>
          <w:rFonts w:hint="eastAsia"/>
          <w:b/>
          <w:bCs/>
          <w:sz w:val="24"/>
          <w:szCs w:val="24"/>
        </w:rPr>
        <w:t xml:space="preserve">activation </w:t>
      </w:r>
      <w:r w:rsidRPr="00E358D1">
        <w:rPr>
          <w:b/>
          <w:bCs/>
          <w:sz w:val="24"/>
          <w:szCs w:val="24"/>
        </w:rPr>
        <w:t xml:space="preserve">and </w:t>
      </w:r>
      <w:r w:rsidRPr="00E358D1">
        <w:rPr>
          <w:rFonts w:hint="eastAsia"/>
          <w:b/>
          <w:bCs/>
          <w:sz w:val="24"/>
          <w:szCs w:val="24"/>
        </w:rPr>
        <w:t>an altered</w:t>
      </w:r>
      <w:r w:rsidRPr="00E358D1">
        <w:rPr>
          <w:b/>
          <w:bCs/>
          <w:sz w:val="24"/>
          <w:szCs w:val="24"/>
        </w:rPr>
        <w:t xml:space="preserve"> epithelial phenotype</w:t>
      </w:r>
      <w:bookmarkEnd w:id="8"/>
      <w:r w:rsidRPr="00E358D1">
        <w:rPr>
          <w:b/>
          <w:bCs/>
          <w:sz w:val="24"/>
          <w:szCs w:val="24"/>
        </w:rPr>
        <w:t>.</w:t>
      </w:r>
      <w:r w:rsidRPr="00E358D1">
        <w:rPr>
          <w:sz w:val="24"/>
          <w:szCs w:val="24"/>
        </w:rPr>
        <w:t xml:space="preserve"> (</w:t>
      </w:r>
      <w:r w:rsidRPr="00E358D1">
        <w:rPr>
          <w:b/>
          <w:bCs/>
          <w:sz w:val="24"/>
          <w:szCs w:val="24"/>
        </w:rPr>
        <w:t>A-C</w:t>
      </w:r>
      <w:r w:rsidRPr="00E358D1">
        <w:rPr>
          <w:sz w:val="24"/>
          <w:szCs w:val="24"/>
        </w:rPr>
        <w:t>) Heatmap displaying differentially expressed genes (DEGs) across three independent asthma datasets (GSE256534, GSE137268, GSE147878). (</w:t>
      </w:r>
      <w:r w:rsidRPr="00E358D1">
        <w:rPr>
          <w:b/>
          <w:bCs/>
          <w:sz w:val="24"/>
          <w:szCs w:val="24"/>
        </w:rPr>
        <w:t>D, E</w:t>
      </w:r>
      <w:r w:rsidRPr="00E358D1">
        <w:rPr>
          <w:sz w:val="24"/>
          <w:szCs w:val="24"/>
        </w:rPr>
        <w:t xml:space="preserve">) GO and KEGG enrichment analyses </w:t>
      </w:r>
      <w:r w:rsidRPr="00E358D1">
        <w:rPr>
          <w:sz w:val="24"/>
          <w:szCs w:val="24"/>
        </w:rPr>
        <w:lastRenderedPageBreak/>
        <w:t xml:space="preserve">were performed on DEGs identified through S100P expression-based stratification analysis in GSE85567. </w:t>
      </w:r>
      <w:bookmarkStart w:id="9" w:name="OLE_LINK173"/>
      <w:r w:rsidRPr="00E358D1">
        <w:rPr>
          <w:sz w:val="24"/>
          <w:szCs w:val="24"/>
        </w:rPr>
        <w:t>(</w:t>
      </w:r>
      <w:r w:rsidRPr="00E358D1">
        <w:rPr>
          <w:b/>
          <w:bCs/>
          <w:sz w:val="24"/>
          <w:szCs w:val="24"/>
        </w:rPr>
        <w:t>F</w:t>
      </w:r>
      <w:r w:rsidRPr="00E358D1">
        <w:rPr>
          <w:sz w:val="24"/>
          <w:szCs w:val="24"/>
        </w:rPr>
        <w:t>)</w:t>
      </w:r>
      <w:bookmarkEnd w:id="9"/>
      <w:r w:rsidRPr="00E358D1">
        <w:rPr>
          <w:sz w:val="24"/>
          <w:szCs w:val="24"/>
        </w:rPr>
        <w:t xml:space="preserve"> GSEA of bronchial epithelium stratified by S100P expression levels (high vs low). (</w:t>
      </w:r>
      <w:r w:rsidRPr="00E358D1">
        <w:rPr>
          <w:b/>
          <w:bCs/>
          <w:sz w:val="24"/>
          <w:szCs w:val="24"/>
        </w:rPr>
        <w:t>G</w:t>
      </w:r>
      <w:r w:rsidRPr="00E358D1">
        <w:rPr>
          <w:sz w:val="24"/>
          <w:szCs w:val="24"/>
        </w:rPr>
        <w:t>) Immunofluorescence staining of ACT, CC10, and MUC5AC in lung tissues of OVA-induced asthmatic mice. (Magnification: 400×; scale bar: 20 µm). Data are presented as mean ± SEM</w:t>
      </w:r>
      <w:r w:rsidR="00FB2574" w:rsidRPr="00E358D1">
        <w:rPr>
          <w:sz w:val="24"/>
          <w:szCs w:val="24"/>
        </w:rPr>
        <w:t>.</w:t>
      </w:r>
      <w:r w:rsidRPr="00E358D1">
        <w:rPr>
          <w:sz w:val="24"/>
          <w:szCs w:val="24"/>
        </w:rPr>
        <w:t xml:space="preserve"> *P&lt;0.05</w:t>
      </w:r>
      <w:r w:rsidRPr="00E358D1">
        <w:rPr>
          <w:kern w:val="0"/>
          <w:sz w:val="24"/>
          <w:szCs w:val="24"/>
        </w:rPr>
        <w:t>, ns: no significant.</w:t>
      </w:r>
      <w:bookmarkEnd w:id="7"/>
    </w:p>
    <w:p w:rsidR="007C2C12" w:rsidRPr="00E358D1" w:rsidRDefault="007C2C12" w:rsidP="007C2C12">
      <w:r w:rsidRPr="00E358D1">
        <w:rPr>
          <w:noProof/>
        </w:rPr>
        <w:lastRenderedPageBreak/>
        <w:drawing>
          <wp:inline distT="0" distB="0" distL="114300" distR="114300" wp14:anchorId="7BBA5C3C" wp14:editId="377163EE">
            <wp:extent cx="5274310" cy="5429810"/>
            <wp:effectExtent l="0" t="0" r="0" b="6350"/>
            <wp:docPr id="12" name="图片 12" descr="/Users/Think/Library/Containers/com.kingsoft.wpsoffice.mac/Data/tmp/picturecompress_2026011103074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Users/Think/Library/Containers/com.kingsoft.wpsoffice.mac/Data/tmp/picturecompress_20260111030745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2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212" w:rsidRPr="00E358D1" w:rsidRDefault="007C2C12" w:rsidP="002D321E">
      <w:pPr>
        <w:spacing w:line="360" w:lineRule="auto"/>
        <w:rPr>
          <w:sz w:val="24"/>
          <w:szCs w:val="24"/>
        </w:rPr>
      </w:pPr>
      <w:r w:rsidRPr="00E358D1">
        <w:rPr>
          <w:b/>
          <w:bCs/>
          <w:sz w:val="24"/>
          <w:szCs w:val="24"/>
        </w:rPr>
        <w:t>Fig</w:t>
      </w:r>
      <w:r w:rsidRPr="00E358D1">
        <w:rPr>
          <w:rFonts w:hint="eastAsia"/>
          <w:b/>
          <w:bCs/>
          <w:sz w:val="24"/>
          <w:szCs w:val="24"/>
        </w:rPr>
        <w:t>.</w:t>
      </w:r>
      <w:r w:rsidRPr="00E358D1">
        <w:rPr>
          <w:b/>
          <w:bCs/>
          <w:sz w:val="24"/>
          <w:szCs w:val="24"/>
        </w:rPr>
        <w:t xml:space="preserve"> S2 </w:t>
      </w:r>
      <w:r w:rsidRPr="00E358D1">
        <w:rPr>
          <w:rFonts w:hint="eastAsia"/>
          <w:b/>
          <w:bCs/>
          <w:sz w:val="24"/>
          <w:szCs w:val="24"/>
        </w:rPr>
        <w:t>M</w:t>
      </w:r>
      <w:r w:rsidRPr="00E358D1">
        <w:rPr>
          <w:b/>
          <w:bCs/>
          <w:sz w:val="24"/>
          <w:szCs w:val="24"/>
        </w:rPr>
        <w:t>olecular docking re</w:t>
      </w:r>
      <w:r w:rsidRPr="00E358D1">
        <w:rPr>
          <w:rFonts w:hint="eastAsia"/>
          <w:b/>
          <w:bCs/>
          <w:sz w:val="24"/>
          <w:szCs w:val="24"/>
        </w:rPr>
        <w:t>veal</w:t>
      </w:r>
      <w:r w:rsidRPr="00E358D1">
        <w:rPr>
          <w:b/>
          <w:bCs/>
          <w:sz w:val="24"/>
          <w:szCs w:val="24"/>
        </w:rPr>
        <w:t xml:space="preserve">s candidate compound </w:t>
      </w:r>
      <w:r w:rsidRPr="00E358D1">
        <w:rPr>
          <w:rFonts w:hint="eastAsia"/>
          <w:b/>
          <w:bCs/>
          <w:sz w:val="24"/>
          <w:szCs w:val="24"/>
        </w:rPr>
        <w:t>binding to</w:t>
      </w:r>
      <w:r w:rsidRPr="00E358D1">
        <w:rPr>
          <w:b/>
          <w:bCs/>
          <w:sz w:val="24"/>
          <w:szCs w:val="24"/>
        </w:rPr>
        <w:t xml:space="preserve"> S100P.</w:t>
      </w:r>
      <w:r w:rsidRPr="00E358D1">
        <w:rPr>
          <w:sz w:val="24"/>
          <w:szCs w:val="24"/>
        </w:rPr>
        <w:t xml:space="preserve"> (</w:t>
      </w:r>
      <w:r w:rsidRPr="00E358D1">
        <w:rPr>
          <w:b/>
          <w:bCs/>
          <w:sz w:val="24"/>
          <w:szCs w:val="24"/>
        </w:rPr>
        <w:t>A-D</w:t>
      </w:r>
      <w:r w:rsidRPr="00E358D1">
        <w:rPr>
          <w:sz w:val="24"/>
          <w:szCs w:val="24"/>
        </w:rPr>
        <w:t xml:space="preserve">) Molecular docking results of S100P with </w:t>
      </w:r>
      <w:r w:rsidRPr="00E358D1">
        <w:rPr>
          <w:rFonts w:hint="eastAsia"/>
          <w:sz w:val="24"/>
          <w:szCs w:val="24"/>
        </w:rPr>
        <w:t>s</w:t>
      </w:r>
      <w:r w:rsidRPr="00E358D1">
        <w:rPr>
          <w:sz w:val="24"/>
          <w:szCs w:val="24"/>
        </w:rPr>
        <w:t xml:space="preserve">albutamol, </w:t>
      </w:r>
      <w:proofErr w:type="spellStart"/>
      <w:r w:rsidRPr="00E358D1">
        <w:rPr>
          <w:rFonts w:hint="eastAsia"/>
          <w:sz w:val="24"/>
          <w:szCs w:val="24"/>
        </w:rPr>
        <w:t>f</w:t>
      </w:r>
      <w:r w:rsidRPr="00E358D1">
        <w:rPr>
          <w:sz w:val="24"/>
          <w:szCs w:val="24"/>
        </w:rPr>
        <w:t>enoterol</w:t>
      </w:r>
      <w:proofErr w:type="spellEnd"/>
      <w:r w:rsidRPr="00E358D1">
        <w:rPr>
          <w:sz w:val="24"/>
          <w:szCs w:val="24"/>
        </w:rPr>
        <w:t xml:space="preserve">, </w:t>
      </w:r>
      <w:r w:rsidRPr="00E358D1">
        <w:rPr>
          <w:rFonts w:hint="eastAsia"/>
          <w:sz w:val="24"/>
          <w:szCs w:val="24"/>
        </w:rPr>
        <w:t>g</w:t>
      </w:r>
      <w:r w:rsidRPr="00E358D1">
        <w:rPr>
          <w:sz w:val="24"/>
          <w:szCs w:val="24"/>
        </w:rPr>
        <w:t xml:space="preserve">amma-Linolenic acid, </w:t>
      </w:r>
      <w:proofErr w:type="spellStart"/>
      <w:r w:rsidRPr="00E358D1">
        <w:rPr>
          <w:rFonts w:hint="eastAsia"/>
          <w:sz w:val="24"/>
          <w:szCs w:val="24"/>
        </w:rPr>
        <w:t>g</w:t>
      </w:r>
      <w:r w:rsidRPr="00E358D1">
        <w:rPr>
          <w:sz w:val="24"/>
          <w:szCs w:val="24"/>
        </w:rPr>
        <w:t>ossyol</w:t>
      </w:r>
      <w:proofErr w:type="spellEnd"/>
      <w:r w:rsidRPr="00E358D1">
        <w:rPr>
          <w:sz w:val="24"/>
          <w:szCs w:val="24"/>
        </w:rPr>
        <w:t>. (</w:t>
      </w:r>
      <w:r w:rsidRPr="00E358D1">
        <w:rPr>
          <w:b/>
          <w:bCs/>
          <w:sz w:val="24"/>
          <w:szCs w:val="24"/>
        </w:rPr>
        <w:t>E, F</w:t>
      </w:r>
      <w:r w:rsidRPr="00E358D1">
        <w:rPr>
          <w:sz w:val="24"/>
          <w:szCs w:val="24"/>
        </w:rPr>
        <w:t xml:space="preserve">) Molecular dynamics simulations (100 ns) results of S100P with </w:t>
      </w:r>
      <w:proofErr w:type="spellStart"/>
      <w:r w:rsidRPr="00E358D1">
        <w:rPr>
          <w:rFonts w:hint="eastAsia"/>
          <w:sz w:val="24"/>
          <w:szCs w:val="24"/>
        </w:rPr>
        <w:t>a</w:t>
      </w:r>
      <w:r w:rsidRPr="00E358D1">
        <w:rPr>
          <w:sz w:val="24"/>
          <w:szCs w:val="24"/>
        </w:rPr>
        <w:t>stemizole</w:t>
      </w:r>
      <w:proofErr w:type="spellEnd"/>
      <w:r w:rsidRPr="00E358D1">
        <w:rPr>
          <w:sz w:val="24"/>
          <w:szCs w:val="24"/>
        </w:rPr>
        <w:t>. (</w:t>
      </w:r>
      <w:r w:rsidRPr="00E358D1">
        <w:rPr>
          <w:b/>
          <w:bCs/>
          <w:sz w:val="24"/>
          <w:szCs w:val="24"/>
        </w:rPr>
        <w:t>G, H</w:t>
      </w:r>
      <w:r w:rsidRPr="00E358D1">
        <w:rPr>
          <w:sz w:val="24"/>
          <w:szCs w:val="24"/>
        </w:rPr>
        <w:t xml:space="preserve">) Molecular dynamics simulations (100 ns) results of S100P with </w:t>
      </w:r>
      <w:proofErr w:type="spellStart"/>
      <w:r w:rsidRPr="00E358D1">
        <w:rPr>
          <w:rFonts w:hint="eastAsia"/>
          <w:sz w:val="24"/>
          <w:szCs w:val="24"/>
        </w:rPr>
        <w:t>c</w:t>
      </w:r>
      <w:r w:rsidRPr="00E358D1">
        <w:rPr>
          <w:sz w:val="24"/>
          <w:szCs w:val="24"/>
        </w:rPr>
        <w:t>elastrol</w:t>
      </w:r>
      <w:proofErr w:type="spellEnd"/>
      <w:r w:rsidRPr="00E358D1">
        <w:rPr>
          <w:sz w:val="24"/>
          <w:szCs w:val="24"/>
        </w:rPr>
        <w:t>.</w:t>
      </w:r>
    </w:p>
    <w:p w:rsidR="00F30212" w:rsidRPr="00E358D1" w:rsidRDefault="00F30212">
      <w:pPr>
        <w:widowControl/>
        <w:jc w:val="left"/>
        <w:rPr>
          <w:sz w:val="24"/>
          <w:szCs w:val="24"/>
        </w:rPr>
      </w:pPr>
      <w:r w:rsidRPr="00E358D1">
        <w:rPr>
          <w:sz w:val="24"/>
          <w:szCs w:val="24"/>
        </w:rPr>
        <w:br w:type="page"/>
      </w:r>
    </w:p>
    <w:p w:rsidR="007C2C12" w:rsidRPr="00E358D1" w:rsidRDefault="00496484" w:rsidP="007C2C12">
      <w:pPr>
        <w:rPr>
          <w:sz w:val="24"/>
          <w:szCs w:val="24"/>
        </w:rPr>
      </w:pPr>
      <w:r w:rsidRPr="00E358D1">
        <w:rPr>
          <w:noProof/>
          <w:sz w:val="24"/>
          <w:szCs w:val="24"/>
        </w:rPr>
        <w:lastRenderedPageBreak/>
        <w:drawing>
          <wp:inline distT="0" distB="0" distL="0" distR="0">
            <wp:extent cx="5274310" cy="1370965"/>
            <wp:effectExtent l="0" t="0" r="0" b="635"/>
            <wp:docPr id="2954618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461851" name="图片 29546185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484" w:rsidRPr="001E6DA2" w:rsidRDefault="00496484" w:rsidP="001E6DA2">
      <w:pPr>
        <w:adjustRightInd w:val="0"/>
        <w:snapToGrid w:val="0"/>
        <w:spacing w:before="240" w:line="480" w:lineRule="auto"/>
        <w:rPr>
          <w:b/>
          <w:bCs/>
          <w:color w:val="000000"/>
          <w:kern w:val="0"/>
          <w:sz w:val="24"/>
        </w:rPr>
      </w:pPr>
      <w:r w:rsidRPr="00E358D1">
        <w:rPr>
          <w:rFonts w:hint="eastAsia"/>
          <w:sz w:val="24"/>
          <w:szCs w:val="24"/>
        </w:rPr>
        <w:t>F</w:t>
      </w:r>
      <w:r w:rsidRPr="00E358D1">
        <w:rPr>
          <w:sz w:val="24"/>
          <w:szCs w:val="24"/>
        </w:rPr>
        <w:t>ig</w:t>
      </w:r>
      <w:r w:rsidR="001E6DA2" w:rsidRPr="00E358D1">
        <w:rPr>
          <w:sz w:val="24"/>
          <w:szCs w:val="24"/>
        </w:rPr>
        <w:t>.</w:t>
      </w:r>
      <w:r w:rsidRPr="00E358D1">
        <w:rPr>
          <w:sz w:val="24"/>
          <w:szCs w:val="24"/>
        </w:rPr>
        <w:t xml:space="preserve"> S3 (</w:t>
      </w:r>
      <w:r w:rsidRPr="00E358D1">
        <w:rPr>
          <w:b/>
          <w:bCs/>
          <w:sz w:val="24"/>
          <w:szCs w:val="24"/>
        </w:rPr>
        <w:t>A</w:t>
      </w:r>
      <w:r w:rsidRPr="00E358D1">
        <w:rPr>
          <w:sz w:val="24"/>
          <w:szCs w:val="24"/>
        </w:rPr>
        <w:t xml:space="preserve">) </w:t>
      </w:r>
      <w:r w:rsidRPr="00E358D1">
        <w:rPr>
          <w:color w:val="000000"/>
          <w:kern w:val="0"/>
          <w:sz w:val="24"/>
        </w:rPr>
        <w:t>Validation of S100P knockdown in 16HBE cells. Representative western blots and quantitative analysis of S100P protein expression in 16HBE cells transfected with si-S100P (</w:t>
      </w:r>
      <w:r w:rsidRPr="00E358D1">
        <w:rPr>
          <w:rFonts w:eastAsia="DengXian"/>
          <w:color w:val="000000"/>
          <w:kern w:val="0"/>
          <w:sz w:val="24"/>
        </w:rPr>
        <w:t>siRNA-298</w:t>
      </w:r>
      <w:r w:rsidRPr="00E358D1">
        <w:rPr>
          <w:color w:val="000000"/>
          <w:kern w:val="0"/>
          <w:sz w:val="24"/>
        </w:rPr>
        <w:t xml:space="preserve">), n=3. </w:t>
      </w:r>
      <w:r w:rsidRPr="00E358D1">
        <w:rPr>
          <w:sz w:val="24"/>
          <w:szCs w:val="24"/>
        </w:rPr>
        <w:t>(</w:t>
      </w:r>
      <w:r w:rsidRPr="00E358D1">
        <w:rPr>
          <w:b/>
          <w:bCs/>
          <w:sz w:val="24"/>
          <w:szCs w:val="24"/>
        </w:rPr>
        <w:t>B-C</w:t>
      </w:r>
      <w:r w:rsidRPr="00E358D1">
        <w:rPr>
          <w:sz w:val="24"/>
          <w:szCs w:val="24"/>
        </w:rPr>
        <w:t xml:space="preserve">) </w:t>
      </w:r>
      <w:bookmarkStart w:id="10" w:name="OLE_LINK844"/>
      <w:r w:rsidRPr="00E358D1">
        <w:rPr>
          <w:sz w:val="24"/>
          <w:szCs w:val="24"/>
        </w:rPr>
        <w:t>FITC-dextran permeability assays in 16HBE cells treated with recombinant S100Pin the presence or absence of candidate compounds for 24 h. Fluorescence intensity was measured after 24 h of treatment, n=3.</w:t>
      </w:r>
      <w:r w:rsidRPr="00E358D1">
        <w:rPr>
          <w:rFonts w:hint="eastAsia"/>
          <w:sz w:val="24"/>
          <w:szCs w:val="24"/>
        </w:rPr>
        <w:t xml:space="preserve"> </w:t>
      </w:r>
      <w:r w:rsidRPr="00E358D1">
        <w:rPr>
          <w:sz w:val="24"/>
        </w:rPr>
        <w:t>Data are presented as mean ± SEM</w:t>
      </w:r>
      <w:r w:rsidR="00FB2574" w:rsidRPr="00E358D1">
        <w:rPr>
          <w:sz w:val="24"/>
        </w:rPr>
        <w:t>.</w:t>
      </w:r>
      <w:r w:rsidRPr="00E358D1">
        <w:rPr>
          <w:color w:val="000000"/>
          <w:kern w:val="0"/>
          <w:sz w:val="24"/>
        </w:rPr>
        <w:t xml:space="preserve"> *P &lt; 0.05 vs Control.</w:t>
      </w:r>
      <w:bookmarkEnd w:id="10"/>
    </w:p>
    <w:sectPr w:rsidR="00496484" w:rsidRPr="001E6DA2" w:rsidSect="007C2C12"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66B58" w:rsidRDefault="00E66B58" w:rsidP="007C2C12">
      <w:r>
        <w:separator/>
      </w:r>
    </w:p>
  </w:endnote>
  <w:endnote w:type="continuationSeparator" w:id="0">
    <w:p w:rsidR="00E66B58" w:rsidRDefault="00E66B58" w:rsidP="007C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Janson Text LT">
    <w:altName w:val="宋体"/>
    <w:panose1 w:val="020B0604020202020204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962863049"/>
      <w:docPartObj>
        <w:docPartGallery w:val="Page Numbers (Bottom of Page)"/>
        <w:docPartUnique/>
      </w:docPartObj>
    </w:sdtPr>
    <w:sdtContent>
      <w:p w:rsidR="007C2C12" w:rsidRDefault="007C2C12" w:rsidP="007357B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7C2C12" w:rsidRDefault="007C2C1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902129475"/>
      <w:docPartObj>
        <w:docPartGallery w:val="Page Numbers (Bottom of Page)"/>
        <w:docPartUnique/>
      </w:docPartObj>
    </w:sdtPr>
    <w:sdtContent>
      <w:p w:rsidR="007C2C12" w:rsidRDefault="007C2C12" w:rsidP="007357BC">
        <w:pPr>
          <w:pStyle w:val="a3"/>
          <w:framePr w:wrap="none" w:vAnchor="text" w:hAnchor="margin" w:xAlign="center" w:y="1"/>
          <w:rPr>
            <w:rStyle w:val="a5"/>
          </w:rPr>
        </w:pPr>
        <w:r w:rsidRPr="007C2C12">
          <w:rPr>
            <w:rStyle w:val="a5"/>
            <w:sz w:val="24"/>
            <w:szCs w:val="24"/>
          </w:rPr>
          <w:fldChar w:fldCharType="begin"/>
        </w:r>
        <w:r w:rsidRPr="007C2C12">
          <w:rPr>
            <w:rStyle w:val="a5"/>
            <w:sz w:val="24"/>
            <w:szCs w:val="24"/>
          </w:rPr>
          <w:instrText xml:space="preserve"> PAGE </w:instrText>
        </w:r>
        <w:r w:rsidRPr="007C2C12">
          <w:rPr>
            <w:rStyle w:val="a5"/>
            <w:sz w:val="24"/>
            <w:szCs w:val="24"/>
          </w:rPr>
          <w:fldChar w:fldCharType="separate"/>
        </w:r>
        <w:r w:rsidRPr="007C2C12">
          <w:rPr>
            <w:rStyle w:val="a5"/>
            <w:noProof/>
            <w:sz w:val="24"/>
            <w:szCs w:val="24"/>
          </w:rPr>
          <w:t>1</w:t>
        </w:r>
        <w:r w:rsidRPr="007C2C12">
          <w:rPr>
            <w:rStyle w:val="a5"/>
            <w:sz w:val="24"/>
            <w:szCs w:val="24"/>
          </w:rPr>
          <w:fldChar w:fldCharType="end"/>
        </w:r>
      </w:p>
    </w:sdtContent>
  </w:sdt>
  <w:p w:rsidR="007C2C12" w:rsidRDefault="007C2C1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66B58" w:rsidRDefault="00E66B58" w:rsidP="007C2C12">
      <w:r>
        <w:separator/>
      </w:r>
    </w:p>
  </w:footnote>
  <w:footnote w:type="continuationSeparator" w:id="0">
    <w:p w:rsidR="00E66B58" w:rsidRDefault="00E66B58" w:rsidP="007C2C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12"/>
    <w:rsid w:val="0002410A"/>
    <w:rsid w:val="0006110D"/>
    <w:rsid w:val="000C65B0"/>
    <w:rsid w:val="000D700D"/>
    <w:rsid w:val="000F047A"/>
    <w:rsid w:val="000F1729"/>
    <w:rsid w:val="000F34E2"/>
    <w:rsid w:val="000F4C10"/>
    <w:rsid w:val="000F69BE"/>
    <w:rsid w:val="00111141"/>
    <w:rsid w:val="00142409"/>
    <w:rsid w:val="001728AF"/>
    <w:rsid w:val="00182AE5"/>
    <w:rsid w:val="00187356"/>
    <w:rsid w:val="001A16D9"/>
    <w:rsid w:val="001B44CA"/>
    <w:rsid w:val="001E6DA2"/>
    <w:rsid w:val="002055DE"/>
    <w:rsid w:val="00207732"/>
    <w:rsid w:val="00215542"/>
    <w:rsid w:val="00227948"/>
    <w:rsid w:val="002345C1"/>
    <w:rsid w:val="002B6BBD"/>
    <w:rsid w:val="002D321E"/>
    <w:rsid w:val="002D3CB1"/>
    <w:rsid w:val="002F5860"/>
    <w:rsid w:val="00332167"/>
    <w:rsid w:val="0035786E"/>
    <w:rsid w:val="00370600"/>
    <w:rsid w:val="00372995"/>
    <w:rsid w:val="00375276"/>
    <w:rsid w:val="0039352B"/>
    <w:rsid w:val="003A3A24"/>
    <w:rsid w:val="003C76FF"/>
    <w:rsid w:val="003D1143"/>
    <w:rsid w:val="003D2723"/>
    <w:rsid w:val="003E1E4B"/>
    <w:rsid w:val="003E470F"/>
    <w:rsid w:val="003F3210"/>
    <w:rsid w:val="003F3A75"/>
    <w:rsid w:val="003F63F4"/>
    <w:rsid w:val="0040745C"/>
    <w:rsid w:val="004218EF"/>
    <w:rsid w:val="00421A4F"/>
    <w:rsid w:val="00460E19"/>
    <w:rsid w:val="00496484"/>
    <w:rsid w:val="004B45AF"/>
    <w:rsid w:val="004F38B8"/>
    <w:rsid w:val="0054335D"/>
    <w:rsid w:val="00592DFB"/>
    <w:rsid w:val="005F6BFF"/>
    <w:rsid w:val="0060487D"/>
    <w:rsid w:val="00604B6D"/>
    <w:rsid w:val="006914D8"/>
    <w:rsid w:val="00692051"/>
    <w:rsid w:val="00727B92"/>
    <w:rsid w:val="0073745A"/>
    <w:rsid w:val="00751632"/>
    <w:rsid w:val="00773F5D"/>
    <w:rsid w:val="0078262E"/>
    <w:rsid w:val="007927F4"/>
    <w:rsid w:val="007C2C12"/>
    <w:rsid w:val="007C485E"/>
    <w:rsid w:val="00881EDB"/>
    <w:rsid w:val="008839C7"/>
    <w:rsid w:val="008C3D83"/>
    <w:rsid w:val="008D445F"/>
    <w:rsid w:val="008E67FB"/>
    <w:rsid w:val="009342AA"/>
    <w:rsid w:val="00955462"/>
    <w:rsid w:val="00955E7B"/>
    <w:rsid w:val="00983792"/>
    <w:rsid w:val="00991D9B"/>
    <w:rsid w:val="009B1772"/>
    <w:rsid w:val="009C277D"/>
    <w:rsid w:val="009C38D4"/>
    <w:rsid w:val="009C625E"/>
    <w:rsid w:val="00A01E9A"/>
    <w:rsid w:val="00A02B5B"/>
    <w:rsid w:val="00A07D68"/>
    <w:rsid w:val="00A3720E"/>
    <w:rsid w:val="00A3758D"/>
    <w:rsid w:val="00A73944"/>
    <w:rsid w:val="00A771E0"/>
    <w:rsid w:val="00A7757D"/>
    <w:rsid w:val="00A813C5"/>
    <w:rsid w:val="00AB5D4B"/>
    <w:rsid w:val="00AC7A69"/>
    <w:rsid w:val="00AD0FDC"/>
    <w:rsid w:val="00B025E9"/>
    <w:rsid w:val="00B07216"/>
    <w:rsid w:val="00B17787"/>
    <w:rsid w:val="00B57DCF"/>
    <w:rsid w:val="00B62DC6"/>
    <w:rsid w:val="00B83EFD"/>
    <w:rsid w:val="00BA21A3"/>
    <w:rsid w:val="00BE4580"/>
    <w:rsid w:val="00C24F92"/>
    <w:rsid w:val="00C41A45"/>
    <w:rsid w:val="00C64D13"/>
    <w:rsid w:val="00C846D6"/>
    <w:rsid w:val="00CB7CC0"/>
    <w:rsid w:val="00CC0D42"/>
    <w:rsid w:val="00CC540E"/>
    <w:rsid w:val="00CD677E"/>
    <w:rsid w:val="00CE0186"/>
    <w:rsid w:val="00D17366"/>
    <w:rsid w:val="00D24300"/>
    <w:rsid w:val="00D41E68"/>
    <w:rsid w:val="00D47A93"/>
    <w:rsid w:val="00D521D8"/>
    <w:rsid w:val="00D73341"/>
    <w:rsid w:val="00D84146"/>
    <w:rsid w:val="00DA47EC"/>
    <w:rsid w:val="00DC2938"/>
    <w:rsid w:val="00DD48E8"/>
    <w:rsid w:val="00E02942"/>
    <w:rsid w:val="00E048D9"/>
    <w:rsid w:val="00E119E3"/>
    <w:rsid w:val="00E16E59"/>
    <w:rsid w:val="00E25AD8"/>
    <w:rsid w:val="00E32657"/>
    <w:rsid w:val="00E358D1"/>
    <w:rsid w:val="00E66B58"/>
    <w:rsid w:val="00E77C01"/>
    <w:rsid w:val="00EB14C6"/>
    <w:rsid w:val="00EE6E58"/>
    <w:rsid w:val="00F04B6B"/>
    <w:rsid w:val="00F22C4E"/>
    <w:rsid w:val="00F30212"/>
    <w:rsid w:val="00F4013B"/>
    <w:rsid w:val="00F479B1"/>
    <w:rsid w:val="00F508F4"/>
    <w:rsid w:val="00F63AFD"/>
    <w:rsid w:val="00FB1D73"/>
    <w:rsid w:val="00FB2574"/>
    <w:rsid w:val="00FC7792"/>
    <w:rsid w:val="00FD465C"/>
    <w:rsid w:val="00FD4A80"/>
    <w:rsid w:val="00FE152C"/>
    <w:rsid w:val="00FE4DA7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4522D30-9CF2-B94E-B214-CB9DB1EF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D1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qFormat/>
    <w:rsid w:val="007C2C12"/>
    <w:rPr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7C2C12"/>
    <w:rPr>
      <w:rFonts w:ascii="Times New Roman" w:eastAsia="宋体" w:hAnsi="Times New Roman" w:cs="Times New Roman"/>
      <w:sz w:val="20"/>
      <w:szCs w:val="21"/>
    </w:rPr>
  </w:style>
  <w:style w:type="paragraph" w:styleId="a3">
    <w:name w:val="footer"/>
    <w:basedOn w:val="a"/>
    <w:link w:val="a4"/>
    <w:uiPriority w:val="99"/>
    <w:unhideWhenUsed/>
    <w:rsid w:val="007C2C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7C2C12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uiPriority w:val="99"/>
    <w:semiHidden/>
    <w:unhideWhenUsed/>
    <w:rsid w:val="007C2C12"/>
  </w:style>
  <w:style w:type="paragraph" w:styleId="a6">
    <w:name w:val="header"/>
    <w:basedOn w:val="a"/>
    <w:link w:val="a7"/>
    <w:uiPriority w:val="99"/>
    <w:unhideWhenUsed/>
    <w:rsid w:val="007C2C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C2C12"/>
    <w:rPr>
      <w:rFonts w:ascii="Times New Roman" w:eastAsia="宋体" w:hAnsi="Times New Roman" w:cs="Times New Roman"/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7C2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1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4714DB-29C6-2844-8BAC-6FDD80C7A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2783</dc:creator>
  <cp:keywords/>
  <dc:description/>
  <cp:lastModifiedBy>2783</cp:lastModifiedBy>
  <cp:revision>11</cp:revision>
  <dcterms:created xsi:type="dcterms:W3CDTF">2026-01-16T12:40:00Z</dcterms:created>
  <dcterms:modified xsi:type="dcterms:W3CDTF">2026-03-18T16:39:00Z</dcterms:modified>
</cp:coreProperties>
</file>