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8333F5" w14:textId="719B633D" w:rsidR="009A2BCB" w:rsidRDefault="0066116E" w:rsidP="0066116E">
      <w:pPr>
        <w:jc w:val="both"/>
        <w:rPr>
          <w:noProof/>
        </w:rPr>
      </w:pPr>
      <w:r>
        <w:rPr>
          <w:noProof/>
        </w:rPr>
        <w:drawing>
          <wp:inline distT="0" distB="0" distL="0" distR="0" wp14:anchorId="68205A15" wp14:editId="2A614B88">
            <wp:extent cx="5936615" cy="4217035"/>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36615" cy="4217035"/>
                    </a:xfrm>
                    <a:prstGeom prst="rect">
                      <a:avLst/>
                    </a:prstGeom>
                    <a:noFill/>
                    <a:ln>
                      <a:noFill/>
                    </a:ln>
                  </pic:spPr>
                </pic:pic>
              </a:graphicData>
            </a:graphic>
          </wp:inline>
        </w:drawing>
      </w:r>
    </w:p>
    <w:p w14:paraId="3CF23D2C" w14:textId="3098FCBB" w:rsidR="0066116E" w:rsidRPr="00056A4E" w:rsidRDefault="0066116E" w:rsidP="00570D5F">
      <w:pPr>
        <w:spacing w:line="276" w:lineRule="auto"/>
        <w:jc w:val="both"/>
        <w:rPr>
          <w:rFonts w:asciiTheme="majorBidi" w:hAnsiTheme="majorBidi" w:cstheme="majorBidi"/>
          <w:sz w:val="16"/>
          <w:szCs w:val="16"/>
        </w:rPr>
      </w:pPr>
      <w:r w:rsidRPr="00056A4E">
        <w:rPr>
          <w:rFonts w:asciiTheme="majorBidi" w:hAnsiTheme="majorBidi" w:cstheme="majorBidi"/>
          <w:b/>
          <w:bCs/>
          <w:sz w:val="20"/>
          <w:szCs w:val="20"/>
        </w:rPr>
        <w:t>Supplementary Figure S1.</w:t>
      </w:r>
      <w:r w:rsidRPr="00056A4E">
        <w:rPr>
          <w:rFonts w:asciiTheme="majorBidi" w:hAnsiTheme="majorBidi" w:cstheme="majorBidi"/>
          <w:sz w:val="20"/>
          <w:szCs w:val="20"/>
        </w:rPr>
        <w:t xml:space="preserve"> </w:t>
      </w:r>
      <w:r w:rsidRPr="00056A4E">
        <w:rPr>
          <w:rFonts w:asciiTheme="majorBidi" w:hAnsiTheme="majorBidi" w:cstheme="majorBidi"/>
          <w:b/>
          <w:bCs/>
          <w:sz w:val="20"/>
          <w:szCs w:val="20"/>
        </w:rPr>
        <w:t>Quality assessment and preprocessing of bulk RNA-Seq datasets.</w:t>
      </w:r>
      <w:r w:rsidRPr="00056A4E">
        <w:rPr>
          <w:rFonts w:asciiTheme="majorBidi" w:hAnsiTheme="majorBidi" w:cstheme="majorBidi"/>
          <w:sz w:val="20"/>
          <w:szCs w:val="20"/>
        </w:rPr>
        <w:t xml:space="preserve"> High-quality sequencing reads were confirmed across all datasets, ensuring reliable transcriptomic profiling. FASTQC analysis indicated excellent read accuracy, with no bases below a Phred quality score of 15. A total of 11,583,879,924 billion raw reads from four publicly available datasets (SRP303290, ERP106487, SRP336051, and SRP351557) were processed through standard data-cleaning and trimming pipelines. Following quality control, 9,268,804,273 billion high-quality reads were retained for downstream analyses, including 5,712,391,130 reads from SRP303290 dataset, 970,158,026 reads from ERP106487 dataset, 1,465,643,660 reads from SRP336051 dataset, and 1,120,611,457 reads from SRP351557 dataset. These preprocessing steps ensured robust data integrity and consistency across datasets.</w:t>
      </w:r>
    </w:p>
    <w:p w14:paraId="715EB0C3" w14:textId="77777777" w:rsidR="0066116E" w:rsidRDefault="0066116E" w:rsidP="0066116E">
      <w:pPr>
        <w:spacing w:line="240" w:lineRule="auto"/>
        <w:jc w:val="both"/>
        <w:rPr>
          <w:rFonts w:ascii="Segoe UI" w:hAnsi="Segoe UI" w:cs="Segoe UI"/>
          <w:sz w:val="20"/>
          <w:szCs w:val="20"/>
        </w:rPr>
      </w:pPr>
    </w:p>
    <w:p w14:paraId="794B9AEE" w14:textId="77777777" w:rsidR="0066116E" w:rsidRDefault="0066116E" w:rsidP="0066116E">
      <w:pPr>
        <w:spacing w:line="240" w:lineRule="auto"/>
        <w:jc w:val="both"/>
        <w:rPr>
          <w:rFonts w:ascii="Segoe UI" w:hAnsi="Segoe UI" w:cs="Segoe UI"/>
          <w:sz w:val="20"/>
          <w:szCs w:val="20"/>
        </w:rPr>
      </w:pPr>
    </w:p>
    <w:p w14:paraId="26326D8C" w14:textId="77777777" w:rsidR="0066116E" w:rsidRDefault="0066116E" w:rsidP="0066116E">
      <w:pPr>
        <w:spacing w:line="240" w:lineRule="auto"/>
        <w:jc w:val="both"/>
        <w:rPr>
          <w:rFonts w:ascii="Segoe UI" w:hAnsi="Segoe UI" w:cs="Segoe UI"/>
          <w:sz w:val="20"/>
          <w:szCs w:val="20"/>
        </w:rPr>
      </w:pPr>
    </w:p>
    <w:p w14:paraId="03488840" w14:textId="77777777" w:rsidR="0066116E" w:rsidRDefault="0066116E" w:rsidP="0066116E">
      <w:pPr>
        <w:spacing w:line="240" w:lineRule="auto"/>
        <w:jc w:val="both"/>
        <w:rPr>
          <w:rFonts w:ascii="Segoe UI" w:hAnsi="Segoe UI" w:cs="Segoe UI"/>
          <w:sz w:val="20"/>
          <w:szCs w:val="20"/>
        </w:rPr>
      </w:pPr>
    </w:p>
    <w:p w14:paraId="5B810542" w14:textId="77777777" w:rsidR="0066116E" w:rsidRDefault="0066116E" w:rsidP="0066116E">
      <w:pPr>
        <w:spacing w:line="240" w:lineRule="auto"/>
        <w:jc w:val="both"/>
        <w:rPr>
          <w:rFonts w:ascii="Segoe UI" w:hAnsi="Segoe UI" w:cs="Segoe UI"/>
          <w:sz w:val="20"/>
          <w:szCs w:val="20"/>
        </w:rPr>
      </w:pPr>
    </w:p>
    <w:p w14:paraId="285AC401" w14:textId="77777777" w:rsidR="0066116E" w:rsidRDefault="0066116E" w:rsidP="0066116E">
      <w:pPr>
        <w:spacing w:line="240" w:lineRule="auto"/>
        <w:jc w:val="both"/>
        <w:rPr>
          <w:rFonts w:ascii="Segoe UI" w:hAnsi="Segoe UI" w:cs="Segoe UI"/>
          <w:sz w:val="20"/>
          <w:szCs w:val="20"/>
        </w:rPr>
      </w:pPr>
    </w:p>
    <w:p w14:paraId="45507F6A" w14:textId="77777777" w:rsidR="0066116E" w:rsidRDefault="0066116E" w:rsidP="0066116E">
      <w:pPr>
        <w:spacing w:line="240" w:lineRule="auto"/>
        <w:jc w:val="both"/>
        <w:rPr>
          <w:rFonts w:ascii="Segoe UI" w:hAnsi="Segoe UI" w:cs="Segoe UI"/>
          <w:sz w:val="20"/>
          <w:szCs w:val="20"/>
        </w:rPr>
      </w:pPr>
    </w:p>
    <w:p w14:paraId="1DC4390C" w14:textId="77777777" w:rsidR="0066116E" w:rsidRDefault="0066116E" w:rsidP="0066116E">
      <w:pPr>
        <w:spacing w:line="240" w:lineRule="auto"/>
        <w:jc w:val="both"/>
        <w:rPr>
          <w:rFonts w:ascii="Segoe UI" w:hAnsi="Segoe UI" w:cs="Segoe UI"/>
          <w:sz w:val="20"/>
          <w:szCs w:val="20"/>
        </w:rPr>
      </w:pPr>
    </w:p>
    <w:p w14:paraId="5AD28304" w14:textId="6465ACFC" w:rsidR="0066116E" w:rsidRDefault="00FA4F94" w:rsidP="0066116E">
      <w:pPr>
        <w:spacing w:line="240" w:lineRule="auto"/>
        <w:jc w:val="both"/>
        <w:rPr>
          <w:rFonts w:ascii="Segoe UI" w:hAnsi="Segoe UI" w:cs="Segoe UI"/>
          <w:sz w:val="20"/>
          <w:szCs w:val="20"/>
        </w:rPr>
      </w:pPr>
      <w:r>
        <w:rPr>
          <w:rFonts w:ascii="Segoe UI" w:hAnsi="Segoe UI" w:cs="Segoe UI"/>
          <w:noProof/>
          <w:sz w:val="20"/>
          <w:szCs w:val="20"/>
        </w:rPr>
        <w:lastRenderedPageBreak/>
        <w:drawing>
          <wp:inline distT="0" distB="0" distL="0" distR="0" wp14:anchorId="53BA9A06" wp14:editId="434B80B1">
            <wp:extent cx="5066810" cy="6557749"/>
            <wp:effectExtent l="0" t="0" r="63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077668" cy="6571802"/>
                    </a:xfrm>
                    <a:prstGeom prst="rect">
                      <a:avLst/>
                    </a:prstGeom>
                    <a:noFill/>
                    <a:ln>
                      <a:noFill/>
                    </a:ln>
                  </pic:spPr>
                </pic:pic>
              </a:graphicData>
            </a:graphic>
          </wp:inline>
        </w:drawing>
      </w:r>
    </w:p>
    <w:p w14:paraId="2C0B94D4" w14:textId="2B3473AC" w:rsidR="00FA4F94" w:rsidRPr="00056A4E" w:rsidRDefault="00FA4F94" w:rsidP="00570D5F">
      <w:pPr>
        <w:spacing w:line="276" w:lineRule="auto"/>
        <w:jc w:val="both"/>
        <w:rPr>
          <w:rFonts w:asciiTheme="majorBidi" w:hAnsiTheme="majorBidi" w:cstheme="majorBidi"/>
          <w:sz w:val="16"/>
          <w:szCs w:val="16"/>
        </w:rPr>
      </w:pPr>
      <w:r w:rsidRPr="00056A4E">
        <w:rPr>
          <w:rFonts w:asciiTheme="majorBidi" w:hAnsiTheme="majorBidi" w:cstheme="majorBidi"/>
          <w:b/>
          <w:bCs/>
          <w:sz w:val="20"/>
          <w:szCs w:val="20"/>
        </w:rPr>
        <w:t>Supplementary Figure S2. Overview of scRNA-seq data preprocessing and dimensionality reduction.</w:t>
      </w:r>
      <w:r w:rsidRPr="00056A4E">
        <w:rPr>
          <w:rFonts w:asciiTheme="majorBidi" w:hAnsiTheme="majorBidi" w:cstheme="majorBidi"/>
          <w:sz w:val="20"/>
          <w:szCs w:val="20"/>
        </w:rPr>
        <w:t xml:space="preserve"> </w:t>
      </w:r>
      <w:r w:rsidRPr="00056A4E">
        <w:rPr>
          <w:rFonts w:asciiTheme="majorBidi" w:hAnsiTheme="majorBidi" w:cstheme="majorBidi"/>
          <w:b/>
          <w:bCs/>
          <w:sz w:val="20"/>
          <w:szCs w:val="20"/>
        </w:rPr>
        <w:t>(A)</w:t>
      </w:r>
      <w:r w:rsidRPr="00056A4E">
        <w:rPr>
          <w:rFonts w:asciiTheme="majorBidi" w:hAnsiTheme="majorBidi" w:cstheme="majorBidi"/>
          <w:sz w:val="20"/>
          <w:szCs w:val="20"/>
        </w:rPr>
        <w:t xml:space="preserve"> Selection of the top 2000 highly variable genes. </w:t>
      </w:r>
      <w:r w:rsidRPr="00056A4E">
        <w:rPr>
          <w:rFonts w:asciiTheme="majorBidi" w:hAnsiTheme="majorBidi" w:cstheme="majorBidi"/>
          <w:b/>
          <w:bCs/>
          <w:sz w:val="20"/>
          <w:szCs w:val="20"/>
        </w:rPr>
        <w:t>(B)</w:t>
      </w:r>
      <w:r w:rsidRPr="00056A4E">
        <w:rPr>
          <w:rFonts w:asciiTheme="majorBidi" w:hAnsiTheme="majorBidi" w:cstheme="majorBidi"/>
          <w:sz w:val="20"/>
          <w:szCs w:val="20"/>
        </w:rPr>
        <w:t xml:space="preserve"> PCA analysis showing sample distribution based on variable genes. </w:t>
      </w:r>
      <w:r w:rsidRPr="00056A4E">
        <w:rPr>
          <w:rFonts w:asciiTheme="majorBidi" w:hAnsiTheme="majorBidi" w:cstheme="majorBidi"/>
          <w:b/>
          <w:bCs/>
          <w:sz w:val="20"/>
          <w:szCs w:val="20"/>
        </w:rPr>
        <w:t>(C)</w:t>
      </w:r>
      <w:r w:rsidRPr="00056A4E">
        <w:rPr>
          <w:rFonts w:asciiTheme="majorBidi" w:hAnsiTheme="majorBidi" w:cstheme="majorBidi"/>
          <w:sz w:val="20"/>
          <w:szCs w:val="20"/>
        </w:rPr>
        <w:t xml:space="preserve"> Elbow plots identifying top principal components. </w:t>
      </w:r>
      <w:r w:rsidRPr="00056A4E">
        <w:rPr>
          <w:rFonts w:asciiTheme="majorBidi" w:hAnsiTheme="majorBidi" w:cstheme="majorBidi"/>
          <w:b/>
          <w:bCs/>
          <w:sz w:val="20"/>
          <w:szCs w:val="20"/>
        </w:rPr>
        <w:t>(D)</w:t>
      </w:r>
      <w:r w:rsidRPr="00056A4E">
        <w:rPr>
          <w:rFonts w:asciiTheme="majorBidi" w:hAnsiTheme="majorBidi" w:cstheme="majorBidi"/>
          <w:sz w:val="20"/>
          <w:szCs w:val="20"/>
        </w:rPr>
        <w:t xml:space="preserve"> Heatmaps highlighting gene expression patterns across key principal components. </w:t>
      </w:r>
      <w:r w:rsidRPr="00056A4E">
        <w:rPr>
          <w:rFonts w:asciiTheme="majorBidi" w:hAnsiTheme="majorBidi" w:cstheme="majorBidi"/>
          <w:b/>
          <w:bCs/>
          <w:sz w:val="20"/>
          <w:szCs w:val="20"/>
        </w:rPr>
        <w:t>(E)</w:t>
      </w:r>
      <w:r w:rsidRPr="00056A4E">
        <w:rPr>
          <w:rFonts w:asciiTheme="majorBidi" w:hAnsiTheme="majorBidi" w:cstheme="majorBidi"/>
          <w:sz w:val="20"/>
          <w:szCs w:val="20"/>
        </w:rPr>
        <w:t xml:space="preserve"> VizDimLoadings dimensional reduction analysis for PC_1 and PC_2.</w:t>
      </w:r>
    </w:p>
    <w:p w14:paraId="2221D78F" w14:textId="77777777" w:rsidR="00FA4F94" w:rsidRDefault="00FA4F94" w:rsidP="0066116E">
      <w:pPr>
        <w:spacing w:line="240" w:lineRule="auto"/>
        <w:jc w:val="both"/>
        <w:rPr>
          <w:rFonts w:ascii="Segoe UI" w:hAnsi="Segoe UI" w:cs="Segoe UI"/>
          <w:sz w:val="20"/>
          <w:szCs w:val="20"/>
        </w:rPr>
      </w:pPr>
    </w:p>
    <w:p w14:paraId="3B36F66E" w14:textId="77777777" w:rsidR="00FA4F94" w:rsidRDefault="00FA4F94" w:rsidP="0066116E">
      <w:pPr>
        <w:spacing w:line="240" w:lineRule="auto"/>
        <w:jc w:val="both"/>
        <w:rPr>
          <w:rFonts w:ascii="Segoe UI" w:hAnsi="Segoe UI" w:cs="Segoe UI"/>
          <w:sz w:val="20"/>
          <w:szCs w:val="20"/>
        </w:rPr>
      </w:pPr>
    </w:p>
    <w:p w14:paraId="09A93A34" w14:textId="3CCC1BA3" w:rsidR="00FA4F94" w:rsidRPr="00570D5F" w:rsidRDefault="000141DA" w:rsidP="00570D5F">
      <w:pPr>
        <w:spacing w:line="276" w:lineRule="auto"/>
        <w:jc w:val="both"/>
        <w:rPr>
          <w:rFonts w:asciiTheme="majorBidi" w:hAnsiTheme="majorBidi" w:cstheme="majorBidi"/>
          <w:sz w:val="20"/>
          <w:szCs w:val="20"/>
        </w:rPr>
      </w:pPr>
      <w:r w:rsidRPr="00056A4E">
        <w:rPr>
          <w:rFonts w:asciiTheme="majorBidi" w:hAnsiTheme="majorBidi" w:cstheme="majorBidi"/>
          <w:noProof/>
          <w:sz w:val="20"/>
          <w:szCs w:val="20"/>
        </w:rPr>
        <w:lastRenderedPageBreak/>
        <w:drawing>
          <wp:anchor distT="0" distB="0" distL="114300" distR="114300" simplePos="0" relativeHeight="251660288" behindDoc="0" locked="0" layoutInCell="1" allowOverlap="1" wp14:anchorId="05AB03B5" wp14:editId="69224401">
            <wp:simplePos x="0" y="0"/>
            <wp:positionH relativeFrom="margin">
              <wp:align>left</wp:align>
            </wp:positionH>
            <wp:positionV relativeFrom="margin">
              <wp:posOffset>-204148</wp:posOffset>
            </wp:positionV>
            <wp:extent cx="5701665" cy="61595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01665" cy="6159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A4F94" w:rsidRPr="00056A4E">
        <w:rPr>
          <w:rFonts w:asciiTheme="majorBidi" w:hAnsiTheme="majorBidi" w:cstheme="majorBidi"/>
          <w:b/>
          <w:bCs/>
          <w:sz w:val="20"/>
          <w:szCs w:val="20"/>
        </w:rPr>
        <w:t>Supplementary Figure S3. Alterations in B-cell and T-cell subpopulations in Crohn’s Disease and Ulcerative Colitis. Distinct immune cell composition changes were identified between normal and inflammatory bowel disease samples and highlighting disease-specific alterations in both B-cell and T-cell subsets. (A)</w:t>
      </w:r>
      <w:r w:rsidR="00FA4F94" w:rsidRPr="00056A4E">
        <w:rPr>
          <w:rFonts w:asciiTheme="majorBidi" w:hAnsiTheme="majorBidi" w:cstheme="majorBidi"/>
          <w:sz w:val="20"/>
          <w:szCs w:val="20"/>
        </w:rPr>
        <w:t xml:space="preserve"> In Crohn’s </w:t>
      </w:r>
      <w:r w:rsidR="00985DA4" w:rsidRPr="00056A4E">
        <w:rPr>
          <w:rFonts w:asciiTheme="majorBidi" w:hAnsiTheme="majorBidi" w:cstheme="majorBidi"/>
          <w:sz w:val="20"/>
          <w:szCs w:val="20"/>
        </w:rPr>
        <w:t>d</w:t>
      </w:r>
      <w:r w:rsidR="00FA4F94" w:rsidRPr="00056A4E">
        <w:rPr>
          <w:rFonts w:asciiTheme="majorBidi" w:hAnsiTheme="majorBidi" w:cstheme="majorBidi"/>
          <w:sz w:val="20"/>
          <w:szCs w:val="20"/>
        </w:rPr>
        <w:t xml:space="preserve">isease, a significant increase was observed in </w:t>
      </w:r>
      <w:r w:rsidR="00985DA4" w:rsidRPr="00056A4E">
        <w:rPr>
          <w:rFonts w:asciiTheme="majorBidi" w:hAnsiTheme="majorBidi" w:cstheme="majorBidi"/>
          <w:sz w:val="20"/>
          <w:szCs w:val="20"/>
        </w:rPr>
        <w:t>m</w:t>
      </w:r>
      <w:r w:rsidR="00FA4F94" w:rsidRPr="00056A4E">
        <w:rPr>
          <w:rFonts w:asciiTheme="majorBidi" w:hAnsiTheme="majorBidi" w:cstheme="majorBidi"/>
          <w:sz w:val="20"/>
          <w:szCs w:val="20"/>
        </w:rPr>
        <w:t xml:space="preserve">emory B cells and </w:t>
      </w:r>
      <w:r w:rsidR="00985DA4" w:rsidRPr="00056A4E">
        <w:rPr>
          <w:rFonts w:asciiTheme="majorBidi" w:hAnsiTheme="majorBidi" w:cstheme="majorBidi"/>
          <w:sz w:val="20"/>
          <w:szCs w:val="20"/>
        </w:rPr>
        <w:t>n</w:t>
      </w:r>
      <w:r w:rsidR="00FA4F94" w:rsidRPr="00056A4E">
        <w:rPr>
          <w:rFonts w:asciiTheme="majorBidi" w:hAnsiTheme="majorBidi" w:cstheme="majorBidi"/>
          <w:sz w:val="20"/>
          <w:szCs w:val="20"/>
        </w:rPr>
        <w:t xml:space="preserve">aïve B cells, while </w:t>
      </w:r>
      <w:r w:rsidR="00985DA4" w:rsidRPr="00056A4E">
        <w:rPr>
          <w:rFonts w:asciiTheme="majorBidi" w:hAnsiTheme="majorBidi" w:cstheme="majorBidi"/>
          <w:sz w:val="20"/>
          <w:szCs w:val="20"/>
        </w:rPr>
        <w:t>p</w:t>
      </w:r>
      <w:r w:rsidR="00FA4F94" w:rsidRPr="00056A4E">
        <w:rPr>
          <w:rFonts w:asciiTheme="majorBidi" w:hAnsiTheme="majorBidi" w:cstheme="majorBidi"/>
          <w:sz w:val="20"/>
          <w:szCs w:val="20"/>
        </w:rPr>
        <w:t xml:space="preserve">lasma B cells and </w:t>
      </w:r>
      <w:r w:rsidR="00985DA4" w:rsidRPr="00056A4E">
        <w:rPr>
          <w:rFonts w:asciiTheme="majorBidi" w:hAnsiTheme="majorBidi" w:cstheme="majorBidi"/>
          <w:sz w:val="20"/>
          <w:szCs w:val="20"/>
        </w:rPr>
        <w:t>i</w:t>
      </w:r>
      <w:r w:rsidR="00FA4F94" w:rsidRPr="00056A4E">
        <w:rPr>
          <w:rFonts w:asciiTheme="majorBidi" w:hAnsiTheme="majorBidi" w:cstheme="majorBidi"/>
          <w:sz w:val="20"/>
          <w:szCs w:val="20"/>
        </w:rPr>
        <w:t>mmature B cells were notably reduced. Among T-cell subsets, CD4</w:t>
      </w:r>
      <w:r w:rsidR="00985DA4" w:rsidRPr="00056A4E">
        <w:rPr>
          <w:rFonts w:asciiTheme="majorBidi" w:hAnsiTheme="majorBidi" w:cstheme="majorBidi"/>
          <w:sz w:val="20"/>
          <w:szCs w:val="20"/>
        </w:rPr>
        <w:t>+</w:t>
      </w:r>
      <w:r w:rsidR="00FA4F94" w:rsidRPr="00056A4E">
        <w:rPr>
          <w:rFonts w:asciiTheme="majorBidi" w:hAnsiTheme="majorBidi" w:cstheme="majorBidi"/>
          <w:sz w:val="20"/>
          <w:szCs w:val="20"/>
        </w:rPr>
        <w:t xml:space="preserve"> central memory T cells, CD4</w:t>
      </w:r>
      <w:r w:rsidR="00985DA4" w:rsidRPr="00056A4E">
        <w:rPr>
          <w:rFonts w:asciiTheme="majorBidi" w:hAnsiTheme="majorBidi" w:cstheme="majorBidi"/>
          <w:sz w:val="20"/>
          <w:szCs w:val="20"/>
        </w:rPr>
        <w:t>+</w:t>
      </w:r>
      <w:r w:rsidR="00FA4F94" w:rsidRPr="00056A4E">
        <w:rPr>
          <w:rFonts w:asciiTheme="majorBidi" w:hAnsiTheme="majorBidi" w:cstheme="majorBidi"/>
          <w:sz w:val="20"/>
          <w:szCs w:val="20"/>
        </w:rPr>
        <w:t xml:space="preserve"> effector memory T cells, CD8</w:t>
      </w:r>
      <w:r w:rsidR="00985DA4" w:rsidRPr="00056A4E">
        <w:rPr>
          <w:rFonts w:asciiTheme="majorBidi" w:hAnsiTheme="majorBidi" w:cstheme="majorBidi"/>
          <w:sz w:val="20"/>
          <w:szCs w:val="20"/>
        </w:rPr>
        <w:t>+</w:t>
      </w:r>
      <w:r w:rsidR="00FA4F94" w:rsidRPr="00056A4E">
        <w:rPr>
          <w:rFonts w:asciiTheme="majorBidi" w:hAnsiTheme="majorBidi" w:cstheme="majorBidi"/>
          <w:sz w:val="20"/>
          <w:szCs w:val="20"/>
        </w:rPr>
        <w:t xml:space="preserve"> naïve T cells, CD4</w:t>
      </w:r>
      <w:r w:rsidR="00985DA4" w:rsidRPr="00056A4E">
        <w:rPr>
          <w:rFonts w:asciiTheme="majorBidi" w:hAnsiTheme="majorBidi" w:cstheme="majorBidi"/>
          <w:sz w:val="20"/>
          <w:szCs w:val="20"/>
        </w:rPr>
        <w:t>+</w:t>
      </w:r>
      <w:r w:rsidR="00FA4F94" w:rsidRPr="00056A4E">
        <w:rPr>
          <w:rFonts w:asciiTheme="majorBidi" w:hAnsiTheme="majorBidi" w:cstheme="majorBidi"/>
          <w:sz w:val="20"/>
          <w:szCs w:val="20"/>
        </w:rPr>
        <w:t xml:space="preserve"> T cells, and </w:t>
      </w:r>
      <w:r w:rsidR="00985DA4" w:rsidRPr="00056A4E">
        <w:rPr>
          <w:rFonts w:asciiTheme="majorBidi" w:hAnsiTheme="majorBidi" w:cstheme="majorBidi"/>
          <w:sz w:val="20"/>
          <w:szCs w:val="20"/>
        </w:rPr>
        <w:t>gamma-delta</w:t>
      </w:r>
      <w:r w:rsidR="00FA4F94" w:rsidRPr="00056A4E">
        <w:rPr>
          <w:rFonts w:asciiTheme="majorBidi" w:hAnsiTheme="majorBidi" w:cstheme="majorBidi"/>
          <w:sz w:val="20"/>
          <w:szCs w:val="20"/>
        </w:rPr>
        <w:t xml:space="preserve"> T cells showed increased abundance, whereas CD8</w:t>
      </w:r>
      <w:r w:rsidR="00056A4E" w:rsidRPr="00056A4E">
        <w:rPr>
          <w:rFonts w:asciiTheme="majorBidi" w:hAnsiTheme="majorBidi" w:cstheme="majorBidi"/>
          <w:sz w:val="20"/>
          <w:szCs w:val="20"/>
        </w:rPr>
        <w:t>+</w:t>
      </w:r>
      <w:r w:rsidR="00FA4F94" w:rsidRPr="00056A4E">
        <w:rPr>
          <w:rFonts w:asciiTheme="majorBidi" w:hAnsiTheme="majorBidi" w:cstheme="majorBidi"/>
          <w:sz w:val="20"/>
          <w:szCs w:val="20"/>
        </w:rPr>
        <w:t xml:space="preserve"> central memory T cells were markedly decreased. </w:t>
      </w:r>
      <w:r w:rsidR="00FA4F94" w:rsidRPr="00056A4E">
        <w:rPr>
          <w:rFonts w:asciiTheme="majorBidi" w:hAnsiTheme="majorBidi" w:cstheme="majorBidi"/>
          <w:b/>
          <w:bCs/>
          <w:sz w:val="20"/>
          <w:szCs w:val="20"/>
        </w:rPr>
        <w:t>(B)</w:t>
      </w:r>
      <w:r w:rsidR="00FA4F94" w:rsidRPr="00056A4E">
        <w:rPr>
          <w:rFonts w:asciiTheme="majorBidi" w:hAnsiTheme="majorBidi" w:cstheme="majorBidi"/>
          <w:sz w:val="20"/>
          <w:szCs w:val="20"/>
        </w:rPr>
        <w:t xml:space="preserve"> In Ulcerative </w:t>
      </w:r>
      <w:r w:rsidR="00056A4E" w:rsidRPr="00056A4E">
        <w:rPr>
          <w:rFonts w:asciiTheme="majorBidi" w:hAnsiTheme="majorBidi" w:cstheme="majorBidi"/>
          <w:sz w:val="20"/>
          <w:szCs w:val="20"/>
        </w:rPr>
        <w:t>c</w:t>
      </w:r>
      <w:r w:rsidR="00FA4F94" w:rsidRPr="00056A4E">
        <w:rPr>
          <w:rFonts w:asciiTheme="majorBidi" w:hAnsiTheme="majorBidi" w:cstheme="majorBidi"/>
          <w:sz w:val="20"/>
          <w:szCs w:val="20"/>
        </w:rPr>
        <w:t xml:space="preserve">olitis, </w:t>
      </w:r>
      <w:r w:rsidR="00056A4E" w:rsidRPr="00056A4E">
        <w:rPr>
          <w:rFonts w:asciiTheme="majorBidi" w:hAnsiTheme="majorBidi" w:cstheme="majorBidi"/>
          <w:sz w:val="20"/>
          <w:szCs w:val="20"/>
        </w:rPr>
        <w:t>p</w:t>
      </w:r>
      <w:r w:rsidR="00FA4F94" w:rsidRPr="00056A4E">
        <w:rPr>
          <w:rFonts w:asciiTheme="majorBidi" w:hAnsiTheme="majorBidi" w:cstheme="majorBidi"/>
          <w:sz w:val="20"/>
          <w:szCs w:val="20"/>
        </w:rPr>
        <w:t xml:space="preserve">lasma B cells, </w:t>
      </w:r>
      <w:r w:rsidR="00056A4E" w:rsidRPr="00056A4E">
        <w:rPr>
          <w:rFonts w:asciiTheme="majorBidi" w:hAnsiTheme="majorBidi" w:cstheme="majorBidi"/>
          <w:sz w:val="20"/>
          <w:szCs w:val="20"/>
        </w:rPr>
        <w:t>m</w:t>
      </w:r>
      <w:r w:rsidR="00FA4F94" w:rsidRPr="00056A4E">
        <w:rPr>
          <w:rFonts w:asciiTheme="majorBidi" w:hAnsiTheme="majorBidi" w:cstheme="majorBidi"/>
          <w:sz w:val="20"/>
          <w:szCs w:val="20"/>
        </w:rPr>
        <w:t xml:space="preserve">emory B cells, and </w:t>
      </w:r>
      <w:r w:rsidR="00056A4E" w:rsidRPr="00056A4E">
        <w:rPr>
          <w:rFonts w:asciiTheme="majorBidi" w:hAnsiTheme="majorBidi" w:cstheme="majorBidi"/>
          <w:sz w:val="20"/>
          <w:szCs w:val="20"/>
        </w:rPr>
        <w:t>n</w:t>
      </w:r>
      <w:r w:rsidR="00FA4F94" w:rsidRPr="00056A4E">
        <w:rPr>
          <w:rFonts w:asciiTheme="majorBidi" w:hAnsiTheme="majorBidi" w:cstheme="majorBidi"/>
          <w:sz w:val="20"/>
          <w:szCs w:val="20"/>
        </w:rPr>
        <w:t xml:space="preserve">aïve B cells were elevated, whereas </w:t>
      </w:r>
      <w:r w:rsidR="00056A4E" w:rsidRPr="00056A4E">
        <w:rPr>
          <w:rFonts w:asciiTheme="majorBidi" w:hAnsiTheme="majorBidi" w:cstheme="majorBidi"/>
          <w:sz w:val="20"/>
          <w:szCs w:val="20"/>
        </w:rPr>
        <w:t>i</w:t>
      </w:r>
      <w:r w:rsidR="00FA4F94" w:rsidRPr="00056A4E">
        <w:rPr>
          <w:rFonts w:asciiTheme="majorBidi" w:hAnsiTheme="majorBidi" w:cstheme="majorBidi"/>
          <w:sz w:val="20"/>
          <w:szCs w:val="20"/>
        </w:rPr>
        <w:t>mmature B cells exhibited a sharp decline. For T-cell subsets, a modest decrease was noted in CD8</w:t>
      </w:r>
      <w:r w:rsidR="00056A4E" w:rsidRPr="00056A4E">
        <w:rPr>
          <w:rFonts w:asciiTheme="majorBidi" w:hAnsiTheme="majorBidi" w:cstheme="majorBidi"/>
          <w:sz w:val="20"/>
          <w:szCs w:val="20"/>
        </w:rPr>
        <w:t>+</w:t>
      </w:r>
      <w:r w:rsidR="00FA4F94" w:rsidRPr="00056A4E">
        <w:rPr>
          <w:rFonts w:asciiTheme="majorBidi" w:hAnsiTheme="majorBidi" w:cstheme="majorBidi"/>
          <w:sz w:val="20"/>
          <w:szCs w:val="20"/>
        </w:rPr>
        <w:t xml:space="preserve"> naïve, CD4</w:t>
      </w:r>
      <w:r w:rsidR="00056A4E" w:rsidRPr="00056A4E">
        <w:rPr>
          <w:rFonts w:asciiTheme="majorBidi" w:hAnsiTheme="majorBidi" w:cstheme="majorBidi"/>
          <w:sz w:val="20"/>
          <w:szCs w:val="20"/>
        </w:rPr>
        <w:t>+</w:t>
      </w:r>
      <w:r w:rsidR="00FA4F94" w:rsidRPr="00056A4E">
        <w:rPr>
          <w:rFonts w:asciiTheme="majorBidi" w:hAnsiTheme="majorBidi" w:cstheme="majorBidi"/>
          <w:sz w:val="20"/>
          <w:szCs w:val="20"/>
        </w:rPr>
        <w:t xml:space="preserve"> effector memory, and </w:t>
      </w:r>
      <w:r w:rsidR="00056A4E" w:rsidRPr="00056A4E">
        <w:rPr>
          <w:rFonts w:asciiTheme="majorBidi" w:hAnsiTheme="majorBidi" w:cstheme="majorBidi"/>
          <w:sz w:val="20"/>
          <w:szCs w:val="20"/>
        </w:rPr>
        <w:t>gamma-delta</w:t>
      </w:r>
      <w:r w:rsidR="00FA4F94" w:rsidRPr="00056A4E">
        <w:rPr>
          <w:rFonts w:asciiTheme="majorBidi" w:hAnsiTheme="majorBidi" w:cstheme="majorBidi"/>
          <w:sz w:val="20"/>
          <w:szCs w:val="20"/>
        </w:rPr>
        <w:t xml:space="preserve"> T cells, while CD8</w:t>
      </w:r>
      <w:r w:rsidR="00056A4E" w:rsidRPr="00056A4E">
        <w:rPr>
          <w:rFonts w:asciiTheme="majorBidi" w:hAnsiTheme="majorBidi" w:cstheme="majorBidi"/>
          <w:sz w:val="20"/>
          <w:szCs w:val="20"/>
        </w:rPr>
        <w:t>+</w:t>
      </w:r>
      <w:r w:rsidR="00FA4F94" w:rsidRPr="00056A4E">
        <w:rPr>
          <w:rFonts w:asciiTheme="majorBidi" w:hAnsiTheme="majorBidi" w:cstheme="majorBidi"/>
          <w:sz w:val="20"/>
          <w:szCs w:val="20"/>
        </w:rPr>
        <w:t xml:space="preserve"> central memory T cells showed no increase compared to normal samples. These findings indicate differential remodeling of adaptive immune cell populations across Crohn’s </w:t>
      </w:r>
      <w:r w:rsidR="00056A4E" w:rsidRPr="00056A4E">
        <w:rPr>
          <w:rFonts w:asciiTheme="majorBidi" w:hAnsiTheme="majorBidi" w:cstheme="majorBidi"/>
          <w:sz w:val="20"/>
          <w:szCs w:val="20"/>
        </w:rPr>
        <w:t>d</w:t>
      </w:r>
      <w:r w:rsidR="00FA4F94" w:rsidRPr="00056A4E">
        <w:rPr>
          <w:rFonts w:asciiTheme="majorBidi" w:hAnsiTheme="majorBidi" w:cstheme="majorBidi"/>
          <w:sz w:val="20"/>
          <w:szCs w:val="20"/>
        </w:rPr>
        <w:t xml:space="preserve">isease and </w:t>
      </w:r>
      <w:r w:rsidR="00056A4E" w:rsidRPr="00056A4E">
        <w:rPr>
          <w:rFonts w:asciiTheme="majorBidi" w:hAnsiTheme="majorBidi" w:cstheme="majorBidi"/>
          <w:sz w:val="20"/>
          <w:szCs w:val="20"/>
        </w:rPr>
        <w:t>u</w:t>
      </w:r>
      <w:r w:rsidR="00FA4F94" w:rsidRPr="00056A4E">
        <w:rPr>
          <w:rFonts w:asciiTheme="majorBidi" w:hAnsiTheme="majorBidi" w:cstheme="majorBidi"/>
          <w:sz w:val="20"/>
          <w:szCs w:val="20"/>
        </w:rPr>
        <w:t xml:space="preserve">lcerative </w:t>
      </w:r>
      <w:r w:rsidR="00056A4E" w:rsidRPr="00056A4E">
        <w:rPr>
          <w:rFonts w:asciiTheme="majorBidi" w:hAnsiTheme="majorBidi" w:cstheme="majorBidi"/>
          <w:sz w:val="20"/>
          <w:szCs w:val="20"/>
        </w:rPr>
        <w:t>c</w:t>
      </w:r>
      <w:r w:rsidR="00FA4F94" w:rsidRPr="00056A4E">
        <w:rPr>
          <w:rFonts w:asciiTheme="majorBidi" w:hAnsiTheme="majorBidi" w:cstheme="majorBidi"/>
          <w:sz w:val="20"/>
          <w:szCs w:val="20"/>
        </w:rPr>
        <w:t>olitis, reflecting distinct immune activation profiles in each condition.</w:t>
      </w:r>
    </w:p>
    <w:p w14:paraId="4A751ADA" w14:textId="5C2E7BCE" w:rsidR="00FA4F94" w:rsidRDefault="00FA4F94" w:rsidP="0066116E">
      <w:pPr>
        <w:spacing w:line="240" w:lineRule="auto"/>
        <w:jc w:val="both"/>
        <w:rPr>
          <w:rFonts w:ascii="Segoe UI" w:hAnsi="Segoe UI" w:cs="Segoe UI"/>
          <w:sz w:val="20"/>
          <w:szCs w:val="20"/>
        </w:rPr>
      </w:pPr>
    </w:p>
    <w:p w14:paraId="2A272F13" w14:textId="5E135B27" w:rsidR="00FA4F94" w:rsidRDefault="00FA4F94" w:rsidP="0066116E">
      <w:pPr>
        <w:spacing w:line="240" w:lineRule="auto"/>
        <w:jc w:val="both"/>
        <w:rPr>
          <w:rFonts w:ascii="Segoe UI" w:hAnsi="Segoe UI" w:cs="Segoe UI"/>
          <w:sz w:val="20"/>
          <w:szCs w:val="20"/>
        </w:rPr>
      </w:pPr>
      <w:r>
        <w:rPr>
          <w:rFonts w:ascii="Segoe UI" w:hAnsi="Segoe UI" w:cs="Segoe UI"/>
          <w:noProof/>
          <w:sz w:val="20"/>
          <w:szCs w:val="20"/>
        </w:rPr>
        <w:drawing>
          <wp:inline distT="0" distB="0" distL="0" distR="0" wp14:anchorId="4C40851E" wp14:editId="1852048B">
            <wp:extent cx="5936615" cy="5029200"/>
            <wp:effectExtent l="0" t="0" r="698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36615" cy="5029200"/>
                    </a:xfrm>
                    <a:prstGeom prst="rect">
                      <a:avLst/>
                    </a:prstGeom>
                    <a:noFill/>
                    <a:ln>
                      <a:noFill/>
                    </a:ln>
                  </pic:spPr>
                </pic:pic>
              </a:graphicData>
            </a:graphic>
          </wp:inline>
        </w:drawing>
      </w:r>
    </w:p>
    <w:p w14:paraId="56B255E4" w14:textId="72017757" w:rsidR="00FA4F94" w:rsidRPr="00056A4E" w:rsidRDefault="00FA4F94" w:rsidP="0066116E">
      <w:pPr>
        <w:spacing w:line="240" w:lineRule="auto"/>
        <w:jc w:val="both"/>
        <w:rPr>
          <w:rFonts w:asciiTheme="majorBidi" w:hAnsiTheme="majorBidi" w:cstheme="majorBidi"/>
          <w:sz w:val="16"/>
          <w:szCs w:val="16"/>
        </w:rPr>
      </w:pPr>
      <w:r w:rsidRPr="00056A4E">
        <w:rPr>
          <w:rFonts w:asciiTheme="majorBidi" w:hAnsiTheme="majorBidi" w:cstheme="majorBidi"/>
          <w:b/>
          <w:bCs/>
          <w:sz w:val="20"/>
          <w:szCs w:val="20"/>
        </w:rPr>
        <w:t>Supplementary Figure S</w:t>
      </w:r>
      <w:r w:rsidR="00570D5F" w:rsidRPr="00056A4E">
        <w:rPr>
          <w:rFonts w:asciiTheme="majorBidi" w:hAnsiTheme="majorBidi" w:cstheme="majorBidi"/>
          <w:b/>
          <w:bCs/>
          <w:sz w:val="20"/>
          <w:szCs w:val="20"/>
        </w:rPr>
        <w:t>4</w:t>
      </w:r>
      <w:r w:rsidRPr="00056A4E">
        <w:rPr>
          <w:rFonts w:asciiTheme="majorBidi" w:hAnsiTheme="majorBidi" w:cstheme="majorBidi"/>
          <w:b/>
          <w:bCs/>
          <w:sz w:val="20"/>
          <w:szCs w:val="20"/>
        </w:rPr>
        <w:t>.</w:t>
      </w:r>
      <w:r w:rsidRPr="00056A4E">
        <w:rPr>
          <w:rFonts w:asciiTheme="majorBidi" w:hAnsiTheme="majorBidi" w:cstheme="majorBidi"/>
          <w:sz w:val="20"/>
          <w:szCs w:val="20"/>
        </w:rPr>
        <w:t xml:space="preserve"> Continued.</w:t>
      </w:r>
    </w:p>
    <w:p w14:paraId="1D7B8D12" w14:textId="77777777" w:rsidR="00FA4F94" w:rsidRDefault="00FA4F94" w:rsidP="0066116E">
      <w:pPr>
        <w:spacing w:line="240" w:lineRule="auto"/>
        <w:jc w:val="both"/>
        <w:rPr>
          <w:rFonts w:ascii="Segoe UI" w:hAnsi="Segoe UI" w:cs="Segoe UI"/>
          <w:sz w:val="20"/>
          <w:szCs w:val="20"/>
        </w:rPr>
      </w:pPr>
    </w:p>
    <w:p w14:paraId="488DF201" w14:textId="77777777" w:rsidR="00FA4F94" w:rsidRDefault="00FA4F94" w:rsidP="0066116E">
      <w:pPr>
        <w:spacing w:line="240" w:lineRule="auto"/>
        <w:jc w:val="both"/>
        <w:rPr>
          <w:rFonts w:ascii="Segoe UI" w:hAnsi="Segoe UI" w:cs="Segoe UI"/>
          <w:sz w:val="20"/>
          <w:szCs w:val="20"/>
        </w:rPr>
      </w:pPr>
    </w:p>
    <w:p w14:paraId="2F211099" w14:textId="77777777" w:rsidR="00FA4F94" w:rsidRDefault="00FA4F94" w:rsidP="0066116E">
      <w:pPr>
        <w:spacing w:line="240" w:lineRule="auto"/>
        <w:jc w:val="both"/>
        <w:rPr>
          <w:rFonts w:ascii="Segoe UI" w:hAnsi="Segoe UI" w:cs="Segoe UI"/>
          <w:sz w:val="20"/>
          <w:szCs w:val="20"/>
        </w:rPr>
      </w:pPr>
    </w:p>
    <w:p w14:paraId="1CE54484" w14:textId="77777777" w:rsidR="00FA4F94" w:rsidRDefault="00FA4F94" w:rsidP="0066116E">
      <w:pPr>
        <w:spacing w:line="240" w:lineRule="auto"/>
        <w:jc w:val="both"/>
        <w:rPr>
          <w:rFonts w:ascii="Segoe UI" w:hAnsi="Segoe UI" w:cs="Segoe UI"/>
          <w:sz w:val="20"/>
          <w:szCs w:val="20"/>
        </w:rPr>
      </w:pPr>
    </w:p>
    <w:p w14:paraId="7B84310A" w14:textId="77777777" w:rsidR="00FA4F94" w:rsidRDefault="00FA4F94" w:rsidP="0066116E">
      <w:pPr>
        <w:spacing w:line="240" w:lineRule="auto"/>
        <w:jc w:val="both"/>
        <w:rPr>
          <w:rFonts w:ascii="Segoe UI" w:hAnsi="Segoe UI" w:cs="Segoe UI"/>
          <w:sz w:val="20"/>
          <w:szCs w:val="20"/>
        </w:rPr>
      </w:pPr>
    </w:p>
    <w:p w14:paraId="35236371" w14:textId="77777777" w:rsidR="00FA4F94" w:rsidRDefault="00FA4F94" w:rsidP="0066116E">
      <w:pPr>
        <w:spacing w:line="240" w:lineRule="auto"/>
        <w:jc w:val="both"/>
        <w:rPr>
          <w:rFonts w:ascii="Segoe UI" w:hAnsi="Segoe UI" w:cs="Segoe UI"/>
          <w:sz w:val="20"/>
          <w:szCs w:val="20"/>
        </w:rPr>
      </w:pPr>
    </w:p>
    <w:p w14:paraId="16C13D4E" w14:textId="77777777" w:rsidR="00FA4F94" w:rsidRDefault="00FA4F94" w:rsidP="0066116E">
      <w:pPr>
        <w:spacing w:line="240" w:lineRule="auto"/>
        <w:jc w:val="both"/>
        <w:rPr>
          <w:rFonts w:ascii="Segoe UI" w:hAnsi="Segoe UI" w:cs="Segoe UI"/>
          <w:sz w:val="20"/>
          <w:szCs w:val="20"/>
        </w:rPr>
      </w:pPr>
    </w:p>
    <w:p w14:paraId="1D6A6E81" w14:textId="77777777" w:rsidR="00FA4F94" w:rsidRDefault="00FA4F94" w:rsidP="0066116E">
      <w:pPr>
        <w:spacing w:line="240" w:lineRule="auto"/>
        <w:jc w:val="both"/>
        <w:rPr>
          <w:rFonts w:ascii="Segoe UI" w:hAnsi="Segoe UI" w:cs="Segoe UI"/>
          <w:sz w:val="20"/>
          <w:szCs w:val="20"/>
        </w:rPr>
      </w:pPr>
    </w:p>
    <w:p w14:paraId="751D7C7D" w14:textId="77777777" w:rsidR="00FA4F94" w:rsidRDefault="00FA4F94" w:rsidP="0066116E">
      <w:pPr>
        <w:spacing w:line="240" w:lineRule="auto"/>
        <w:jc w:val="both"/>
        <w:rPr>
          <w:rFonts w:ascii="Segoe UI" w:hAnsi="Segoe UI" w:cs="Segoe UI"/>
          <w:sz w:val="20"/>
          <w:szCs w:val="20"/>
        </w:rPr>
      </w:pPr>
    </w:p>
    <w:p w14:paraId="6833C2F3" w14:textId="77777777" w:rsidR="00FA4F94" w:rsidRDefault="00FA4F94" w:rsidP="0066116E">
      <w:pPr>
        <w:spacing w:line="240" w:lineRule="auto"/>
        <w:jc w:val="both"/>
        <w:rPr>
          <w:rFonts w:ascii="Segoe UI" w:hAnsi="Segoe UI" w:cs="Segoe UI"/>
          <w:sz w:val="20"/>
          <w:szCs w:val="20"/>
        </w:rPr>
      </w:pPr>
    </w:p>
    <w:p w14:paraId="145ECEDF" w14:textId="1B5E161A" w:rsidR="00FA4F94" w:rsidRDefault="00FA4F94" w:rsidP="0066116E">
      <w:pPr>
        <w:spacing w:line="240" w:lineRule="auto"/>
        <w:jc w:val="both"/>
        <w:rPr>
          <w:rFonts w:ascii="Segoe UI" w:hAnsi="Segoe UI" w:cs="Segoe UI"/>
          <w:sz w:val="20"/>
          <w:szCs w:val="20"/>
        </w:rPr>
      </w:pPr>
      <w:r>
        <w:rPr>
          <w:rFonts w:ascii="Segoe UI" w:hAnsi="Segoe UI" w:cs="Segoe UI"/>
          <w:noProof/>
          <w:sz w:val="20"/>
          <w:szCs w:val="20"/>
        </w:rPr>
        <w:drawing>
          <wp:inline distT="0" distB="0" distL="0" distR="0" wp14:anchorId="45F8726D" wp14:editId="4E9092D7">
            <wp:extent cx="5936615" cy="491998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36615" cy="4919980"/>
                    </a:xfrm>
                    <a:prstGeom prst="rect">
                      <a:avLst/>
                    </a:prstGeom>
                    <a:noFill/>
                    <a:ln>
                      <a:noFill/>
                    </a:ln>
                  </pic:spPr>
                </pic:pic>
              </a:graphicData>
            </a:graphic>
          </wp:inline>
        </w:drawing>
      </w:r>
    </w:p>
    <w:p w14:paraId="01E89071" w14:textId="77777777" w:rsidR="00FA4F94" w:rsidRDefault="00FA4F94" w:rsidP="0066116E">
      <w:pPr>
        <w:spacing w:line="240" w:lineRule="auto"/>
        <w:jc w:val="both"/>
        <w:rPr>
          <w:rFonts w:ascii="Segoe UI" w:hAnsi="Segoe UI" w:cs="Segoe UI"/>
          <w:sz w:val="20"/>
          <w:szCs w:val="20"/>
        </w:rPr>
      </w:pPr>
    </w:p>
    <w:p w14:paraId="79B23B0E" w14:textId="25709C6A" w:rsidR="00FA4F94" w:rsidRPr="00056A4E" w:rsidRDefault="00FA4F94" w:rsidP="00570D5F">
      <w:pPr>
        <w:spacing w:line="276" w:lineRule="auto"/>
        <w:jc w:val="both"/>
        <w:rPr>
          <w:rFonts w:asciiTheme="majorBidi" w:hAnsiTheme="majorBidi" w:cstheme="majorBidi"/>
          <w:sz w:val="20"/>
          <w:szCs w:val="20"/>
        </w:rPr>
      </w:pPr>
      <w:r w:rsidRPr="00056A4E">
        <w:rPr>
          <w:rFonts w:asciiTheme="majorBidi" w:hAnsiTheme="majorBidi" w:cstheme="majorBidi"/>
          <w:b/>
          <w:bCs/>
          <w:sz w:val="20"/>
          <w:szCs w:val="20"/>
        </w:rPr>
        <w:t>Supplementary Figure S</w:t>
      </w:r>
      <w:r w:rsidR="00570D5F" w:rsidRPr="00056A4E">
        <w:rPr>
          <w:rFonts w:asciiTheme="majorBidi" w:hAnsiTheme="majorBidi" w:cstheme="majorBidi"/>
          <w:b/>
          <w:bCs/>
          <w:sz w:val="20"/>
          <w:szCs w:val="20"/>
        </w:rPr>
        <w:t>4</w:t>
      </w:r>
      <w:r w:rsidRPr="00056A4E">
        <w:rPr>
          <w:rFonts w:asciiTheme="majorBidi" w:hAnsiTheme="majorBidi" w:cstheme="majorBidi"/>
          <w:b/>
          <w:bCs/>
          <w:sz w:val="20"/>
          <w:szCs w:val="20"/>
        </w:rPr>
        <w:t>. Functional enrichment analysis of marker genes in Crohn’s Disease and Ulcerative Colitis.</w:t>
      </w:r>
      <w:r w:rsidRPr="00056A4E">
        <w:rPr>
          <w:rFonts w:asciiTheme="majorBidi" w:hAnsiTheme="majorBidi" w:cstheme="majorBidi"/>
          <w:sz w:val="20"/>
          <w:szCs w:val="20"/>
        </w:rPr>
        <w:t xml:space="preserve">  </w:t>
      </w:r>
      <w:r w:rsidRPr="00056A4E">
        <w:rPr>
          <w:rFonts w:asciiTheme="majorBidi" w:hAnsiTheme="majorBidi" w:cstheme="majorBidi"/>
          <w:b/>
          <w:bCs/>
          <w:sz w:val="20"/>
          <w:szCs w:val="20"/>
        </w:rPr>
        <w:t>(A</w:t>
      </w:r>
      <w:r w:rsidR="00056A4E">
        <w:rPr>
          <w:rFonts w:asciiTheme="majorBidi" w:hAnsiTheme="majorBidi" w:cstheme="majorBidi"/>
          <w:b/>
          <w:bCs/>
          <w:sz w:val="20"/>
          <w:szCs w:val="20"/>
        </w:rPr>
        <w:t>-</w:t>
      </w:r>
      <w:r w:rsidRPr="00056A4E">
        <w:rPr>
          <w:rFonts w:asciiTheme="majorBidi" w:hAnsiTheme="majorBidi" w:cstheme="majorBidi"/>
          <w:b/>
          <w:bCs/>
          <w:sz w:val="20"/>
          <w:szCs w:val="20"/>
        </w:rPr>
        <w:t>D)</w:t>
      </w:r>
      <w:r w:rsidRPr="00056A4E">
        <w:rPr>
          <w:rFonts w:asciiTheme="majorBidi" w:hAnsiTheme="majorBidi" w:cstheme="majorBidi"/>
          <w:sz w:val="20"/>
          <w:szCs w:val="20"/>
        </w:rPr>
        <w:t xml:space="preserve"> GO and KEGG enrichment analyses of cell-type</w:t>
      </w:r>
      <w:r w:rsidR="00056A4E">
        <w:rPr>
          <w:rFonts w:asciiTheme="majorBidi" w:hAnsiTheme="majorBidi" w:cstheme="majorBidi"/>
          <w:sz w:val="20"/>
          <w:szCs w:val="20"/>
        </w:rPr>
        <w:t xml:space="preserve"> </w:t>
      </w:r>
      <w:r w:rsidRPr="00056A4E">
        <w:rPr>
          <w:rFonts w:asciiTheme="majorBidi" w:hAnsiTheme="majorBidi" w:cstheme="majorBidi"/>
          <w:sz w:val="20"/>
          <w:szCs w:val="20"/>
        </w:rPr>
        <w:t>specific marker genes in the normal</w:t>
      </w:r>
      <w:r w:rsidR="00056A4E">
        <w:rPr>
          <w:rFonts w:asciiTheme="majorBidi" w:hAnsiTheme="majorBidi" w:cstheme="majorBidi"/>
          <w:sz w:val="20"/>
          <w:szCs w:val="20"/>
        </w:rPr>
        <w:t xml:space="preserve"> </w:t>
      </w:r>
      <w:r w:rsidRPr="00056A4E">
        <w:rPr>
          <w:rFonts w:asciiTheme="majorBidi" w:hAnsiTheme="majorBidi" w:cstheme="majorBidi"/>
          <w:sz w:val="20"/>
          <w:szCs w:val="20"/>
        </w:rPr>
        <w:t xml:space="preserve">Crohn’s </w:t>
      </w:r>
      <w:r w:rsidR="00056A4E">
        <w:rPr>
          <w:rFonts w:asciiTheme="majorBidi" w:hAnsiTheme="majorBidi" w:cstheme="majorBidi"/>
          <w:sz w:val="20"/>
          <w:szCs w:val="20"/>
        </w:rPr>
        <w:t>d</w:t>
      </w:r>
      <w:r w:rsidRPr="00056A4E">
        <w:rPr>
          <w:rFonts w:asciiTheme="majorBidi" w:hAnsiTheme="majorBidi" w:cstheme="majorBidi"/>
          <w:sz w:val="20"/>
          <w:szCs w:val="20"/>
        </w:rPr>
        <w:t>isease group revealed strong associations with T cell activation, B cell</w:t>
      </w:r>
      <w:r w:rsidR="00056A4E">
        <w:rPr>
          <w:rFonts w:asciiTheme="majorBidi" w:hAnsiTheme="majorBidi" w:cstheme="majorBidi"/>
          <w:sz w:val="20"/>
          <w:szCs w:val="20"/>
        </w:rPr>
        <w:t xml:space="preserve"> </w:t>
      </w:r>
      <w:r w:rsidRPr="00056A4E">
        <w:rPr>
          <w:rFonts w:asciiTheme="majorBidi" w:hAnsiTheme="majorBidi" w:cstheme="majorBidi"/>
          <w:sz w:val="20"/>
          <w:szCs w:val="20"/>
        </w:rPr>
        <w:t xml:space="preserve">mediated immunity, antigen processing and presentation, and the NF-κB signaling pathway. </w:t>
      </w:r>
      <w:r w:rsidRPr="00056A4E">
        <w:rPr>
          <w:rFonts w:asciiTheme="majorBidi" w:hAnsiTheme="majorBidi" w:cstheme="majorBidi"/>
          <w:b/>
          <w:bCs/>
          <w:sz w:val="20"/>
          <w:szCs w:val="20"/>
        </w:rPr>
        <w:t>(E</w:t>
      </w:r>
      <w:r w:rsidR="00056A4E">
        <w:rPr>
          <w:rFonts w:asciiTheme="majorBidi" w:hAnsiTheme="majorBidi" w:cstheme="majorBidi"/>
          <w:b/>
          <w:bCs/>
          <w:sz w:val="20"/>
          <w:szCs w:val="20"/>
        </w:rPr>
        <w:t>-</w:t>
      </w:r>
      <w:r w:rsidRPr="00056A4E">
        <w:rPr>
          <w:rFonts w:asciiTheme="majorBidi" w:hAnsiTheme="majorBidi" w:cstheme="majorBidi"/>
          <w:b/>
          <w:bCs/>
          <w:sz w:val="20"/>
          <w:szCs w:val="20"/>
        </w:rPr>
        <w:t>H)</w:t>
      </w:r>
      <w:r w:rsidRPr="00056A4E">
        <w:rPr>
          <w:rFonts w:asciiTheme="majorBidi" w:hAnsiTheme="majorBidi" w:cstheme="majorBidi"/>
          <w:sz w:val="20"/>
          <w:szCs w:val="20"/>
        </w:rPr>
        <w:t xml:space="preserve"> In the normal</w:t>
      </w:r>
      <w:r w:rsidR="00056A4E">
        <w:rPr>
          <w:rFonts w:asciiTheme="majorBidi" w:hAnsiTheme="majorBidi" w:cstheme="majorBidi"/>
          <w:sz w:val="20"/>
          <w:szCs w:val="20"/>
        </w:rPr>
        <w:t>-u</w:t>
      </w:r>
      <w:r w:rsidRPr="00056A4E">
        <w:rPr>
          <w:rFonts w:asciiTheme="majorBidi" w:hAnsiTheme="majorBidi" w:cstheme="majorBidi"/>
          <w:sz w:val="20"/>
          <w:szCs w:val="20"/>
        </w:rPr>
        <w:t xml:space="preserve">lcerative </w:t>
      </w:r>
      <w:r w:rsidR="00056A4E">
        <w:rPr>
          <w:rFonts w:asciiTheme="majorBidi" w:hAnsiTheme="majorBidi" w:cstheme="majorBidi"/>
          <w:sz w:val="20"/>
          <w:szCs w:val="20"/>
        </w:rPr>
        <w:t>c</w:t>
      </w:r>
      <w:r w:rsidRPr="00056A4E">
        <w:rPr>
          <w:rFonts w:asciiTheme="majorBidi" w:hAnsiTheme="majorBidi" w:cstheme="majorBidi"/>
          <w:sz w:val="20"/>
          <w:szCs w:val="20"/>
        </w:rPr>
        <w:t>olitis group, enriched terms were mainly linked to immune receptor signaling, immunoglobulin-mediated response, cytokine activity, and pathways such as IgA production and NK cell</w:t>
      </w:r>
      <w:r w:rsidR="00056A4E">
        <w:rPr>
          <w:rFonts w:asciiTheme="majorBidi" w:hAnsiTheme="majorBidi" w:cstheme="majorBidi"/>
          <w:sz w:val="20"/>
          <w:szCs w:val="20"/>
        </w:rPr>
        <w:t xml:space="preserve"> </w:t>
      </w:r>
      <w:r w:rsidRPr="00056A4E">
        <w:rPr>
          <w:rFonts w:asciiTheme="majorBidi" w:hAnsiTheme="majorBidi" w:cstheme="majorBidi"/>
          <w:sz w:val="20"/>
          <w:szCs w:val="20"/>
        </w:rPr>
        <w:t>mediated cytotoxicity. Together, these analyses highlight immune regulatory processes and signaling pathways differentially activated across disease conditions.</w:t>
      </w:r>
    </w:p>
    <w:p w14:paraId="5530559D" w14:textId="77777777" w:rsidR="004D6B58" w:rsidRDefault="004D6B58" w:rsidP="00570D5F">
      <w:pPr>
        <w:spacing w:line="276" w:lineRule="auto"/>
        <w:jc w:val="both"/>
        <w:rPr>
          <w:rFonts w:asciiTheme="majorBidi" w:hAnsiTheme="majorBidi" w:cstheme="majorBidi"/>
        </w:rPr>
      </w:pPr>
    </w:p>
    <w:p w14:paraId="5B72B35F" w14:textId="77777777" w:rsidR="004D6B58" w:rsidRPr="00570D5F" w:rsidRDefault="004D6B58" w:rsidP="00570D5F">
      <w:pPr>
        <w:spacing w:line="276" w:lineRule="auto"/>
        <w:jc w:val="both"/>
        <w:rPr>
          <w:rFonts w:asciiTheme="majorBidi" w:hAnsiTheme="majorBidi" w:cstheme="majorBidi"/>
          <w:sz w:val="20"/>
          <w:szCs w:val="20"/>
        </w:rPr>
      </w:pPr>
    </w:p>
    <w:p w14:paraId="543DFAD7" w14:textId="77777777" w:rsidR="000F487E" w:rsidRDefault="000F487E" w:rsidP="00752598">
      <w:pPr>
        <w:spacing w:line="240" w:lineRule="auto"/>
        <w:rPr>
          <w:rFonts w:ascii="Segoe UI" w:hAnsi="Segoe UI" w:cs="Segoe UI"/>
          <w:sz w:val="20"/>
          <w:szCs w:val="20"/>
        </w:rPr>
      </w:pPr>
    </w:p>
    <w:p w14:paraId="35217427" w14:textId="289E2F33" w:rsidR="000F487E" w:rsidRDefault="000F487E" w:rsidP="00752598">
      <w:pPr>
        <w:spacing w:line="240" w:lineRule="auto"/>
        <w:rPr>
          <w:rFonts w:ascii="Segoe UI" w:hAnsi="Segoe UI" w:cs="Segoe UI"/>
          <w:sz w:val="20"/>
          <w:szCs w:val="20"/>
        </w:rPr>
      </w:pPr>
    </w:p>
    <w:p w14:paraId="6B9BB014" w14:textId="02C559B9" w:rsidR="00FA4F94" w:rsidRDefault="000F487E" w:rsidP="0066116E">
      <w:pPr>
        <w:spacing w:line="240" w:lineRule="auto"/>
        <w:jc w:val="both"/>
        <w:rPr>
          <w:rFonts w:ascii="Segoe UI" w:hAnsi="Segoe UI" w:cs="Segoe UI"/>
          <w:sz w:val="20"/>
          <w:szCs w:val="20"/>
        </w:rPr>
      </w:pPr>
      <w:r>
        <w:rPr>
          <w:rFonts w:ascii="Segoe UI" w:hAnsi="Segoe UI" w:cs="Segoe UI"/>
          <w:noProof/>
          <w:sz w:val="20"/>
          <w:szCs w:val="20"/>
        </w:rPr>
        <w:lastRenderedPageBreak/>
        <w:drawing>
          <wp:inline distT="0" distB="0" distL="0" distR="0" wp14:anchorId="2AEF77B3" wp14:editId="68BF547B">
            <wp:extent cx="5014768" cy="6489700"/>
            <wp:effectExtent l="0" t="0" r="0" b="63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014768" cy="6489700"/>
                    </a:xfrm>
                    <a:prstGeom prst="rect">
                      <a:avLst/>
                    </a:prstGeom>
                    <a:noFill/>
                    <a:ln>
                      <a:noFill/>
                    </a:ln>
                  </pic:spPr>
                </pic:pic>
              </a:graphicData>
            </a:graphic>
          </wp:inline>
        </w:drawing>
      </w:r>
    </w:p>
    <w:p w14:paraId="0D56177C" w14:textId="7ED44DE1" w:rsidR="00FA4F94" w:rsidRPr="00570D5F" w:rsidRDefault="000F487E" w:rsidP="00570D5F">
      <w:pPr>
        <w:spacing w:line="276" w:lineRule="auto"/>
        <w:jc w:val="both"/>
        <w:rPr>
          <w:rFonts w:asciiTheme="majorBidi" w:hAnsiTheme="majorBidi" w:cstheme="majorBidi"/>
          <w:sz w:val="20"/>
          <w:szCs w:val="20"/>
        </w:rPr>
      </w:pPr>
      <w:r w:rsidRPr="00E3445B">
        <w:rPr>
          <w:rFonts w:asciiTheme="majorBidi" w:hAnsiTheme="majorBidi" w:cstheme="majorBidi"/>
          <w:b/>
          <w:bCs/>
          <w:sz w:val="20"/>
          <w:szCs w:val="20"/>
        </w:rPr>
        <w:t>Supplementary Figure S</w:t>
      </w:r>
      <w:r w:rsidR="004D6B58" w:rsidRPr="00E3445B">
        <w:rPr>
          <w:rFonts w:asciiTheme="majorBidi" w:hAnsiTheme="majorBidi" w:cstheme="majorBidi"/>
          <w:b/>
          <w:bCs/>
          <w:sz w:val="20"/>
          <w:szCs w:val="20"/>
        </w:rPr>
        <w:t>5</w:t>
      </w:r>
      <w:r w:rsidRPr="00E3445B">
        <w:rPr>
          <w:rFonts w:asciiTheme="majorBidi" w:hAnsiTheme="majorBidi" w:cstheme="majorBidi"/>
          <w:b/>
          <w:bCs/>
          <w:sz w:val="20"/>
          <w:szCs w:val="20"/>
        </w:rPr>
        <w:t>. Signaling network analysis in B and T cell subpopulations in Crohn’s Disease. (A)</w:t>
      </w:r>
      <w:r w:rsidRPr="00E3445B">
        <w:rPr>
          <w:rFonts w:asciiTheme="majorBidi" w:hAnsiTheme="majorBidi" w:cstheme="majorBidi"/>
          <w:sz w:val="20"/>
          <w:szCs w:val="20"/>
        </w:rPr>
        <w:t xml:space="preserve"> In B cells subpopulation, the MIF and CD99 signaling networks revealed strong interactions between immature B cells and plasma cells. </w:t>
      </w:r>
      <w:r w:rsidRPr="00E3445B">
        <w:rPr>
          <w:rFonts w:asciiTheme="majorBidi" w:hAnsiTheme="majorBidi" w:cstheme="majorBidi"/>
          <w:b/>
          <w:bCs/>
          <w:sz w:val="20"/>
          <w:szCs w:val="20"/>
        </w:rPr>
        <w:t>(B)</w:t>
      </w:r>
      <w:r w:rsidRPr="00E3445B">
        <w:rPr>
          <w:rFonts w:asciiTheme="majorBidi" w:hAnsiTheme="majorBidi" w:cstheme="majorBidi"/>
          <w:sz w:val="20"/>
          <w:szCs w:val="20"/>
        </w:rPr>
        <w:t xml:space="preserve"> In T cells subpopulation, the MHC-I signaling network was dominated by CD8+ central memory T cells, which communicated extensively with CD4+ central memory, CD4+ effector memory, CD8+ </w:t>
      </w:r>
      <w:r w:rsidR="008612C8" w:rsidRPr="00056A4E">
        <w:rPr>
          <w:rFonts w:asciiTheme="majorBidi" w:hAnsiTheme="majorBidi" w:cstheme="majorBidi"/>
          <w:sz w:val="20"/>
          <w:szCs w:val="20"/>
        </w:rPr>
        <w:t>naïve</w:t>
      </w:r>
      <w:r w:rsidRPr="00E3445B">
        <w:rPr>
          <w:rFonts w:asciiTheme="majorBidi" w:hAnsiTheme="majorBidi" w:cstheme="majorBidi"/>
          <w:sz w:val="20"/>
          <w:szCs w:val="20"/>
        </w:rPr>
        <w:t xml:space="preserve">, and </w:t>
      </w:r>
      <w:r w:rsidR="00E3445B">
        <w:rPr>
          <w:rFonts w:asciiTheme="majorBidi" w:hAnsiTheme="majorBidi" w:cstheme="majorBidi"/>
          <w:sz w:val="20"/>
          <w:szCs w:val="20"/>
        </w:rPr>
        <w:t>gamma-delta</w:t>
      </w:r>
      <w:r w:rsidRPr="00E3445B">
        <w:rPr>
          <w:rFonts w:asciiTheme="majorBidi" w:hAnsiTheme="majorBidi" w:cstheme="majorBidi"/>
          <w:sz w:val="20"/>
          <w:szCs w:val="20"/>
        </w:rPr>
        <w:t xml:space="preserve"> T cells. Additionally, the MIF and CD45 signaling networks highlighted significant outgoing interactions from CD8+ </w:t>
      </w:r>
      <w:r w:rsidR="008612C8" w:rsidRPr="00056A4E">
        <w:rPr>
          <w:rFonts w:asciiTheme="majorBidi" w:hAnsiTheme="majorBidi" w:cstheme="majorBidi"/>
          <w:sz w:val="20"/>
          <w:szCs w:val="20"/>
        </w:rPr>
        <w:t>naïve</w:t>
      </w:r>
      <w:r w:rsidRPr="00E3445B">
        <w:rPr>
          <w:rFonts w:asciiTheme="majorBidi" w:hAnsiTheme="majorBidi" w:cstheme="majorBidi"/>
          <w:sz w:val="20"/>
          <w:szCs w:val="20"/>
        </w:rPr>
        <w:t xml:space="preserve"> T cells, suggesting their role in modulating adaptive and innate-like T cell responses.</w:t>
      </w:r>
    </w:p>
    <w:p w14:paraId="4AFD7AA3" w14:textId="77777777" w:rsidR="00FA4F94" w:rsidRDefault="00FA4F94" w:rsidP="0066116E">
      <w:pPr>
        <w:spacing w:line="240" w:lineRule="auto"/>
        <w:jc w:val="both"/>
        <w:rPr>
          <w:rFonts w:ascii="Segoe UI" w:hAnsi="Segoe UI" w:cs="Segoe UI"/>
          <w:sz w:val="20"/>
          <w:szCs w:val="20"/>
        </w:rPr>
      </w:pPr>
    </w:p>
    <w:p w14:paraId="08B0B17B" w14:textId="137693BF" w:rsidR="00FA4F94" w:rsidRDefault="000F487E" w:rsidP="0066116E">
      <w:pPr>
        <w:spacing w:line="240" w:lineRule="auto"/>
        <w:jc w:val="both"/>
        <w:rPr>
          <w:rFonts w:ascii="Segoe UI" w:hAnsi="Segoe UI" w:cs="Segoe UI"/>
          <w:sz w:val="20"/>
          <w:szCs w:val="20"/>
        </w:rPr>
      </w:pPr>
      <w:r>
        <w:rPr>
          <w:rFonts w:ascii="Segoe UI" w:hAnsi="Segoe UI" w:cs="Segoe UI"/>
          <w:noProof/>
          <w:sz w:val="20"/>
          <w:szCs w:val="20"/>
        </w:rPr>
        <w:lastRenderedPageBreak/>
        <w:drawing>
          <wp:anchor distT="0" distB="0" distL="114300" distR="114300" simplePos="0" relativeHeight="251659264" behindDoc="0" locked="0" layoutInCell="1" allowOverlap="1" wp14:anchorId="1E50CA2B" wp14:editId="411BB7EF">
            <wp:simplePos x="0" y="0"/>
            <wp:positionH relativeFrom="margin">
              <wp:align>center</wp:align>
            </wp:positionH>
            <wp:positionV relativeFrom="margin">
              <wp:posOffset>3175</wp:posOffset>
            </wp:positionV>
            <wp:extent cx="4781550" cy="6187888"/>
            <wp:effectExtent l="0" t="0" r="0" b="381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781550" cy="6187888"/>
                    </a:xfrm>
                    <a:prstGeom prst="rect">
                      <a:avLst/>
                    </a:prstGeom>
                    <a:noFill/>
                    <a:ln>
                      <a:noFill/>
                    </a:ln>
                  </pic:spPr>
                </pic:pic>
              </a:graphicData>
            </a:graphic>
          </wp:anchor>
        </w:drawing>
      </w:r>
    </w:p>
    <w:p w14:paraId="19934D1D" w14:textId="29BC8513" w:rsidR="00FA4F94" w:rsidRDefault="000F487E" w:rsidP="00570D5F">
      <w:pPr>
        <w:spacing w:line="276" w:lineRule="auto"/>
        <w:jc w:val="both"/>
        <w:rPr>
          <w:rFonts w:asciiTheme="majorBidi" w:hAnsiTheme="majorBidi" w:cstheme="majorBidi"/>
        </w:rPr>
      </w:pPr>
      <w:r w:rsidRPr="00432E33">
        <w:rPr>
          <w:rFonts w:asciiTheme="majorBidi" w:hAnsiTheme="majorBidi" w:cstheme="majorBidi"/>
          <w:b/>
          <w:bCs/>
          <w:sz w:val="20"/>
          <w:szCs w:val="20"/>
        </w:rPr>
        <w:t>Supplementary Figure S</w:t>
      </w:r>
      <w:r w:rsidR="004D6B58" w:rsidRPr="00432E33">
        <w:rPr>
          <w:rFonts w:asciiTheme="majorBidi" w:hAnsiTheme="majorBidi" w:cstheme="majorBidi"/>
          <w:b/>
          <w:bCs/>
          <w:sz w:val="20"/>
          <w:szCs w:val="20"/>
        </w:rPr>
        <w:t>6</w:t>
      </w:r>
      <w:r w:rsidRPr="00432E33">
        <w:rPr>
          <w:rFonts w:asciiTheme="majorBidi" w:hAnsiTheme="majorBidi" w:cstheme="majorBidi"/>
          <w:b/>
          <w:bCs/>
          <w:sz w:val="20"/>
          <w:szCs w:val="20"/>
        </w:rPr>
        <w:t>. Signaling network interactions in B and T cell subpopulations in Ulcerative Colitis. (A)</w:t>
      </w:r>
      <w:r w:rsidRPr="00432E33">
        <w:rPr>
          <w:rFonts w:asciiTheme="majorBidi" w:hAnsiTheme="majorBidi" w:cstheme="majorBidi"/>
          <w:sz w:val="20"/>
          <w:szCs w:val="20"/>
        </w:rPr>
        <w:t xml:space="preserve"> In B cells subpopulation, memory B cells showed strong outgoing interactions toward </w:t>
      </w:r>
      <w:r w:rsidR="00432E33" w:rsidRPr="00056A4E">
        <w:rPr>
          <w:rFonts w:asciiTheme="majorBidi" w:hAnsiTheme="majorBidi" w:cstheme="majorBidi"/>
          <w:sz w:val="20"/>
          <w:szCs w:val="20"/>
        </w:rPr>
        <w:t>naïve</w:t>
      </w:r>
      <w:r w:rsidRPr="00432E33">
        <w:rPr>
          <w:rFonts w:asciiTheme="majorBidi" w:hAnsiTheme="majorBidi" w:cstheme="majorBidi"/>
          <w:sz w:val="20"/>
          <w:szCs w:val="20"/>
        </w:rPr>
        <w:t xml:space="preserve"> B cells via the MIF and CD99 networks, while plasma cells communicated with </w:t>
      </w:r>
      <w:r w:rsidR="00432E33" w:rsidRPr="00056A4E">
        <w:rPr>
          <w:rFonts w:asciiTheme="majorBidi" w:hAnsiTheme="majorBidi" w:cstheme="majorBidi"/>
          <w:sz w:val="20"/>
          <w:szCs w:val="20"/>
        </w:rPr>
        <w:t>naïve</w:t>
      </w:r>
      <w:r w:rsidRPr="00432E33">
        <w:rPr>
          <w:rFonts w:asciiTheme="majorBidi" w:hAnsiTheme="majorBidi" w:cstheme="majorBidi"/>
          <w:sz w:val="20"/>
          <w:szCs w:val="20"/>
        </w:rPr>
        <w:t xml:space="preserve"> B cells through the CypA pathway, suggesting regulation of B cell maturation and early responses. </w:t>
      </w:r>
      <w:r w:rsidRPr="00432E33">
        <w:rPr>
          <w:rFonts w:asciiTheme="majorBidi" w:hAnsiTheme="majorBidi" w:cstheme="majorBidi"/>
          <w:b/>
          <w:bCs/>
          <w:sz w:val="20"/>
          <w:szCs w:val="20"/>
        </w:rPr>
        <w:t>(B)</w:t>
      </w:r>
      <w:r w:rsidRPr="00432E33">
        <w:rPr>
          <w:rFonts w:asciiTheme="majorBidi" w:hAnsiTheme="majorBidi" w:cstheme="majorBidi"/>
          <w:sz w:val="20"/>
          <w:szCs w:val="20"/>
        </w:rPr>
        <w:t xml:space="preserve"> In T cells subpopulation, gamma-delta T cells acted as major signalers in MHC-I and MIF networks toward CD8+ central memory and CD4+ effector memory T cells, whereas CD8+ central memory and CD4+ effector memory T cells also engaged in significant outgoing interactions via CypA and CLEC pathways. The CD99 network further highlighted gamma-delta T cells as key communicators, indicating complex cross-talk between adaptive and innate T cell subsets.</w:t>
      </w:r>
    </w:p>
    <w:p w14:paraId="0FC2C3B9" w14:textId="77777777" w:rsidR="004D6B58" w:rsidRDefault="004D6B58" w:rsidP="00570D5F">
      <w:pPr>
        <w:spacing w:line="276" w:lineRule="auto"/>
        <w:jc w:val="both"/>
        <w:rPr>
          <w:rFonts w:asciiTheme="majorBidi" w:hAnsiTheme="majorBidi" w:cstheme="majorBidi"/>
        </w:rPr>
      </w:pPr>
    </w:p>
    <w:p w14:paraId="1F366875" w14:textId="76265071" w:rsidR="004D6B58" w:rsidRDefault="004D6B58" w:rsidP="00570D5F">
      <w:pPr>
        <w:spacing w:line="276" w:lineRule="auto"/>
        <w:jc w:val="both"/>
        <w:rPr>
          <w:rFonts w:asciiTheme="majorBidi" w:hAnsiTheme="majorBidi" w:cstheme="majorBidi"/>
        </w:rPr>
      </w:pPr>
      <w:r>
        <w:rPr>
          <w:rFonts w:asciiTheme="majorBidi" w:hAnsiTheme="majorBidi" w:cstheme="majorBidi"/>
          <w:noProof/>
        </w:rPr>
        <w:lastRenderedPageBreak/>
        <w:drawing>
          <wp:inline distT="0" distB="0" distL="0" distR="0" wp14:anchorId="5B314085" wp14:editId="7631F8E5">
            <wp:extent cx="5937250" cy="4991100"/>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37250" cy="4991100"/>
                    </a:xfrm>
                    <a:prstGeom prst="rect">
                      <a:avLst/>
                    </a:prstGeom>
                    <a:noFill/>
                    <a:ln>
                      <a:noFill/>
                    </a:ln>
                  </pic:spPr>
                </pic:pic>
              </a:graphicData>
            </a:graphic>
          </wp:inline>
        </w:drawing>
      </w:r>
    </w:p>
    <w:p w14:paraId="37443C49" w14:textId="016288A9" w:rsidR="004D6B58" w:rsidRPr="00570D5F" w:rsidRDefault="004D6B58" w:rsidP="004D6B58">
      <w:pPr>
        <w:spacing w:line="276" w:lineRule="auto"/>
        <w:jc w:val="both"/>
        <w:rPr>
          <w:rFonts w:asciiTheme="majorBidi" w:hAnsiTheme="majorBidi" w:cstheme="majorBidi"/>
          <w:sz w:val="20"/>
          <w:szCs w:val="20"/>
        </w:rPr>
      </w:pPr>
      <w:r w:rsidRPr="00ED560F">
        <w:rPr>
          <w:rFonts w:asciiTheme="majorBidi" w:hAnsiTheme="majorBidi" w:cstheme="majorBidi"/>
          <w:b/>
          <w:bCs/>
          <w:sz w:val="20"/>
          <w:szCs w:val="20"/>
        </w:rPr>
        <w:t>Supplementary Figure S7. Intersection of differentially expressed genes across bulk and single-cell RNA-seq in Crohn’s Disease and Ulcerative Colitis.</w:t>
      </w:r>
      <w:r w:rsidRPr="00ED560F">
        <w:rPr>
          <w:rFonts w:asciiTheme="majorBidi" w:hAnsiTheme="majorBidi" w:cstheme="majorBidi"/>
          <w:sz w:val="20"/>
          <w:szCs w:val="20"/>
        </w:rPr>
        <w:t xml:space="preserve"> CEACAM5 was identified as a common gene across all tissues and comparisons. Additional tissue-specific genes included NUAK1, CENPE (colon, Crohn’s </w:t>
      </w:r>
      <w:r w:rsidR="00ED560F">
        <w:rPr>
          <w:rFonts w:asciiTheme="majorBidi" w:hAnsiTheme="majorBidi" w:cstheme="majorBidi"/>
          <w:sz w:val="20"/>
          <w:szCs w:val="20"/>
        </w:rPr>
        <w:t>d</w:t>
      </w:r>
      <w:r w:rsidRPr="00ED560F">
        <w:rPr>
          <w:rFonts w:asciiTheme="majorBidi" w:hAnsiTheme="majorBidi" w:cstheme="majorBidi"/>
          <w:sz w:val="20"/>
          <w:szCs w:val="20"/>
        </w:rPr>
        <w:t xml:space="preserve">isease), LGALS1, PDGFRA (colon, </w:t>
      </w:r>
      <w:r w:rsidR="00ED560F">
        <w:rPr>
          <w:rFonts w:asciiTheme="majorBidi" w:hAnsiTheme="majorBidi" w:cstheme="majorBidi"/>
          <w:sz w:val="20"/>
          <w:szCs w:val="20"/>
        </w:rPr>
        <w:t>u</w:t>
      </w:r>
      <w:r w:rsidRPr="00ED560F">
        <w:rPr>
          <w:rFonts w:asciiTheme="majorBidi" w:hAnsiTheme="majorBidi" w:cstheme="majorBidi"/>
          <w:sz w:val="20"/>
          <w:szCs w:val="20"/>
        </w:rPr>
        <w:t xml:space="preserve">lcerative </w:t>
      </w:r>
      <w:r w:rsidR="00ED560F">
        <w:rPr>
          <w:rFonts w:asciiTheme="majorBidi" w:hAnsiTheme="majorBidi" w:cstheme="majorBidi"/>
          <w:sz w:val="20"/>
          <w:szCs w:val="20"/>
        </w:rPr>
        <w:t>c</w:t>
      </w:r>
      <w:r w:rsidRPr="00ED560F">
        <w:rPr>
          <w:rFonts w:asciiTheme="majorBidi" w:hAnsiTheme="majorBidi" w:cstheme="majorBidi"/>
          <w:sz w:val="20"/>
          <w:szCs w:val="20"/>
        </w:rPr>
        <w:t xml:space="preserve">olitis), CHI3L1, CALCRL, SERPINE1 (ileum, Crohn’s </w:t>
      </w:r>
      <w:r w:rsidR="00ED560F">
        <w:rPr>
          <w:rFonts w:asciiTheme="majorBidi" w:hAnsiTheme="majorBidi" w:cstheme="majorBidi"/>
          <w:sz w:val="20"/>
          <w:szCs w:val="20"/>
        </w:rPr>
        <w:t>d</w:t>
      </w:r>
      <w:r w:rsidRPr="00ED560F">
        <w:rPr>
          <w:rFonts w:asciiTheme="majorBidi" w:hAnsiTheme="majorBidi" w:cstheme="majorBidi"/>
          <w:sz w:val="20"/>
          <w:szCs w:val="20"/>
        </w:rPr>
        <w:t xml:space="preserve">isease), ABL2 (ascending colon, Crohn’s </w:t>
      </w:r>
      <w:r w:rsidR="00ED560F">
        <w:rPr>
          <w:rFonts w:asciiTheme="majorBidi" w:hAnsiTheme="majorBidi" w:cstheme="majorBidi"/>
          <w:sz w:val="20"/>
          <w:szCs w:val="20"/>
        </w:rPr>
        <w:t>d</w:t>
      </w:r>
      <w:r w:rsidRPr="00ED560F">
        <w:rPr>
          <w:rFonts w:asciiTheme="majorBidi" w:hAnsiTheme="majorBidi" w:cstheme="majorBidi"/>
          <w:sz w:val="20"/>
          <w:szCs w:val="20"/>
        </w:rPr>
        <w:t xml:space="preserve">isease), MMP12 (ascending colon, </w:t>
      </w:r>
      <w:r w:rsidR="00ED560F">
        <w:rPr>
          <w:rFonts w:asciiTheme="majorBidi" w:hAnsiTheme="majorBidi" w:cstheme="majorBidi"/>
          <w:sz w:val="20"/>
          <w:szCs w:val="20"/>
        </w:rPr>
        <w:t>u</w:t>
      </w:r>
      <w:r w:rsidRPr="00ED560F">
        <w:rPr>
          <w:rFonts w:asciiTheme="majorBidi" w:hAnsiTheme="majorBidi" w:cstheme="majorBidi"/>
          <w:sz w:val="20"/>
          <w:szCs w:val="20"/>
        </w:rPr>
        <w:t xml:space="preserve">lcerative </w:t>
      </w:r>
      <w:r w:rsidR="00ED560F">
        <w:rPr>
          <w:rFonts w:asciiTheme="majorBidi" w:hAnsiTheme="majorBidi" w:cstheme="majorBidi"/>
          <w:sz w:val="20"/>
          <w:szCs w:val="20"/>
        </w:rPr>
        <w:t>c</w:t>
      </w:r>
      <w:r w:rsidRPr="00ED560F">
        <w:rPr>
          <w:rFonts w:asciiTheme="majorBidi" w:hAnsiTheme="majorBidi" w:cstheme="majorBidi"/>
          <w:sz w:val="20"/>
          <w:szCs w:val="20"/>
        </w:rPr>
        <w:t xml:space="preserve">olitis), MAPK10 (sigmoid colon, Crohn’s </w:t>
      </w:r>
      <w:r w:rsidR="00ED560F">
        <w:rPr>
          <w:rFonts w:asciiTheme="majorBidi" w:hAnsiTheme="majorBidi" w:cstheme="majorBidi"/>
          <w:sz w:val="20"/>
          <w:szCs w:val="20"/>
        </w:rPr>
        <w:t>d</w:t>
      </w:r>
      <w:r w:rsidRPr="00ED560F">
        <w:rPr>
          <w:rFonts w:asciiTheme="majorBidi" w:hAnsiTheme="majorBidi" w:cstheme="majorBidi"/>
          <w:sz w:val="20"/>
          <w:szCs w:val="20"/>
        </w:rPr>
        <w:t xml:space="preserve">isease), PDGFRA (sigmoid colon, </w:t>
      </w:r>
      <w:r w:rsidR="00ED560F">
        <w:rPr>
          <w:rFonts w:asciiTheme="majorBidi" w:hAnsiTheme="majorBidi" w:cstheme="majorBidi"/>
          <w:sz w:val="20"/>
          <w:szCs w:val="20"/>
        </w:rPr>
        <w:t>u</w:t>
      </w:r>
      <w:r w:rsidRPr="00ED560F">
        <w:rPr>
          <w:rFonts w:asciiTheme="majorBidi" w:hAnsiTheme="majorBidi" w:cstheme="majorBidi"/>
          <w:sz w:val="20"/>
          <w:szCs w:val="20"/>
        </w:rPr>
        <w:t xml:space="preserve">lcerative </w:t>
      </w:r>
      <w:r w:rsidR="00ED560F">
        <w:rPr>
          <w:rFonts w:asciiTheme="majorBidi" w:hAnsiTheme="majorBidi" w:cstheme="majorBidi"/>
          <w:sz w:val="20"/>
          <w:szCs w:val="20"/>
        </w:rPr>
        <w:t>c</w:t>
      </w:r>
      <w:r w:rsidRPr="00ED560F">
        <w:rPr>
          <w:rFonts w:asciiTheme="majorBidi" w:hAnsiTheme="majorBidi" w:cstheme="majorBidi"/>
          <w:sz w:val="20"/>
          <w:szCs w:val="20"/>
        </w:rPr>
        <w:t xml:space="preserve">olitis), ADAMTS4, MMP3 (terminal ileum, Crohn’s </w:t>
      </w:r>
      <w:r w:rsidR="00ED560F">
        <w:rPr>
          <w:rFonts w:asciiTheme="majorBidi" w:hAnsiTheme="majorBidi" w:cstheme="majorBidi"/>
          <w:sz w:val="20"/>
          <w:szCs w:val="20"/>
        </w:rPr>
        <w:t>d</w:t>
      </w:r>
      <w:r w:rsidRPr="00ED560F">
        <w:rPr>
          <w:rFonts w:asciiTheme="majorBidi" w:hAnsiTheme="majorBidi" w:cstheme="majorBidi"/>
          <w:sz w:val="20"/>
          <w:szCs w:val="20"/>
        </w:rPr>
        <w:t xml:space="preserve">isease), and NAMPT (terminal ileum, </w:t>
      </w:r>
      <w:r w:rsidR="00ED560F">
        <w:rPr>
          <w:rFonts w:asciiTheme="majorBidi" w:hAnsiTheme="majorBidi" w:cstheme="majorBidi"/>
          <w:sz w:val="20"/>
          <w:szCs w:val="20"/>
        </w:rPr>
        <w:t>u</w:t>
      </w:r>
      <w:r w:rsidRPr="00ED560F">
        <w:rPr>
          <w:rFonts w:asciiTheme="majorBidi" w:hAnsiTheme="majorBidi" w:cstheme="majorBidi"/>
          <w:sz w:val="20"/>
          <w:szCs w:val="20"/>
        </w:rPr>
        <w:t xml:space="preserve">lcerative </w:t>
      </w:r>
      <w:r w:rsidR="00ED560F">
        <w:rPr>
          <w:rFonts w:asciiTheme="majorBidi" w:hAnsiTheme="majorBidi" w:cstheme="majorBidi"/>
          <w:sz w:val="20"/>
          <w:szCs w:val="20"/>
        </w:rPr>
        <w:t>c</w:t>
      </w:r>
      <w:r w:rsidRPr="00ED560F">
        <w:rPr>
          <w:rFonts w:asciiTheme="majorBidi" w:hAnsiTheme="majorBidi" w:cstheme="majorBidi"/>
          <w:sz w:val="20"/>
          <w:szCs w:val="20"/>
        </w:rPr>
        <w:t>olitis).</w:t>
      </w:r>
    </w:p>
    <w:sectPr w:rsidR="004D6B58" w:rsidRPr="00570D5F">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2C1DF1" w14:textId="77777777" w:rsidR="001E560E" w:rsidRDefault="001E560E" w:rsidP="004D6B58">
      <w:pPr>
        <w:spacing w:after="0" w:line="240" w:lineRule="auto"/>
      </w:pPr>
      <w:r>
        <w:separator/>
      </w:r>
    </w:p>
  </w:endnote>
  <w:endnote w:type="continuationSeparator" w:id="0">
    <w:p w14:paraId="0B06003D" w14:textId="77777777" w:rsidR="001E560E" w:rsidRDefault="001E560E" w:rsidP="004D6B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7655570"/>
      <w:docPartObj>
        <w:docPartGallery w:val="Page Numbers (Bottom of Page)"/>
        <w:docPartUnique/>
      </w:docPartObj>
    </w:sdtPr>
    <w:sdtEndPr>
      <w:rPr>
        <w:noProof/>
      </w:rPr>
    </w:sdtEndPr>
    <w:sdtContent>
      <w:p w14:paraId="3CACB6C0" w14:textId="141D7AD4" w:rsidR="004D6B58" w:rsidRDefault="004D6B5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5C65CC4" w14:textId="77777777" w:rsidR="004D6B58" w:rsidRDefault="004D6B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B191D8" w14:textId="77777777" w:rsidR="001E560E" w:rsidRDefault="001E560E" w:rsidP="004D6B58">
      <w:pPr>
        <w:spacing w:after="0" w:line="240" w:lineRule="auto"/>
      </w:pPr>
      <w:r>
        <w:separator/>
      </w:r>
    </w:p>
  </w:footnote>
  <w:footnote w:type="continuationSeparator" w:id="0">
    <w:p w14:paraId="6A4AF980" w14:textId="77777777" w:rsidR="001E560E" w:rsidRDefault="001E560E" w:rsidP="004D6B5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5B0"/>
    <w:rsid w:val="000141DA"/>
    <w:rsid w:val="00056A4E"/>
    <w:rsid w:val="000F487E"/>
    <w:rsid w:val="001E560E"/>
    <w:rsid w:val="00432E33"/>
    <w:rsid w:val="004D6B58"/>
    <w:rsid w:val="00570D5F"/>
    <w:rsid w:val="0066116E"/>
    <w:rsid w:val="006C55B0"/>
    <w:rsid w:val="00752598"/>
    <w:rsid w:val="0083707A"/>
    <w:rsid w:val="008612C8"/>
    <w:rsid w:val="00985DA4"/>
    <w:rsid w:val="009A2BCB"/>
    <w:rsid w:val="00B75893"/>
    <w:rsid w:val="00E3445B"/>
    <w:rsid w:val="00ED560F"/>
    <w:rsid w:val="00FA4F9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835CC0"/>
  <w15:chartTrackingRefBased/>
  <w15:docId w15:val="{581064AF-D9D3-4F77-B401-619D61624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6B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D6B58"/>
  </w:style>
  <w:style w:type="paragraph" w:styleId="Footer">
    <w:name w:val="footer"/>
    <w:basedOn w:val="Normal"/>
    <w:link w:val="FooterChar"/>
    <w:uiPriority w:val="99"/>
    <w:unhideWhenUsed/>
    <w:rsid w:val="004D6B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6B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13" Type="http://schemas.openxmlformats.org/officeDocument/2006/relationships/image" Target="media/image8.tiff"/><Relationship Id="rId3" Type="http://schemas.openxmlformats.org/officeDocument/2006/relationships/webSettings" Target="webSettings.xml"/><Relationship Id="rId7" Type="http://schemas.openxmlformats.org/officeDocument/2006/relationships/image" Target="media/image2.tiff"/><Relationship Id="rId12" Type="http://schemas.openxmlformats.org/officeDocument/2006/relationships/image" Target="media/image7.tiff"/><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image" Target="media/image6.tiff"/><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5.tiff"/><Relationship Id="rId4" Type="http://schemas.openxmlformats.org/officeDocument/2006/relationships/footnotes" Target="footnotes.xml"/><Relationship Id="rId9" Type="http://schemas.openxmlformats.org/officeDocument/2006/relationships/image" Target="media/image4.tiff"/><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8</Pages>
  <Words>825</Words>
  <Characters>4708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BIOLOGY</dc:creator>
  <cp:keywords/>
  <dc:description/>
  <cp:lastModifiedBy>BIOLOGY</cp:lastModifiedBy>
  <cp:revision>13</cp:revision>
  <dcterms:created xsi:type="dcterms:W3CDTF">2025-11-06T10:51:00Z</dcterms:created>
  <dcterms:modified xsi:type="dcterms:W3CDTF">2026-03-17T12:16:00Z</dcterms:modified>
</cp:coreProperties>
</file>