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50FF1A"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</w:rPr>
        <w:t>Supplementary materials</w:t>
      </w:r>
    </w:p>
    <w:p w14:paraId="45A3364C">
      <w:pPr>
        <w:spacing w:line="360" w:lineRule="auto"/>
        <w:jc w:val="both"/>
        <w:rPr>
          <w:rFonts w:hint="default" w:ascii="Times New Roman" w:hAnsi="Times New Roman" w:eastAsia="等线" w:cs="Times New Roman"/>
          <w:b/>
          <w:bCs/>
          <w:sz w:val="30"/>
          <w:szCs w:val="30"/>
        </w:rPr>
      </w:pPr>
      <w:r>
        <w:rPr>
          <w:rFonts w:hint="default" w:ascii="Times New Roman" w:hAnsi="Times New Roman" w:eastAsia="等线" w:cs="Times New Roman"/>
          <w:b/>
          <w:bCs/>
          <w:sz w:val="30"/>
          <w:szCs w:val="30"/>
        </w:rPr>
        <w:t xml:space="preserve">Title: </w:t>
      </w:r>
      <w:bookmarkStart w:id="0" w:name="_Hlk214736207"/>
      <w:r>
        <w:rPr>
          <w:rFonts w:hint="default" w:ascii="Times New Roman" w:hAnsi="Times New Roman" w:eastAsia="宋体" w:cs="Times New Roman"/>
          <w:b w:val="0"/>
          <w:bCs w:val="0"/>
          <w:sz w:val="30"/>
          <w:szCs w:val="30"/>
        </w:rPr>
        <w:t>SNHG12 Drives Gastric Cancer Progression by Activating the Wnt/β-Catenin–Mediated Serine Synthesis Pathway</w:t>
      </w:r>
      <w:bookmarkEnd w:id="0"/>
    </w:p>
    <w:p w14:paraId="7183EDE5">
      <w:pPr>
        <w:spacing w:line="360" w:lineRule="auto"/>
        <w:rPr>
          <w:rFonts w:hint="default" w:ascii="Times New Roman" w:hAnsi="Times New Roman" w:eastAsia="等线" w:cs="Times New Roman"/>
          <w:sz w:val="30"/>
          <w:szCs w:val="30"/>
        </w:rPr>
      </w:pPr>
      <w:r>
        <w:rPr>
          <w:rFonts w:hint="default" w:ascii="Times New Roman" w:hAnsi="Times New Roman" w:eastAsia="等线" w:cs="Times New Roman"/>
          <w:b/>
          <w:bCs/>
          <w:sz w:val="30"/>
          <w:szCs w:val="30"/>
        </w:rPr>
        <w:t>Authors:</w:t>
      </w:r>
      <w:r>
        <w:rPr>
          <w:rFonts w:hint="default" w:ascii="Times New Roman" w:hAnsi="Times New Roman" w:eastAsia="等线" w:cs="Times New Roman"/>
          <w:sz w:val="30"/>
          <w:szCs w:val="30"/>
        </w:rPr>
        <w:t xml:space="preserve"> </w:t>
      </w:r>
      <w:r>
        <w:rPr>
          <w:rFonts w:hint="default" w:ascii="Times New Roman" w:hAnsi="Times New Roman" w:eastAsia="宋体" w:cs="Times New Roman"/>
          <w:sz w:val="30"/>
          <w:szCs w:val="30"/>
        </w:rPr>
        <w:t>Nianjie Zhang</w:t>
      </w:r>
      <w:r>
        <w:rPr>
          <w:rFonts w:hint="eastAsia" w:ascii="Times New Roman" w:hAnsi="Times New Roman" w:eastAsia="宋体" w:cs="Times New Roman"/>
          <w:sz w:val="30"/>
          <w:szCs w:val="30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30"/>
          <w:szCs w:val="30"/>
        </w:rPr>
        <w:t>, Taolang Li</w:t>
      </w:r>
      <w:r>
        <w:rPr>
          <w:rFonts w:hint="eastAsia" w:ascii="Times New Roman" w:hAnsi="Times New Roman" w:eastAsia="宋体" w:cs="Times New Roman"/>
          <w:sz w:val="30"/>
          <w:szCs w:val="30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30"/>
          <w:szCs w:val="30"/>
        </w:rPr>
        <w:t>, Kunming Wen</w:t>
      </w:r>
      <w:r>
        <w:rPr>
          <w:rFonts w:hint="eastAsia" w:ascii="Times New Roman" w:hAnsi="Times New Roman" w:eastAsia="宋体" w:cs="Times New Roman"/>
          <w:sz w:val="30"/>
          <w:szCs w:val="30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✉</w:t>
      </w:r>
    </w:p>
    <w:p w14:paraId="46B0B4B0">
      <w:pPr>
        <w:rPr>
          <w:rFonts w:hint="default" w:ascii="Times New Roman" w:hAnsi="Times New Roman" w:eastAsia="等线" w:cs="Times New Roman"/>
          <w:b/>
          <w:bCs/>
          <w:color w:val="000000"/>
          <w:sz w:val="30"/>
          <w:szCs w:val="30"/>
        </w:rPr>
      </w:pPr>
      <w:r>
        <w:rPr>
          <w:rFonts w:hint="default" w:ascii="Times New Roman" w:hAnsi="Times New Roman" w:eastAsia="等线" w:cs="Times New Roman"/>
          <w:b/>
          <w:bCs/>
          <w:color w:val="000000"/>
          <w:sz w:val="30"/>
          <w:szCs w:val="30"/>
        </w:rPr>
        <w:t xml:space="preserve">Author affiliations: </w:t>
      </w:r>
    </w:p>
    <w:p w14:paraId="09995410">
      <w:pPr>
        <w:numPr>
          <w:ilvl w:val="0"/>
          <w:numId w:val="1"/>
        </w:numPr>
        <w:spacing w:line="360" w:lineRule="auto"/>
        <w:rPr>
          <w:rFonts w:hint="default" w:ascii="Times New Roman" w:hAnsi="Times New Roman" w:eastAsia="宋体" w:cs="Times New Roman"/>
          <w:sz w:val="30"/>
          <w:szCs w:val="30"/>
        </w:rPr>
      </w:pPr>
      <w:r>
        <w:rPr>
          <w:rFonts w:hint="default" w:ascii="Times New Roman" w:hAnsi="Times New Roman" w:eastAsia="宋体" w:cs="Times New Roman"/>
          <w:sz w:val="30"/>
          <w:szCs w:val="30"/>
        </w:rPr>
        <w:t>Department of Gastrointestinal Surgery, Second Affiliated Hospital of Zunyi Medical University, Zunyi, Guizhou 563000, China</w:t>
      </w:r>
    </w:p>
    <w:p w14:paraId="290D52C3">
      <w:pPr>
        <w:numPr>
          <w:ilvl w:val="0"/>
          <w:numId w:val="0"/>
        </w:numPr>
        <w:spacing w:line="360" w:lineRule="auto"/>
        <w:ind w:left="0" w:leftChars="0" w:firstLine="0" w:firstLineChars="0"/>
        <w:rPr>
          <w:rFonts w:hint="default" w:ascii="Times New Roman" w:hAnsi="Times New Roman" w:eastAsia="宋体" w:cs="Times New Roman"/>
          <w:b w:val="0"/>
          <w:bCs w:val="0"/>
          <w:sz w:val="30"/>
          <w:szCs w:val="30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30"/>
          <w:szCs w:val="30"/>
          <w:lang w:val="en-US" w:eastAsia="zh-CN" w:bidi="ar-SA"/>
          <w14:ligatures w14:val="standardContextual"/>
        </w:rPr>
        <w:t>2.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30"/>
          <w:szCs w:val="30"/>
          <w:lang w:val="en-US" w:eastAsia="zh-CN" w:bidi="ar-SA"/>
          <w14:ligatures w14:val="standardContextual"/>
        </w:rPr>
        <w:t xml:space="preserve"> </w:t>
      </w:r>
      <w:r>
        <w:rPr>
          <w:rFonts w:hint="default" w:ascii="Times New Roman" w:hAnsi="Times New Roman" w:eastAsia="宋体" w:cs="Times New Roman"/>
          <w:sz w:val="30"/>
          <w:szCs w:val="30"/>
        </w:rPr>
        <w:t xml:space="preserve">Department of Thyroid and Breast Surgery, Affiliated Hospital of </w:t>
      </w:r>
      <w:r>
        <w:rPr>
          <w:rFonts w:hint="default" w:ascii="Times New Roman" w:hAnsi="Times New Roman" w:eastAsia="宋体" w:cs="Times New Roman"/>
          <w:b w:val="0"/>
          <w:bCs w:val="0"/>
          <w:sz w:val="30"/>
          <w:szCs w:val="30"/>
        </w:rPr>
        <w:t>Zunyi Medical University, Zunyi, Guizhou 563000, China</w:t>
      </w:r>
    </w:p>
    <w:p w14:paraId="55AB5764">
      <w:pPr>
        <w:numPr>
          <w:ilvl w:val="0"/>
          <w:numId w:val="0"/>
        </w:numPr>
        <w:spacing w:line="360" w:lineRule="auto"/>
        <w:ind w:left="0" w:leftChars="0" w:firstLine="0" w:firstLineChars="0"/>
        <w:rPr>
          <w:rFonts w:hint="default" w:ascii="Times New Roman" w:hAnsi="Times New Roman" w:eastAsia="等线" w:cs="Times New Roman"/>
          <w:b/>
          <w:bCs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 w:val="0"/>
          <w:bCs w:val="0"/>
          <w:sz w:val="30"/>
          <w:szCs w:val="30"/>
          <w:lang w:val="en-US" w:eastAsia="zh-CN"/>
        </w:rPr>
        <w:t xml:space="preserve">3. </w:t>
      </w:r>
      <w:r>
        <w:rPr>
          <w:rFonts w:hint="default" w:ascii="Times New Roman" w:hAnsi="Times New Roman" w:eastAsia="宋体" w:cs="Times New Roman"/>
          <w:b w:val="0"/>
          <w:bCs w:val="0"/>
          <w:sz w:val="30"/>
          <w:szCs w:val="30"/>
        </w:rPr>
        <w:t>Depar</w:t>
      </w:r>
      <w:r>
        <w:rPr>
          <w:rFonts w:hint="default" w:ascii="Times New Roman" w:hAnsi="Times New Roman" w:eastAsia="宋体" w:cs="Times New Roman"/>
          <w:sz w:val="30"/>
          <w:szCs w:val="30"/>
        </w:rPr>
        <w:t xml:space="preserve">tment of Gastrointestinal Surgery, Zunyi First People’s Hospital </w:t>
      </w:r>
      <w:r>
        <w:rPr>
          <w:rFonts w:hint="eastAsia" w:ascii="Times New Roman" w:hAnsi="Times New Roman" w:eastAsia="宋体" w:cs="Times New Roman"/>
          <w:sz w:val="30"/>
          <w:szCs w:val="30"/>
          <w:lang w:val="en-US" w:eastAsia="zh-CN"/>
        </w:rPr>
        <w:t>/</w:t>
      </w:r>
      <w:r>
        <w:rPr>
          <w:rFonts w:hint="default" w:ascii="Times New Roman" w:hAnsi="Times New Roman" w:eastAsia="宋体" w:cs="Times New Roman"/>
          <w:sz w:val="30"/>
          <w:szCs w:val="30"/>
        </w:rPr>
        <w:t xml:space="preserve"> Third Affiliated Hospital of Zunyi Medical University, Zunyi, Guizhou 563000, China</w:t>
      </w:r>
    </w:p>
    <w:p w14:paraId="38D17C5C">
      <w:pPr>
        <w:numPr>
          <w:ilvl w:val="0"/>
          <w:numId w:val="0"/>
        </w:numPr>
        <w:spacing w:line="360" w:lineRule="auto"/>
        <w:ind w:leftChars="0"/>
        <w:rPr>
          <w:rFonts w:hint="default" w:ascii="Times New Roman" w:hAnsi="Times New Roman" w:eastAsia="等线" w:cs="Times New Roman"/>
          <w:b/>
          <w:bCs/>
          <w:color w:val="000000"/>
          <w:sz w:val="30"/>
          <w:szCs w:val="30"/>
        </w:rPr>
      </w:pPr>
      <w:r>
        <w:rPr>
          <w:rFonts w:hint="default" w:ascii="Times New Roman" w:hAnsi="Times New Roman" w:eastAsia="等线" w:cs="Times New Roman"/>
          <w:b/>
          <w:bCs/>
          <w:color w:val="000000"/>
          <w:sz w:val="30"/>
          <w:szCs w:val="30"/>
        </w:rPr>
        <w:t>*Corresponding author:</w:t>
      </w:r>
      <w:r>
        <w:rPr>
          <w:rFonts w:hint="default" w:ascii="Times New Roman" w:hAnsi="Times New Roman" w:eastAsia="宋体" w:cs="Times New Roman"/>
          <w:sz w:val="30"/>
          <w:szCs w:val="30"/>
        </w:rPr>
        <w:t>Kunming Wen (email: 381224619@qq.com)</w:t>
      </w:r>
      <w:r>
        <w:rPr>
          <w:rFonts w:hint="eastAsia" w:ascii="Times New Roman" w:hAnsi="Times New Roman" w:eastAsia="宋体" w:cs="Times New Roman"/>
          <w:sz w:val="30"/>
          <w:szCs w:val="30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30"/>
          <w:szCs w:val="30"/>
        </w:rPr>
        <w:t xml:space="preserve">Department of Gastrointestinal Surgery, Zunyi First People’s Hospital </w:t>
      </w:r>
      <w:r>
        <w:rPr>
          <w:rFonts w:hint="eastAsia" w:ascii="Times New Roman" w:hAnsi="Times New Roman" w:eastAsia="宋体" w:cs="Times New Roman"/>
          <w:sz w:val="30"/>
          <w:szCs w:val="30"/>
          <w:lang w:val="en-US" w:eastAsia="zh-CN"/>
        </w:rPr>
        <w:t>/</w:t>
      </w:r>
      <w:r>
        <w:rPr>
          <w:rFonts w:hint="default" w:ascii="Times New Roman" w:hAnsi="Times New Roman" w:eastAsia="宋体" w:cs="Times New Roman"/>
          <w:sz w:val="30"/>
          <w:szCs w:val="30"/>
        </w:rPr>
        <w:t xml:space="preserve"> Third Affiliated Hospital of Zunyi Medical University, Zunyi, Guizhou 563000, China</w:t>
      </w:r>
      <w:r>
        <w:rPr>
          <w:rFonts w:hint="eastAsia" w:ascii="Times New Roman" w:hAnsi="Times New Roman" w:eastAsia="宋体" w:cs="Times New Roman"/>
          <w:sz w:val="30"/>
          <w:szCs w:val="30"/>
          <w:lang w:val="en-US" w:eastAsia="zh-CN"/>
        </w:rPr>
        <w:t>.</w:t>
      </w:r>
    </w:p>
    <w:p w14:paraId="7FDA1CF6">
      <w:pPr>
        <w:spacing w:line="360" w:lineRule="auto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</w:p>
    <w:p w14:paraId="4C18470F">
      <w:pPr>
        <w:rPr>
          <w:rFonts w:hint="default" w:ascii="Times New Roman" w:hAnsi="Times New Roman" w:eastAsia="等线" w:cs="Times New Roman"/>
          <w:color w:val="000000"/>
          <w:sz w:val="30"/>
          <w:szCs w:val="30"/>
        </w:rPr>
      </w:pPr>
    </w:p>
    <w:p w14:paraId="66D241E6">
      <w:pPr>
        <w:spacing w:before="120" w:after="120"/>
        <w:jc w:val="center"/>
        <w:rPr>
          <w:rFonts w:hint="eastAsia" w:ascii="Times New Roman" w:hAnsi="Times New Roman" w:eastAsia="宋体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3E8E253F">
      <w:pPr>
        <w:spacing w:before="120" w:after="120"/>
        <w:jc w:val="center"/>
        <w:rPr>
          <w:rFonts w:hint="eastAsia" w:ascii="Times New Roman" w:hAnsi="Times New Roman" w:eastAsia="宋体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3CCBC03A">
      <w:pPr>
        <w:spacing w:before="120" w:after="120"/>
        <w:jc w:val="center"/>
        <w:rPr>
          <w:rFonts w:hint="eastAsia" w:ascii="Times New Roman" w:hAnsi="Times New Roman" w:eastAsia="宋体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40B731CE">
      <w:pPr>
        <w:spacing w:before="120" w:after="120"/>
        <w:jc w:val="center"/>
        <w:rPr>
          <w:rFonts w:hint="eastAsia" w:ascii="Times New Roman" w:hAnsi="Times New Roman" w:eastAsia="宋体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28D0C56A">
      <w:pPr>
        <w:spacing w:before="120" w:after="120"/>
        <w:jc w:val="center"/>
        <w:rPr>
          <w:rFonts w:hint="eastAsia" w:ascii="Times New Roman" w:hAnsi="Times New Roman" w:eastAsia="宋体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45B62922">
      <w:pPr>
        <w:spacing w:before="120" w:after="120"/>
        <w:jc w:val="center"/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Table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. S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　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si 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Primer sequence</w:t>
      </w:r>
    </w:p>
    <w:tbl>
      <w:tblPr>
        <w:tblStyle w:val="4"/>
        <w:tblW w:w="0" w:type="auto"/>
        <w:tblInd w:w="0" w:type="dxa"/>
        <w:tblBorders>
          <w:top w:val="single" w:color="auto" w:sz="18" w:space="0"/>
          <w:left w:val="none" w:color="auto" w:sz="0" w:space="0"/>
          <w:bottom w:val="single" w:color="auto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2"/>
        <w:gridCol w:w="2918"/>
        <w:gridCol w:w="3353"/>
      </w:tblGrid>
      <w:tr w14:paraId="4FA1A26B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2" w:type="dxa"/>
            <w:tcBorders>
              <w:top w:val="single" w:color="auto" w:sz="12" w:space="0"/>
              <w:bottom w:val="single" w:color="auto" w:sz="12" w:space="0"/>
            </w:tcBorders>
          </w:tcPr>
          <w:p w14:paraId="649FF7A7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Primer Name</w:t>
            </w:r>
          </w:p>
        </w:tc>
        <w:tc>
          <w:tcPr>
            <w:tcW w:w="2918" w:type="dxa"/>
            <w:tcBorders>
              <w:top w:val="single" w:color="auto" w:sz="12" w:space="0"/>
              <w:bottom w:val="single" w:color="auto" w:sz="12" w:space="0"/>
            </w:tcBorders>
          </w:tcPr>
          <w:p w14:paraId="152F27DD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Upstream/Downstream Primer</w:t>
            </w:r>
          </w:p>
        </w:tc>
        <w:tc>
          <w:tcPr>
            <w:tcW w:w="3353" w:type="dxa"/>
            <w:tcBorders>
              <w:top w:val="single" w:color="auto" w:sz="12" w:space="0"/>
              <w:bottom w:val="single" w:color="auto" w:sz="12" w:space="0"/>
            </w:tcBorders>
          </w:tcPr>
          <w:p w14:paraId="7CCFC7D0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Primer Sequence (5’-3’)</w:t>
            </w:r>
          </w:p>
        </w:tc>
      </w:tr>
      <w:tr w14:paraId="7F177EF0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2" w:type="dxa"/>
            <w:vMerge w:val="restart"/>
            <w:tcBorders>
              <w:top w:val="single" w:color="auto" w:sz="12" w:space="0"/>
              <w:bottom w:val="nil"/>
            </w:tcBorders>
            <w:vAlign w:val="center"/>
          </w:tcPr>
          <w:p w14:paraId="40E70F0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SNHG12-560</w:t>
            </w:r>
          </w:p>
        </w:tc>
        <w:tc>
          <w:tcPr>
            <w:tcW w:w="2918" w:type="dxa"/>
            <w:tcBorders>
              <w:top w:val="single" w:color="auto" w:sz="12" w:space="0"/>
              <w:bottom w:val="nil"/>
            </w:tcBorders>
            <w:vAlign w:val="top"/>
          </w:tcPr>
          <w:p w14:paraId="57D2BF7E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Forward primer (5′–3′)</w:t>
            </w:r>
          </w:p>
        </w:tc>
        <w:tc>
          <w:tcPr>
            <w:tcW w:w="3353" w:type="dxa"/>
            <w:tcBorders>
              <w:top w:val="single" w:color="auto" w:sz="12" w:space="0"/>
              <w:bottom w:val="nil"/>
            </w:tcBorders>
          </w:tcPr>
          <w:p w14:paraId="14A50AF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GAUUCAUGUUACAUGUAAATT</w:t>
            </w:r>
          </w:p>
        </w:tc>
      </w:tr>
      <w:tr w14:paraId="49FD4CD0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2" w:type="dxa"/>
            <w:vMerge w:val="continue"/>
            <w:tcBorders>
              <w:top w:val="nil"/>
              <w:bottom w:val="nil"/>
            </w:tcBorders>
          </w:tcPr>
          <w:p w14:paraId="087E9BF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18" w:type="dxa"/>
            <w:tcBorders>
              <w:top w:val="nil"/>
              <w:bottom w:val="nil"/>
            </w:tcBorders>
            <w:vAlign w:val="top"/>
          </w:tcPr>
          <w:p w14:paraId="7E46DD22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Reverse primer (5′–3′)</w:t>
            </w:r>
          </w:p>
        </w:tc>
        <w:tc>
          <w:tcPr>
            <w:tcW w:w="3353" w:type="dxa"/>
            <w:tcBorders>
              <w:top w:val="nil"/>
              <w:bottom w:val="nil"/>
            </w:tcBorders>
          </w:tcPr>
          <w:p w14:paraId="31FCCE5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UUUACAUGUAACAUGAAUCTT</w:t>
            </w:r>
          </w:p>
        </w:tc>
      </w:tr>
      <w:tr w14:paraId="1CB7B9FE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2" w:type="dxa"/>
            <w:vMerge w:val="restart"/>
            <w:tcBorders>
              <w:top w:val="nil"/>
              <w:bottom w:val="nil"/>
            </w:tcBorders>
            <w:vAlign w:val="center"/>
          </w:tcPr>
          <w:p w14:paraId="4A43540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SNHG12-360</w:t>
            </w:r>
          </w:p>
        </w:tc>
        <w:tc>
          <w:tcPr>
            <w:tcW w:w="2918" w:type="dxa"/>
            <w:tcBorders>
              <w:top w:val="nil"/>
              <w:bottom w:val="nil"/>
            </w:tcBorders>
            <w:vAlign w:val="top"/>
          </w:tcPr>
          <w:p w14:paraId="75B3DC5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Forward primer (5′–3′)</w:t>
            </w:r>
          </w:p>
        </w:tc>
        <w:tc>
          <w:tcPr>
            <w:tcW w:w="3353" w:type="dxa"/>
            <w:tcBorders>
              <w:top w:val="nil"/>
              <w:bottom w:val="nil"/>
            </w:tcBorders>
          </w:tcPr>
          <w:p w14:paraId="786C50B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GGAUGACUGACUUAGUCUATT </w:t>
            </w:r>
          </w:p>
        </w:tc>
      </w:tr>
      <w:tr w14:paraId="01E81F8A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2" w:type="dxa"/>
            <w:vMerge w:val="continue"/>
            <w:tcBorders>
              <w:top w:val="nil"/>
              <w:bottom w:val="nil"/>
            </w:tcBorders>
            <w:vAlign w:val="center"/>
          </w:tcPr>
          <w:p w14:paraId="1F1AC42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18" w:type="dxa"/>
            <w:tcBorders>
              <w:top w:val="nil"/>
              <w:bottom w:val="nil"/>
            </w:tcBorders>
            <w:vAlign w:val="top"/>
          </w:tcPr>
          <w:p w14:paraId="5B896E0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Reverse primer (5′–3′)</w:t>
            </w:r>
          </w:p>
        </w:tc>
        <w:tc>
          <w:tcPr>
            <w:tcW w:w="3353" w:type="dxa"/>
            <w:tcBorders>
              <w:top w:val="nil"/>
              <w:bottom w:val="nil"/>
            </w:tcBorders>
          </w:tcPr>
          <w:p w14:paraId="201AC6B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UAGACUAAGUCAGUCAUCCTT</w:t>
            </w:r>
          </w:p>
        </w:tc>
      </w:tr>
      <w:tr w14:paraId="0B0435FA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2" w:type="dxa"/>
            <w:vMerge w:val="restart"/>
            <w:tcBorders>
              <w:top w:val="nil"/>
              <w:bottom w:val="nil"/>
            </w:tcBorders>
            <w:vAlign w:val="center"/>
          </w:tcPr>
          <w:p w14:paraId="4E616AC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SNHG12-712</w:t>
            </w:r>
          </w:p>
        </w:tc>
        <w:tc>
          <w:tcPr>
            <w:tcW w:w="2918" w:type="dxa"/>
            <w:tcBorders>
              <w:top w:val="nil"/>
              <w:bottom w:val="nil"/>
            </w:tcBorders>
            <w:vAlign w:val="top"/>
          </w:tcPr>
          <w:p w14:paraId="3D2A445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Forward primer (5′–3′)</w:t>
            </w:r>
          </w:p>
        </w:tc>
        <w:tc>
          <w:tcPr>
            <w:tcW w:w="3353" w:type="dxa"/>
            <w:tcBorders>
              <w:top w:val="nil"/>
              <w:bottom w:val="nil"/>
            </w:tcBorders>
          </w:tcPr>
          <w:p w14:paraId="393A2E4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CUUCAGAGGUGAUCAAUAATT</w:t>
            </w:r>
          </w:p>
        </w:tc>
      </w:tr>
      <w:tr w14:paraId="0B14785B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2" w:type="dxa"/>
            <w:vMerge w:val="continue"/>
            <w:tcBorders>
              <w:top w:val="nil"/>
              <w:bottom w:val="nil"/>
            </w:tcBorders>
            <w:vAlign w:val="center"/>
          </w:tcPr>
          <w:p w14:paraId="1FD254E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18" w:type="dxa"/>
            <w:tcBorders>
              <w:top w:val="nil"/>
              <w:bottom w:val="nil"/>
            </w:tcBorders>
            <w:vAlign w:val="top"/>
          </w:tcPr>
          <w:p w14:paraId="778C900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Reverse primer (5′–3′)</w:t>
            </w:r>
          </w:p>
        </w:tc>
        <w:tc>
          <w:tcPr>
            <w:tcW w:w="3353" w:type="dxa"/>
            <w:tcBorders>
              <w:top w:val="nil"/>
              <w:bottom w:val="nil"/>
            </w:tcBorders>
          </w:tcPr>
          <w:p w14:paraId="3BE0B10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UUAUUGAUCACCUCUGAAGTT </w:t>
            </w:r>
          </w:p>
        </w:tc>
      </w:tr>
      <w:tr w14:paraId="0FCB1ED5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2" w:type="dxa"/>
            <w:vMerge w:val="restart"/>
            <w:tcBorders>
              <w:top w:val="nil"/>
              <w:bottom w:val="nil"/>
            </w:tcBorders>
            <w:vAlign w:val="center"/>
          </w:tcPr>
          <w:p w14:paraId="2FFE097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NC</w:t>
            </w:r>
          </w:p>
        </w:tc>
        <w:tc>
          <w:tcPr>
            <w:tcW w:w="2918" w:type="dxa"/>
            <w:tcBorders>
              <w:top w:val="nil"/>
              <w:bottom w:val="nil"/>
            </w:tcBorders>
            <w:vAlign w:val="top"/>
          </w:tcPr>
          <w:p w14:paraId="06298FF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Forward primer (5′–3′)</w:t>
            </w:r>
          </w:p>
        </w:tc>
        <w:tc>
          <w:tcPr>
            <w:tcW w:w="3353" w:type="dxa"/>
            <w:tcBorders>
              <w:top w:val="nil"/>
              <w:bottom w:val="nil"/>
            </w:tcBorders>
          </w:tcPr>
          <w:p w14:paraId="3A76A3E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UUCUCCGAACGUGUCACGUTT</w:t>
            </w:r>
          </w:p>
        </w:tc>
      </w:tr>
      <w:tr w14:paraId="455735B4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2" w:type="dxa"/>
            <w:vMerge w:val="continue"/>
            <w:tcBorders>
              <w:top w:val="nil"/>
              <w:bottom w:val="single" w:color="auto" w:sz="12" w:space="0"/>
            </w:tcBorders>
            <w:vAlign w:val="center"/>
          </w:tcPr>
          <w:p w14:paraId="142D086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18" w:type="dxa"/>
            <w:tcBorders>
              <w:top w:val="nil"/>
              <w:bottom w:val="single" w:color="auto" w:sz="12" w:space="0"/>
            </w:tcBorders>
            <w:vAlign w:val="top"/>
          </w:tcPr>
          <w:p w14:paraId="75E28E1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Reverse primer (5′–3′)</w:t>
            </w:r>
          </w:p>
        </w:tc>
        <w:tc>
          <w:tcPr>
            <w:tcW w:w="3353" w:type="dxa"/>
            <w:tcBorders>
              <w:top w:val="nil"/>
              <w:bottom w:val="single" w:color="auto" w:sz="12" w:space="0"/>
            </w:tcBorders>
          </w:tcPr>
          <w:p w14:paraId="51810B1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ACGUGACACGUUCGGAGAATT</w:t>
            </w:r>
          </w:p>
        </w:tc>
      </w:tr>
    </w:tbl>
    <w:p w14:paraId="0CD544F2"/>
    <w:p w14:paraId="6B2A6D9B"/>
    <w:p w14:paraId="6A6444E9"/>
    <w:p w14:paraId="6FAEB04F"/>
    <w:p w14:paraId="7EA14CC3"/>
    <w:p w14:paraId="709B1AE4"/>
    <w:p w14:paraId="3D98F2BB"/>
    <w:p w14:paraId="082C9EBA"/>
    <w:p w14:paraId="209F1F23"/>
    <w:p w14:paraId="3DBA7FAE"/>
    <w:p w14:paraId="7771742E"/>
    <w:p w14:paraId="2B575399"/>
    <w:p w14:paraId="14BBA118"/>
    <w:p w14:paraId="7BB0EBD8"/>
    <w:p w14:paraId="50068798"/>
    <w:p w14:paraId="6340D854"/>
    <w:p w14:paraId="06FAB496"/>
    <w:p w14:paraId="65B653F9"/>
    <w:p w14:paraId="53E4C4D8"/>
    <w:p w14:paraId="473C3BA5"/>
    <w:p w14:paraId="4CD3ED55"/>
    <w:p w14:paraId="51E0772E"/>
    <w:p w14:paraId="704D3A5E"/>
    <w:p w14:paraId="4F38932E"/>
    <w:p w14:paraId="69B8A1E0"/>
    <w:p w14:paraId="7963C4E4"/>
    <w:p w14:paraId="1EB53F6B"/>
    <w:p w14:paraId="3F80B2A9"/>
    <w:p w14:paraId="7E6B33E3"/>
    <w:p w14:paraId="363B80B8">
      <w:pPr>
        <w:spacing w:before="120" w:after="120"/>
        <w:jc w:val="center"/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Table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. S2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　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RT-qPCR 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Primer sequence</w:t>
      </w:r>
    </w:p>
    <w:tbl>
      <w:tblPr>
        <w:tblStyle w:val="4"/>
        <w:tblW w:w="0" w:type="auto"/>
        <w:jc w:val="center"/>
        <w:tblBorders>
          <w:top w:val="single" w:color="auto" w:sz="18" w:space="0"/>
          <w:left w:val="none" w:color="auto" w:sz="0" w:space="0"/>
          <w:bottom w:val="single" w:color="auto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7"/>
        <w:gridCol w:w="2805"/>
        <w:gridCol w:w="3661"/>
      </w:tblGrid>
      <w:tr w14:paraId="637CB28B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tcBorders>
              <w:top w:val="single" w:color="auto" w:sz="12" w:space="0"/>
              <w:bottom w:val="single" w:color="auto" w:sz="6" w:space="0"/>
            </w:tcBorders>
            <w:vAlign w:val="top"/>
          </w:tcPr>
          <w:p w14:paraId="1E8C5AF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Primer Name</w:t>
            </w:r>
          </w:p>
        </w:tc>
        <w:tc>
          <w:tcPr>
            <w:tcW w:w="2805" w:type="dxa"/>
            <w:tcBorders>
              <w:top w:val="single" w:color="auto" w:sz="12" w:space="0"/>
              <w:bottom w:val="single" w:color="auto" w:sz="6" w:space="0"/>
            </w:tcBorders>
            <w:vAlign w:val="top"/>
          </w:tcPr>
          <w:p w14:paraId="5F7C72C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Upstream/Downstream Primer</w:t>
            </w:r>
          </w:p>
        </w:tc>
        <w:tc>
          <w:tcPr>
            <w:tcW w:w="3661" w:type="dxa"/>
            <w:tcBorders>
              <w:top w:val="single" w:color="auto" w:sz="12" w:space="0"/>
              <w:bottom w:val="single" w:color="auto" w:sz="6" w:space="0"/>
            </w:tcBorders>
            <w:vAlign w:val="top"/>
          </w:tcPr>
          <w:p w14:paraId="4B6DF32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Primer Sequence (5’-3’)</w:t>
            </w:r>
          </w:p>
        </w:tc>
      </w:tr>
      <w:tr w14:paraId="77521A25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vMerge w:val="restart"/>
            <w:tcBorders>
              <w:top w:val="single" w:color="auto" w:sz="6" w:space="0"/>
            </w:tcBorders>
            <w:vAlign w:val="center"/>
          </w:tcPr>
          <w:p w14:paraId="737D89D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GAPDH</w:t>
            </w:r>
          </w:p>
        </w:tc>
        <w:tc>
          <w:tcPr>
            <w:tcW w:w="2805" w:type="dxa"/>
            <w:tcBorders>
              <w:top w:val="single" w:color="auto" w:sz="6" w:space="0"/>
              <w:bottom w:val="nil"/>
            </w:tcBorders>
            <w:vAlign w:val="top"/>
          </w:tcPr>
          <w:p w14:paraId="30E8FF79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Forward primer (5′–3′)</w:t>
            </w:r>
          </w:p>
        </w:tc>
        <w:tc>
          <w:tcPr>
            <w:tcW w:w="3661" w:type="dxa"/>
            <w:tcBorders>
              <w:top w:val="single" w:color="auto" w:sz="6" w:space="0"/>
              <w:bottom w:val="nil"/>
            </w:tcBorders>
            <w:vAlign w:val="bottom"/>
          </w:tcPr>
          <w:p w14:paraId="5C6A7E61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TGTTGCCATCAATGACCCCTT</w:t>
            </w:r>
          </w:p>
        </w:tc>
      </w:tr>
      <w:tr w14:paraId="7FAA2276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vMerge w:val="continue"/>
            <w:tcBorders>
              <w:bottom w:val="nil"/>
            </w:tcBorders>
          </w:tcPr>
          <w:p w14:paraId="20691ED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05" w:type="dxa"/>
            <w:tcBorders>
              <w:top w:val="nil"/>
              <w:bottom w:val="nil"/>
            </w:tcBorders>
            <w:vAlign w:val="top"/>
          </w:tcPr>
          <w:p w14:paraId="114DCA39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Reverse primer (5′–3′)</w:t>
            </w:r>
          </w:p>
        </w:tc>
        <w:tc>
          <w:tcPr>
            <w:tcW w:w="3661" w:type="dxa"/>
            <w:tcBorders>
              <w:top w:val="nil"/>
              <w:bottom w:val="nil"/>
            </w:tcBorders>
            <w:vAlign w:val="bottom"/>
          </w:tcPr>
          <w:p w14:paraId="11706AF7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CTCCACGACGTACTCAGCG</w:t>
            </w:r>
          </w:p>
        </w:tc>
      </w:tr>
      <w:tr w14:paraId="48164F8D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vMerge w:val="restart"/>
            <w:tcBorders>
              <w:top w:val="nil"/>
            </w:tcBorders>
            <w:vAlign w:val="center"/>
          </w:tcPr>
          <w:p w14:paraId="5720E1A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PHGDH</w:t>
            </w:r>
          </w:p>
        </w:tc>
        <w:tc>
          <w:tcPr>
            <w:tcW w:w="2805" w:type="dxa"/>
            <w:tcBorders>
              <w:top w:val="nil"/>
              <w:bottom w:val="nil"/>
            </w:tcBorders>
            <w:vAlign w:val="top"/>
          </w:tcPr>
          <w:p w14:paraId="46B50E6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Forward primer (5′–3′)</w:t>
            </w:r>
          </w:p>
        </w:tc>
        <w:tc>
          <w:tcPr>
            <w:tcW w:w="3661" w:type="dxa"/>
            <w:tcBorders>
              <w:top w:val="nil"/>
              <w:bottom w:val="nil"/>
            </w:tcBorders>
            <w:vAlign w:val="bottom"/>
          </w:tcPr>
          <w:p w14:paraId="0430174C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AGAAGCTCTGGGGACACTGA</w:t>
            </w:r>
          </w:p>
        </w:tc>
      </w:tr>
      <w:tr w14:paraId="3BC1649A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vMerge w:val="continue"/>
            <w:tcBorders>
              <w:bottom w:val="nil"/>
            </w:tcBorders>
            <w:vAlign w:val="center"/>
          </w:tcPr>
          <w:p w14:paraId="43FDC3C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05" w:type="dxa"/>
            <w:tcBorders>
              <w:top w:val="nil"/>
              <w:bottom w:val="nil"/>
            </w:tcBorders>
            <w:vAlign w:val="top"/>
          </w:tcPr>
          <w:p w14:paraId="6EAA87F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Reverse primer (5′–3′)</w:t>
            </w:r>
          </w:p>
        </w:tc>
        <w:tc>
          <w:tcPr>
            <w:tcW w:w="3661" w:type="dxa"/>
            <w:tcBorders>
              <w:top w:val="nil"/>
              <w:bottom w:val="nil"/>
            </w:tcBorders>
            <w:vAlign w:val="bottom"/>
          </w:tcPr>
          <w:p w14:paraId="5A8648C9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CCAGCATTCTTCAGGGATGT</w:t>
            </w:r>
          </w:p>
        </w:tc>
      </w:tr>
      <w:tr w14:paraId="4DE2576B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vMerge w:val="restart"/>
            <w:tcBorders>
              <w:top w:val="nil"/>
            </w:tcBorders>
            <w:vAlign w:val="center"/>
          </w:tcPr>
          <w:p w14:paraId="68D8EEE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PSAT1</w:t>
            </w:r>
          </w:p>
        </w:tc>
        <w:tc>
          <w:tcPr>
            <w:tcW w:w="2805" w:type="dxa"/>
            <w:tcBorders>
              <w:top w:val="nil"/>
              <w:bottom w:val="nil"/>
            </w:tcBorders>
            <w:vAlign w:val="top"/>
          </w:tcPr>
          <w:p w14:paraId="27D6428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Forward primer (5′–3′)</w:t>
            </w:r>
          </w:p>
        </w:tc>
        <w:tc>
          <w:tcPr>
            <w:tcW w:w="3661" w:type="dxa"/>
            <w:tcBorders>
              <w:top w:val="nil"/>
              <w:bottom w:val="nil"/>
            </w:tcBorders>
            <w:vAlign w:val="bottom"/>
          </w:tcPr>
          <w:p w14:paraId="5FCB9A79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ACTTCCTGTCCAAGCCAGTGGA</w:t>
            </w:r>
          </w:p>
        </w:tc>
      </w:tr>
      <w:tr w14:paraId="76A27910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vMerge w:val="continue"/>
            <w:tcBorders>
              <w:bottom w:val="nil"/>
            </w:tcBorders>
            <w:vAlign w:val="center"/>
          </w:tcPr>
          <w:p w14:paraId="3CE65C9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05" w:type="dxa"/>
            <w:tcBorders>
              <w:top w:val="nil"/>
              <w:bottom w:val="nil"/>
            </w:tcBorders>
            <w:vAlign w:val="top"/>
          </w:tcPr>
          <w:p w14:paraId="34E0C14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Reverse primer (5′–3′)</w:t>
            </w:r>
          </w:p>
        </w:tc>
        <w:tc>
          <w:tcPr>
            <w:tcW w:w="3661" w:type="dxa"/>
            <w:tcBorders>
              <w:top w:val="nil"/>
              <w:bottom w:val="nil"/>
            </w:tcBorders>
            <w:vAlign w:val="bottom"/>
          </w:tcPr>
          <w:p w14:paraId="6302933C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CTGCACCTTGTATTCCAGGACC</w:t>
            </w:r>
          </w:p>
        </w:tc>
      </w:tr>
      <w:tr w14:paraId="19D38837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vMerge w:val="restart"/>
            <w:tcBorders>
              <w:top w:val="nil"/>
            </w:tcBorders>
            <w:vAlign w:val="center"/>
          </w:tcPr>
          <w:p w14:paraId="5348B47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SHMT2</w:t>
            </w:r>
          </w:p>
        </w:tc>
        <w:tc>
          <w:tcPr>
            <w:tcW w:w="2805" w:type="dxa"/>
            <w:tcBorders>
              <w:top w:val="nil"/>
              <w:bottom w:val="nil"/>
            </w:tcBorders>
            <w:vAlign w:val="top"/>
          </w:tcPr>
          <w:p w14:paraId="557D07B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Forward primer (5′–3′)</w:t>
            </w:r>
          </w:p>
        </w:tc>
        <w:tc>
          <w:tcPr>
            <w:tcW w:w="3661" w:type="dxa"/>
            <w:tcBorders>
              <w:top w:val="nil"/>
              <w:bottom w:val="nil"/>
            </w:tcBorders>
            <w:vAlign w:val="bottom"/>
          </w:tcPr>
          <w:p w14:paraId="146C0912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GCCTCATTGACTACAACCAGCTG</w:t>
            </w:r>
          </w:p>
        </w:tc>
      </w:tr>
      <w:tr w14:paraId="7BD57ADF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vMerge w:val="continue"/>
            <w:tcBorders>
              <w:bottom w:val="nil"/>
            </w:tcBorders>
            <w:vAlign w:val="center"/>
          </w:tcPr>
          <w:p w14:paraId="618E1C8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05" w:type="dxa"/>
            <w:tcBorders>
              <w:top w:val="nil"/>
              <w:bottom w:val="nil"/>
            </w:tcBorders>
            <w:vAlign w:val="top"/>
          </w:tcPr>
          <w:p w14:paraId="57C9E81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Reverse primer (5′–3′)</w:t>
            </w:r>
          </w:p>
        </w:tc>
        <w:tc>
          <w:tcPr>
            <w:tcW w:w="3661" w:type="dxa"/>
            <w:tcBorders>
              <w:top w:val="nil"/>
              <w:bottom w:val="nil"/>
            </w:tcBorders>
            <w:vAlign w:val="bottom"/>
          </w:tcPr>
          <w:p w14:paraId="5B79D71A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ATGTCTGCCAGCAGGTGTGCTT</w:t>
            </w:r>
          </w:p>
        </w:tc>
      </w:tr>
      <w:tr w14:paraId="740CD749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vMerge w:val="restart"/>
            <w:tcBorders>
              <w:top w:val="nil"/>
            </w:tcBorders>
            <w:vAlign w:val="center"/>
          </w:tcPr>
          <w:p w14:paraId="6256CAC8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MTHFD1</w:t>
            </w:r>
          </w:p>
        </w:tc>
        <w:tc>
          <w:tcPr>
            <w:tcW w:w="2805" w:type="dxa"/>
            <w:tcBorders>
              <w:top w:val="nil"/>
            </w:tcBorders>
            <w:vAlign w:val="top"/>
          </w:tcPr>
          <w:p w14:paraId="64BA075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Forward primer (5′–3′)</w:t>
            </w:r>
          </w:p>
        </w:tc>
        <w:tc>
          <w:tcPr>
            <w:tcW w:w="3661" w:type="dxa"/>
            <w:tcBorders>
              <w:top w:val="nil"/>
            </w:tcBorders>
            <w:vAlign w:val="bottom"/>
          </w:tcPr>
          <w:p w14:paraId="62598197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CGCACACCTGAATGTCAACTCC</w:t>
            </w:r>
          </w:p>
        </w:tc>
      </w:tr>
      <w:tr w14:paraId="00BF0BA4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vMerge w:val="continue"/>
          </w:tcPr>
          <w:p w14:paraId="21CB7A3D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05" w:type="dxa"/>
            <w:vAlign w:val="top"/>
          </w:tcPr>
          <w:p w14:paraId="470E62D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Reverse primer (5′–3′)</w:t>
            </w:r>
          </w:p>
        </w:tc>
        <w:tc>
          <w:tcPr>
            <w:tcW w:w="3661" w:type="dxa"/>
            <w:vAlign w:val="bottom"/>
          </w:tcPr>
          <w:p w14:paraId="75BCA375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CGTGGATGTCTCCAGTCAAGTG</w:t>
            </w:r>
          </w:p>
        </w:tc>
      </w:tr>
      <w:tr w14:paraId="1CB3D20E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vMerge w:val="restart"/>
            <w:vAlign w:val="center"/>
          </w:tcPr>
          <w:p w14:paraId="3B2F815B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PSPH</w:t>
            </w:r>
          </w:p>
        </w:tc>
        <w:tc>
          <w:tcPr>
            <w:tcW w:w="2805" w:type="dxa"/>
            <w:vAlign w:val="top"/>
          </w:tcPr>
          <w:p w14:paraId="678AAFB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Forward primer (5′–3′)</w:t>
            </w:r>
          </w:p>
        </w:tc>
        <w:tc>
          <w:tcPr>
            <w:tcW w:w="3661" w:type="dxa"/>
            <w:vAlign w:val="bottom"/>
          </w:tcPr>
          <w:p w14:paraId="296F5045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GACAGCACGGTCATCAGAGAAG</w:t>
            </w:r>
          </w:p>
        </w:tc>
      </w:tr>
      <w:tr w14:paraId="6E915999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vMerge w:val="continue"/>
            <w:vAlign w:val="center"/>
          </w:tcPr>
          <w:p w14:paraId="1546145A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05" w:type="dxa"/>
            <w:vAlign w:val="top"/>
          </w:tcPr>
          <w:p w14:paraId="3E17897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Reverse primer (5′–3′)</w:t>
            </w:r>
          </w:p>
        </w:tc>
        <w:tc>
          <w:tcPr>
            <w:tcW w:w="3661" w:type="dxa"/>
            <w:vAlign w:val="bottom"/>
          </w:tcPr>
          <w:p w14:paraId="18423F21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CGCTCTGTGAGAGCAGCTTTGA</w:t>
            </w:r>
          </w:p>
        </w:tc>
      </w:tr>
      <w:tr w14:paraId="3818C597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vMerge w:val="restart"/>
            <w:vAlign w:val="center"/>
          </w:tcPr>
          <w:p w14:paraId="2AEE5715">
            <w:pPr>
              <w:spacing w:line="360" w:lineRule="auto"/>
              <w:jc w:val="both"/>
              <w:rPr>
                <w:rFonts w:hint="eastAsia"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SNHG12</w:t>
            </w:r>
          </w:p>
        </w:tc>
        <w:tc>
          <w:tcPr>
            <w:tcW w:w="2805" w:type="dxa"/>
            <w:vAlign w:val="top"/>
          </w:tcPr>
          <w:p w14:paraId="35347E2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Forward primer (5′–3′)</w:t>
            </w:r>
          </w:p>
        </w:tc>
        <w:tc>
          <w:tcPr>
            <w:tcW w:w="3661" w:type="dxa"/>
            <w:vAlign w:val="bottom"/>
          </w:tcPr>
          <w:p w14:paraId="72279958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CGAGATGGTGGTGAATGTGGC</w:t>
            </w:r>
          </w:p>
        </w:tc>
      </w:tr>
      <w:tr w14:paraId="115F1707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vMerge w:val="continue"/>
          </w:tcPr>
          <w:p w14:paraId="4D64F3B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05" w:type="dxa"/>
            <w:vAlign w:val="top"/>
          </w:tcPr>
          <w:p w14:paraId="68FB1B2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Reverse primer (5′–3′)</w:t>
            </w:r>
          </w:p>
        </w:tc>
        <w:tc>
          <w:tcPr>
            <w:tcW w:w="3661" w:type="dxa"/>
            <w:vAlign w:val="bottom"/>
          </w:tcPr>
          <w:p w14:paraId="6B6E39ED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TCAGTCTTGATGGGACCGTTTT</w:t>
            </w:r>
          </w:p>
        </w:tc>
      </w:tr>
    </w:tbl>
    <w:p w14:paraId="3D81B3B3"/>
    <w:p w14:paraId="534F5630"/>
    <w:p w14:paraId="3674F214"/>
    <w:p w14:paraId="5216E007"/>
    <w:p w14:paraId="2CCE07D0"/>
    <w:p w14:paraId="0EF6DFA8"/>
    <w:p w14:paraId="54A6F211"/>
    <w:p w14:paraId="5AF171E9"/>
    <w:p w14:paraId="7A416739"/>
    <w:p w14:paraId="47179EDD"/>
    <w:p w14:paraId="64F1E82A"/>
    <w:p w14:paraId="6F7AB811"/>
    <w:p w14:paraId="3BF589FD"/>
    <w:p w14:paraId="037F19F9"/>
    <w:p w14:paraId="5E653B39"/>
    <w:p w14:paraId="6914DBCB"/>
    <w:p w14:paraId="6EEA6C87"/>
    <w:p w14:paraId="7D9580AC"/>
    <w:p w14:paraId="41CAA026"/>
    <w:p w14:paraId="57FCDA6A"/>
    <w:p w14:paraId="6A9ABE17">
      <w:pPr>
        <w:spacing w:before="120" w:after="120"/>
        <w:jc w:val="both"/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Table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. S3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　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Main antibody</w:t>
      </w:r>
    </w:p>
    <w:tbl>
      <w:tblPr>
        <w:tblStyle w:val="4"/>
        <w:tblW w:w="0" w:type="auto"/>
        <w:tblInd w:w="0" w:type="dxa"/>
        <w:tblBorders>
          <w:top w:val="single" w:color="auto" w:sz="18" w:space="0"/>
          <w:left w:val="none" w:color="auto" w:sz="0" w:space="0"/>
          <w:bottom w:val="single" w:color="auto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7"/>
        <w:gridCol w:w="1358"/>
        <w:gridCol w:w="1492"/>
        <w:gridCol w:w="1178"/>
        <w:gridCol w:w="1252"/>
        <w:gridCol w:w="1498"/>
      </w:tblGrid>
      <w:tr w14:paraId="1745A950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8B27A97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Antibody Name</w:t>
            </w:r>
          </w:p>
        </w:tc>
        <w:tc>
          <w:tcPr>
            <w:tcW w:w="135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A747100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Brand</w:t>
            </w:r>
          </w:p>
        </w:tc>
        <w:tc>
          <w:tcPr>
            <w:tcW w:w="1492" w:type="dxa"/>
            <w:tcBorders>
              <w:top w:val="single" w:color="auto" w:sz="12" w:space="0"/>
              <w:bottom w:val="single" w:color="auto" w:sz="4" w:space="0"/>
            </w:tcBorders>
          </w:tcPr>
          <w:p w14:paraId="38540E78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Catalog No.</w:t>
            </w:r>
          </w:p>
        </w:tc>
        <w:tc>
          <w:tcPr>
            <w:tcW w:w="1178" w:type="dxa"/>
            <w:tcBorders>
              <w:top w:val="single" w:color="auto" w:sz="12" w:space="0"/>
              <w:bottom w:val="single" w:color="auto" w:sz="4" w:space="0"/>
            </w:tcBorders>
          </w:tcPr>
          <w:p w14:paraId="082CD567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Species</w:t>
            </w:r>
          </w:p>
        </w:tc>
        <w:tc>
          <w:tcPr>
            <w:tcW w:w="1252" w:type="dxa"/>
            <w:tcBorders>
              <w:top w:val="single" w:color="auto" w:sz="12" w:space="0"/>
              <w:bottom w:val="single" w:color="auto" w:sz="4" w:space="0"/>
            </w:tcBorders>
          </w:tcPr>
          <w:p w14:paraId="75FB9059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Protein Size</w:t>
            </w:r>
          </w:p>
        </w:tc>
        <w:tc>
          <w:tcPr>
            <w:tcW w:w="1498" w:type="dxa"/>
            <w:tcBorders>
              <w:top w:val="single" w:color="auto" w:sz="12" w:space="0"/>
              <w:bottom w:val="single" w:color="auto" w:sz="4" w:space="0"/>
            </w:tcBorders>
          </w:tcPr>
          <w:p w14:paraId="58AFF2A9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Dilution Ratio</w:t>
            </w:r>
          </w:p>
        </w:tc>
      </w:tr>
      <w:tr w14:paraId="11E8526E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tcBorders>
              <w:top w:val="single" w:color="auto" w:sz="4" w:space="0"/>
              <w:bottom w:val="nil"/>
            </w:tcBorders>
          </w:tcPr>
          <w:p w14:paraId="5567B71E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β-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c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 xml:space="preserve">atenin </w:t>
            </w:r>
          </w:p>
        </w:tc>
        <w:tc>
          <w:tcPr>
            <w:tcW w:w="1358" w:type="dxa"/>
            <w:tcBorders>
              <w:top w:val="single" w:color="auto" w:sz="4" w:space="0"/>
              <w:bottom w:val="nil"/>
            </w:tcBorders>
          </w:tcPr>
          <w:p w14:paraId="23555820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Wuhan Sanyi</w:t>
            </w:r>
          </w:p>
        </w:tc>
        <w:tc>
          <w:tcPr>
            <w:tcW w:w="1492" w:type="dxa"/>
            <w:tcBorders>
              <w:top w:val="single" w:color="auto" w:sz="4" w:space="0"/>
              <w:bottom w:val="nil"/>
            </w:tcBorders>
          </w:tcPr>
          <w:p w14:paraId="0FE93407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66379-1-Ig</w:t>
            </w:r>
          </w:p>
        </w:tc>
        <w:tc>
          <w:tcPr>
            <w:tcW w:w="1178" w:type="dxa"/>
            <w:tcBorders>
              <w:top w:val="single" w:color="auto" w:sz="4" w:space="0"/>
              <w:bottom w:val="nil"/>
            </w:tcBorders>
          </w:tcPr>
          <w:p w14:paraId="16110914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Rabbit Polyclonal</w:t>
            </w:r>
          </w:p>
        </w:tc>
        <w:tc>
          <w:tcPr>
            <w:tcW w:w="1252" w:type="dxa"/>
            <w:tcBorders>
              <w:top w:val="single" w:color="auto" w:sz="4" w:space="0"/>
              <w:bottom w:val="nil"/>
            </w:tcBorders>
          </w:tcPr>
          <w:p w14:paraId="6CA0210C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92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kDa</w:t>
            </w:r>
          </w:p>
        </w:tc>
        <w:tc>
          <w:tcPr>
            <w:tcW w:w="1498" w:type="dxa"/>
            <w:tcBorders>
              <w:top w:val="single" w:color="auto" w:sz="4" w:space="0"/>
              <w:bottom w:val="nil"/>
            </w:tcBorders>
          </w:tcPr>
          <w:p w14:paraId="65CAD061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WB : 1:5000</w:t>
            </w:r>
          </w:p>
          <w:p w14:paraId="30FD5650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IHC : 1:1000</w:t>
            </w:r>
          </w:p>
        </w:tc>
      </w:tr>
      <w:tr w14:paraId="08298B42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tcBorders>
              <w:top w:val="nil"/>
              <w:bottom w:val="nil"/>
            </w:tcBorders>
            <w:vAlign w:val="top"/>
          </w:tcPr>
          <w:p w14:paraId="17659C49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:lang w:eastAsia="en-US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Wnt3a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 xml:space="preserve"> 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top"/>
          </w:tcPr>
          <w:p w14:paraId="426691F3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Wuhan Sanyi</w:t>
            </w:r>
          </w:p>
        </w:tc>
        <w:tc>
          <w:tcPr>
            <w:tcW w:w="1492" w:type="dxa"/>
            <w:tcBorders>
              <w:top w:val="nil"/>
              <w:bottom w:val="nil"/>
            </w:tcBorders>
            <w:vAlign w:val="top"/>
          </w:tcPr>
          <w:p w14:paraId="3F98F71D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26744-1-AP</w:t>
            </w:r>
          </w:p>
        </w:tc>
        <w:tc>
          <w:tcPr>
            <w:tcW w:w="1178" w:type="dxa"/>
            <w:tcBorders>
              <w:top w:val="nil"/>
              <w:bottom w:val="nil"/>
            </w:tcBorders>
            <w:vAlign w:val="top"/>
          </w:tcPr>
          <w:p w14:paraId="76841EB0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Rabbit Polyclonal</w:t>
            </w:r>
          </w:p>
        </w:tc>
        <w:tc>
          <w:tcPr>
            <w:tcW w:w="1252" w:type="dxa"/>
            <w:tcBorders>
              <w:top w:val="nil"/>
              <w:bottom w:val="nil"/>
            </w:tcBorders>
            <w:vAlign w:val="top"/>
          </w:tcPr>
          <w:p w14:paraId="1C3BE158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kDa</w:t>
            </w:r>
          </w:p>
        </w:tc>
        <w:tc>
          <w:tcPr>
            <w:tcW w:w="1498" w:type="dxa"/>
            <w:tcBorders>
              <w:top w:val="nil"/>
              <w:bottom w:val="nil"/>
            </w:tcBorders>
            <w:vAlign w:val="top"/>
          </w:tcPr>
          <w:p w14:paraId="4DB8A86E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WB : 1:1000</w:t>
            </w:r>
          </w:p>
          <w:p w14:paraId="0BDB6487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IHC : 1:100</w:t>
            </w:r>
          </w:p>
        </w:tc>
      </w:tr>
      <w:tr w14:paraId="7D167D7D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tcBorders>
              <w:top w:val="nil"/>
              <w:bottom w:val="nil"/>
            </w:tcBorders>
          </w:tcPr>
          <w:p w14:paraId="286D03D8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 xml:space="preserve">PSAT1 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4A7D84E2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Wuhan Sanyi</w:t>
            </w:r>
          </w:p>
        </w:tc>
        <w:tc>
          <w:tcPr>
            <w:tcW w:w="1492" w:type="dxa"/>
            <w:tcBorders>
              <w:top w:val="nil"/>
              <w:bottom w:val="nil"/>
            </w:tcBorders>
          </w:tcPr>
          <w:p w14:paraId="5D02F744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20180-1-AP</w:t>
            </w: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6D2EE414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Rabbit Polyclonal</w:t>
            </w:r>
          </w:p>
        </w:tc>
        <w:tc>
          <w:tcPr>
            <w:tcW w:w="1252" w:type="dxa"/>
            <w:tcBorders>
              <w:top w:val="nil"/>
              <w:bottom w:val="nil"/>
            </w:tcBorders>
          </w:tcPr>
          <w:p w14:paraId="71A78E8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kDa</w:t>
            </w:r>
          </w:p>
        </w:tc>
        <w:tc>
          <w:tcPr>
            <w:tcW w:w="1498" w:type="dxa"/>
            <w:tcBorders>
              <w:top w:val="nil"/>
              <w:bottom w:val="nil"/>
            </w:tcBorders>
          </w:tcPr>
          <w:p w14:paraId="76578899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WB : 1: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  <w:p w14:paraId="586924F1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IHC : 1: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</w:tr>
      <w:tr w14:paraId="0B061D92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tcBorders>
              <w:top w:val="nil"/>
              <w:bottom w:val="nil"/>
            </w:tcBorders>
          </w:tcPr>
          <w:p w14:paraId="7C01F850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 xml:space="preserve">SHMT2 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6ABE571E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Wuhan Sanyi</w:t>
            </w:r>
          </w:p>
        </w:tc>
        <w:tc>
          <w:tcPr>
            <w:tcW w:w="1492" w:type="dxa"/>
            <w:tcBorders>
              <w:top w:val="nil"/>
              <w:bottom w:val="nil"/>
            </w:tcBorders>
          </w:tcPr>
          <w:p w14:paraId="66F466EA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1099-1-AP</w:t>
            </w: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574A25A2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Rabbit Polyclonal</w:t>
            </w:r>
          </w:p>
        </w:tc>
        <w:tc>
          <w:tcPr>
            <w:tcW w:w="1252" w:type="dxa"/>
            <w:tcBorders>
              <w:top w:val="nil"/>
              <w:bottom w:val="nil"/>
            </w:tcBorders>
          </w:tcPr>
          <w:p w14:paraId="3EC0F69D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55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kDa</w:t>
            </w:r>
          </w:p>
        </w:tc>
        <w:tc>
          <w:tcPr>
            <w:tcW w:w="1498" w:type="dxa"/>
            <w:tcBorders>
              <w:top w:val="nil"/>
              <w:bottom w:val="nil"/>
            </w:tcBorders>
          </w:tcPr>
          <w:p w14:paraId="46B36F75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WB : 1:1000</w:t>
            </w:r>
          </w:p>
          <w:p w14:paraId="140ABC4D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IHC : 1:100</w:t>
            </w:r>
          </w:p>
        </w:tc>
      </w:tr>
      <w:tr w14:paraId="0AAAA32F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tcBorders>
              <w:top w:val="nil"/>
              <w:bottom w:val="nil"/>
            </w:tcBorders>
          </w:tcPr>
          <w:p w14:paraId="1135BC11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1" w:name="_GoBack" w:colFirst="0" w:colLast="5"/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PHGDH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5BF01782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Wuhan Sanyi</w:t>
            </w:r>
          </w:p>
        </w:tc>
        <w:tc>
          <w:tcPr>
            <w:tcW w:w="1492" w:type="dxa"/>
            <w:tcBorders>
              <w:top w:val="nil"/>
              <w:bottom w:val="nil"/>
            </w:tcBorders>
          </w:tcPr>
          <w:p w14:paraId="7CBE1962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14719-1-AP</w:t>
            </w: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0DE6E683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Rabbit Polyclonal</w:t>
            </w:r>
          </w:p>
        </w:tc>
        <w:tc>
          <w:tcPr>
            <w:tcW w:w="1252" w:type="dxa"/>
            <w:tcBorders>
              <w:top w:val="nil"/>
              <w:bottom w:val="nil"/>
            </w:tcBorders>
          </w:tcPr>
          <w:p w14:paraId="33525D30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57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kDa</w:t>
            </w:r>
          </w:p>
        </w:tc>
        <w:tc>
          <w:tcPr>
            <w:tcW w:w="1498" w:type="dxa"/>
            <w:tcBorders>
              <w:top w:val="nil"/>
              <w:bottom w:val="nil"/>
            </w:tcBorders>
          </w:tcPr>
          <w:p w14:paraId="07C73BE9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WB : 1: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  <w:p w14:paraId="53363A75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IHC : 1:100</w:t>
            </w:r>
          </w:p>
        </w:tc>
      </w:tr>
      <w:tr w14:paraId="300DF409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tcBorders>
              <w:top w:val="nil"/>
              <w:bottom w:val="nil"/>
            </w:tcBorders>
          </w:tcPr>
          <w:p w14:paraId="6624CB91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H3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6D0B81F7">
            <w:pPr>
              <w:spacing w:line="240" w:lineRule="auto"/>
              <w:jc w:val="center"/>
              <w:rPr>
                <w:rFonts w:ascii="Segoe UI Emoji" w:hAnsi="Segoe UI Emoji" w:eastAsia="Segoe UI Emoji" w:cs="Segoe UI Emoji"/>
                <w:b/>
                <w:bCs/>
                <w:i w:val="0"/>
                <w:iCs w:val="0"/>
                <w:caps w:val="0"/>
                <w:color w:val="000000" w:themeColor="text1"/>
                <w:spacing w:val="8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PTM BIO</w:t>
            </w:r>
          </w:p>
          <w:p w14:paraId="38B62F24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2" w:type="dxa"/>
            <w:tcBorders>
              <w:top w:val="nil"/>
              <w:bottom w:val="nil"/>
            </w:tcBorders>
          </w:tcPr>
          <w:p w14:paraId="13603D7B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PTM-1002RM</w:t>
            </w: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45873949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Rabbit Polyclonal</w:t>
            </w:r>
          </w:p>
        </w:tc>
        <w:tc>
          <w:tcPr>
            <w:tcW w:w="1252" w:type="dxa"/>
            <w:tcBorders>
              <w:top w:val="nil"/>
              <w:bottom w:val="nil"/>
            </w:tcBorders>
          </w:tcPr>
          <w:p w14:paraId="7A14947F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kDa</w:t>
            </w:r>
          </w:p>
        </w:tc>
        <w:tc>
          <w:tcPr>
            <w:tcW w:w="1498" w:type="dxa"/>
            <w:tcBorders>
              <w:top w:val="nil"/>
              <w:bottom w:val="nil"/>
            </w:tcBorders>
          </w:tcPr>
          <w:p w14:paraId="519A647E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WB : 1: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</w:tr>
      <w:bookmarkEnd w:id="1"/>
      <w:tr w14:paraId="5DB3CD18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tcBorders>
              <w:top w:val="nil"/>
              <w:bottom w:val="nil"/>
            </w:tcBorders>
          </w:tcPr>
          <w:p w14:paraId="1F4B8BAF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GAPDH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4235015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Seville</w:t>
            </w:r>
          </w:p>
        </w:tc>
        <w:tc>
          <w:tcPr>
            <w:tcW w:w="1492" w:type="dxa"/>
            <w:tcBorders>
              <w:top w:val="nil"/>
              <w:bottom w:val="nil"/>
            </w:tcBorders>
          </w:tcPr>
          <w:p w14:paraId="5A86E6CF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GB11002-100</w:t>
            </w: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3C55D99E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Mouse Polyclonal</w:t>
            </w:r>
          </w:p>
        </w:tc>
        <w:tc>
          <w:tcPr>
            <w:tcW w:w="1252" w:type="dxa"/>
            <w:tcBorders>
              <w:top w:val="nil"/>
              <w:bottom w:val="nil"/>
            </w:tcBorders>
          </w:tcPr>
          <w:p w14:paraId="14AC6B85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kDa</w:t>
            </w:r>
          </w:p>
        </w:tc>
        <w:tc>
          <w:tcPr>
            <w:tcW w:w="1498" w:type="dxa"/>
            <w:tcBorders>
              <w:top w:val="nil"/>
              <w:bottom w:val="nil"/>
            </w:tcBorders>
          </w:tcPr>
          <w:p w14:paraId="5E70E32E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WB : 1: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</w:tr>
      <w:tr w14:paraId="7C9D7C53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tcBorders>
              <w:top w:val="nil"/>
              <w:bottom w:val="nil"/>
            </w:tcBorders>
          </w:tcPr>
          <w:p w14:paraId="4D8B2696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β-actin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48490B5E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Seville</w:t>
            </w:r>
          </w:p>
        </w:tc>
        <w:tc>
          <w:tcPr>
            <w:tcW w:w="1492" w:type="dxa"/>
            <w:tcBorders>
              <w:top w:val="nil"/>
              <w:bottom w:val="nil"/>
            </w:tcBorders>
          </w:tcPr>
          <w:p w14:paraId="7BE554DB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GB15003-100</w:t>
            </w: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762F89BE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Mouse Polyclonal</w:t>
            </w:r>
          </w:p>
        </w:tc>
        <w:tc>
          <w:tcPr>
            <w:tcW w:w="1252" w:type="dxa"/>
            <w:tcBorders>
              <w:top w:val="nil"/>
              <w:bottom w:val="nil"/>
            </w:tcBorders>
          </w:tcPr>
          <w:p w14:paraId="43DB64D6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kDa</w:t>
            </w:r>
          </w:p>
        </w:tc>
        <w:tc>
          <w:tcPr>
            <w:tcW w:w="1498" w:type="dxa"/>
            <w:tcBorders>
              <w:top w:val="nil"/>
              <w:bottom w:val="nil"/>
            </w:tcBorders>
          </w:tcPr>
          <w:p w14:paraId="7F3C5B6B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WB : 1: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</w:tr>
      <w:tr w14:paraId="32A5E3E7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</w:tcPr>
          <w:p w14:paraId="718736B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β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-Tubulin</w:t>
            </w:r>
          </w:p>
        </w:tc>
        <w:tc>
          <w:tcPr>
            <w:tcW w:w="1358" w:type="dxa"/>
          </w:tcPr>
          <w:p w14:paraId="4126379B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Seville</w:t>
            </w:r>
          </w:p>
        </w:tc>
        <w:tc>
          <w:tcPr>
            <w:tcW w:w="1492" w:type="dxa"/>
          </w:tcPr>
          <w:p w14:paraId="61A7857E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GB152667-100</w:t>
            </w:r>
          </w:p>
        </w:tc>
        <w:tc>
          <w:tcPr>
            <w:tcW w:w="1178" w:type="dxa"/>
          </w:tcPr>
          <w:p w14:paraId="1237BBA7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Rabbit Polyclonal</w:t>
            </w:r>
          </w:p>
        </w:tc>
        <w:tc>
          <w:tcPr>
            <w:tcW w:w="1252" w:type="dxa"/>
          </w:tcPr>
          <w:p w14:paraId="20957748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54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kDa</w:t>
            </w:r>
          </w:p>
        </w:tc>
        <w:tc>
          <w:tcPr>
            <w:tcW w:w="1498" w:type="dxa"/>
          </w:tcPr>
          <w:p w14:paraId="58B553F6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WB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1: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</w:tr>
      <w:tr w14:paraId="2C69C966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shd w:val="clear" w:color="auto" w:fill="auto"/>
            <w:vAlign w:val="top"/>
          </w:tcPr>
          <w:p w14:paraId="1DBD1D6D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Ki-67</w:t>
            </w:r>
          </w:p>
        </w:tc>
        <w:tc>
          <w:tcPr>
            <w:tcW w:w="1358" w:type="dxa"/>
            <w:shd w:val="clear" w:color="auto" w:fill="auto"/>
            <w:vAlign w:val="top"/>
          </w:tcPr>
          <w:p w14:paraId="0AE95431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Wuhan Sanyi</w:t>
            </w:r>
          </w:p>
        </w:tc>
        <w:tc>
          <w:tcPr>
            <w:tcW w:w="1492" w:type="dxa"/>
            <w:shd w:val="clear" w:color="auto" w:fill="auto"/>
            <w:vAlign w:val="top"/>
          </w:tcPr>
          <w:p w14:paraId="749C8BB2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27309-1-AP</w:t>
            </w:r>
          </w:p>
        </w:tc>
        <w:tc>
          <w:tcPr>
            <w:tcW w:w="1178" w:type="dxa"/>
            <w:shd w:val="clear" w:color="auto" w:fill="auto"/>
            <w:vAlign w:val="top"/>
          </w:tcPr>
          <w:p w14:paraId="35F418A3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Rabbit Polyclonal</w:t>
            </w:r>
          </w:p>
        </w:tc>
        <w:tc>
          <w:tcPr>
            <w:tcW w:w="1252" w:type="dxa"/>
            <w:shd w:val="clear" w:color="auto" w:fill="auto"/>
            <w:vAlign w:val="top"/>
          </w:tcPr>
          <w:p w14:paraId="5ECA2E0B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359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kDa</w:t>
            </w:r>
          </w:p>
        </w:tc>
        <w:tc>
          <w:tcPr>
            <w:tcW w:w="1498" w:type="dxa"/>
            <w:shd w:val="clear" w:color="auto" w:fill="auto"/>
            <w:vAlign w:val="top"/>
          </w:tcPr>
          <w:p w14:paraId="05EF7AAB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IHC：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1: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</w:tr>
    </w:tbl>
    <w:p w14:paraId="0FE9F504"/>
    <w:p w14:paraId="6EDD3323"/>
    <w:p w14:paraId="528A30A0"/>
    <w:p w14:paraId="2472CDF9"/>
    <w:p w14:paraId="7771939F"/>
    <w:p w14:paraId="47F3D757"/>
    <w:p w14:paraId="4027ACF1"/>
    <w:p w14:paraId="6AAF9B8B"/>
    <w:p w14:paraId="57B8B567"/>
    <w:p w14:paraId="5DB7AADF"/>
    <w:p w14:paraId="42AEC686"/>
    <w:p w14:paraId="692B5A26"/>
    <w:p w14:paraId="517D1E4F"/>
    <w:p w14:paraId="6826A4FC"/>
    <w:p w14:paraId="7CD39893"/>
    <w:p w14:paraId="5660A7DC"/>
    <w:p w14:paraId="25103BDB"/>
    <w:p w14:paraId="2BC5C11B"/>
    <w:p w14:paraId="0F118F27"/>
    <w:p w14:paraId="59219E80"/>
    <w:p w14:paraId="5E56B797">
      <w:pPr>
        <w:rPr>
          <w:rStyle w:val="6"/>
          <w:rFonts w:hint="eastAsia" w:ascii="Times New Roman" w:hAnsi="Times New Roman" w:eastAsia="宋体" w:cs="Times New Roman"/>
          <w:sz w:val="24"/>
          <w:szCs w:val="24"/>
          <w:lang w:eastAsia="zh-CN"/>
        </w:rPr>
      </w:pPr>
    </w:p>
    <w:p w14:paraId="7CD4D096">
      <w:pPr>
        <w:rPr>
          <w:rStyle w:val="6"/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Style w:val="6"/>
          <w:rFonts w:hint="eastAsia" w:ascii="Times New Roman" w:hAnsi="Times New Roman" w:eastAsia="宋体" w:cs="Times New Roman"/>
          <w:sz w:val="24"/>
          <w:szCs w:val="24"/>
          <w:lang w:eastAsia="zh-CN"/>
        </w:rPr>
        <w:drawing>
          <wp:inline distT="0" distB="0" distL="114300" distR="114300">
            <wp:extent cx="5262245" cy="1858010"/>
            <wp:effectExtent l="0" t="0" r="0" b="0"/>
            <wp:docPr id="3" name="图片 3" descr="补充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补充图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85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E1B58">
      <w:pPr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Style w:val="6"/>
          <w:rFonts w:hint="default" w:ascii="Times New Roman" w:hAnsi="Times New Roman" w:eastAsia="宋体" w:cs="Times New Roman"/>
          <w:sz w:val="24"/>
          <w:szCs w:val="24"/>
        </w:rPr>
        <w:t xml:space="preserve">Supplementary Fig </w:t>
      </w:r>
      <w:r>
        <w:rPr>
          <w:rStyle w:val="6"/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S</w:t>
      </w:r>
      <w:r>
        <w:rPr>
          <w:rStyle w:val="6"/>
          <w:rFonts w:hint="default" w:ascii="Times New Roman" w:hAnsi="Times New Roman" w:eastAsia="宋体" w:cs="Times New Roman"/>
          <w:sz w:val="24"/>
          <w:szCs w:val="24"/>
        </w:rPr>
        <w:t>1. Validation of SNHG12 overexpression and knockdown efficiency in gastric cancer cells.</w:t>
      </w:r>
      <w:r>
        <w:rPr>
          <w:rFonts w:hint="default" w:ascii="Times New Roman" w:hAnsi="Times New Roman" w:eastAsia="宋体" w:cs="Times New Roman"/>
          <w:sz w:val="24"/>
          <w:szCs w:val="24"/>
        </w:rPr>
        <w:br w:type="textWrapping"/>
      </w:r>
      <w:r>
        <w:rPr>
          <w:rFonts w:hint="default" w:ascii="Times New Roman" w:hAnsi="Times New Roman" w:eastAsia="宋体" w:cs="Times New Roman"/>
          <w:sz w:val="24"/>
          <w:szCs w:val="24"/>
        </w:rPr>
        <w:t>(A–D) RT-qPCR analysis of SNHG12 expression in HGC-27 and AGS cells following transfection with the SNHG12 overexpression plasmid (OV-SNHG12) or shRNA targeting SNHG12 (sh-SNHG12). The results showed that OV-SNHG12 significantly increased SNHG12 expression, whereas sh-SNHG12 markedly reduced its expression. Data are presented as mean ± standard deviation (SD). ***P &lt; 0.001.</w:t>
      </w:r>
    </w:p>
    <w:p w14:paraId="178F6161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528A3CBF">
      <w:pPr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drawing>
          <wp:inline distT="0" distB="0" distL="114300" distR="114300">
            <wp:extent cx="5274310" cy="2150110"/>
            <wp:effectExtent l="0" t="0" r="2540" b="2540"/>
            <wp:docPr id="1" name="图片 1" descr="补充图 AGS PC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补充图 AGS PCR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27213">
      <w:pPr>
        <w:rPr>
          <w:rFonts w:hint="default" w:ascii="Times New Roman" w:hAnsi="Times New Roman" w:eastAsia="宋体" w:cs="Times New Roman"/>
          <w:color w:val="FF0000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/>
          <w:bCs/>
          <w:color w:val="FF0000"/>
          <w:sz w:val="24"/>
          <w:szCs w:val="24"/>
        </w:rPr>
        <w:t>upplementary Fig S2. SNHG12 modulates the mRNA expression of PHGDH, PSAT1, and SHMT2 in AGS cells.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br w:type="textWrapping"/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t>(A–C) RT-qPCR analysis showing the mRNA expression levels of PHGDH (A), PSAT1 (B), and SHMT2 (C) in AGS cells after SNHG12 overexpression or silencing.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br w:type="textWrapping"/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t>Data are presented as mean ± standard deviation (SD) from three independent experiments. Statistical significance was assessed by Student’s t-test or one-way ANOVA with Tukey’s post hoc test, as appropriate. **P &lt; 0.01,</w:t>
      </w:r>
      <w:r>
        <w:rPr>
          <w:rFonts w:hint="eastAsia" w:ascii="Times New Roman" w:hAnsi="Times New Roman" w:eastAsia="宋体" w:cs="Times New Roman"/>
          <w:color w:val="FF000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t xml:space="preserve"> ***P &lt; 0.001.</w:t>
      </w:r>
    </w:p>
    <w:p w14:paraId="736DB134">
      <w:pPr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C3625F"/>
    <w:multiLevelType w:val="singleLevel"/>
    <w:tmpl w:val="A4C3625F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917354"/>
    <w:rsid w:val="00BC18ED"/>
    <w:rsid w:val="0E405006"/>
    <w:rsid w:val="0E552DBD"/>
    <w:rsid w:val="0EC51CF1"/>
    <w:rsid w:val="137F6501"/>
    <w:rsid w:val="1A147FD0"/>
    <w:rsid w:val="1A6920CA"/>
    <w:rsid w:val="1F9E6A8A"/>
    <w:rsid w:val="21FF50C2"/>
    <w:rsid w:val="25917354"/>
    <w:rsid w:val="27B0564F"/>
    <w:rsid w:val="27D963A4"/>
    <w:rsid w:val="296F58CA"/>
    <w:rsid w:val="32AE1F29"/>
    <w:rsid w:val="341F526E"/>
    <w:rsid w:val="344F0C18"/>
    <w:rsid w:val="34BF2BBB"/>
    <w:rsid w:val="34F150E6"/>
    <w:rsid w:val="39F557B0"/>
    <w:rsid w:val="3C2960E7"/>
    <w:rsid w:val="3E666E62"/>
    <w:rsid w:val="60002155"/>
    <w:rsid w:val="600D75AD"/>
    <w:rsid w:val="71F92EA9"/>
    <w:rsid w:val="78986F77"/>
    <w:rsid w:val="79EB5438"/>
    <w:rsid w:val="7BAF6AA4"/>
    <w:rsid w:val="7E1164CF"/>
    <w:rsid w:val="7ED93E49"/>
    <w:rsid w:val="7F0A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613</Words>
  <Characters>3376</Characters>
  <Lines>0</Lines>
  <Paragraphs>0</Paragraphs>
  <TotalTime>23</TotalTime>
  <ScaleCrop>false</ScaleCrop>
  <LinksUpToDate>false</LinksUpToDate>
  <CharactersWithSpaces>3761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2025-12-02T16:19:00Z</dcterms:created>
  <dc:creator>A</dc:creator>
  <cp:lastModifiedBy>A</cp:lastModifiedBy>
  <dcterms:modified xsi:type="dcterms:W3CDTF">2026-03-20T18:50:34Z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99879E8BE4A64AACA1BC94D1C4BF4B15_11</vt:lpwstr>
  </property>
  <property fmtid="{D5CDD505-2E9C-101B-9397-08002B2CF9AE}" pid="4" name="KSOTemplateDocerSaveRecord">
    <vt:lpwstr>eyJoZGlkIjoiM2FiZDIzMjBhYjY3YjcwYmIxYWI1NjM4YzVmYjEyMDMiLCJ1c2VySWQiOiI0ODA4MDQxNTIifQ==</vt:lpwstr>
  </property>
</Properties>
</file>