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CEBD" w14:textId="059D5DCC" w:rsidR="009277B8" w:rsidRPr="009277B8" w:rsidRDefault="009277B8" w:rsidP="009277B8">
      <w:pPr>
        <w:pStyle w:val="p1"/>
        <w:rPr>
          <w:rFonts w:ascii="Times New Roman" w:hAnsi="Times New Roman" w:cs="Times New Roman" w:hint="eastAsia"/>
        </w:rPr>
      </w:pPr>
      <w:r w:rsidRPr="009277B8">
        <w:rPr>
          <w:rFonts w:ascii="Times New Roman" w:hAnsi="Times New Roman" w:cs="Times New Roman"/>
          <w:b/>
          <w:bCs/>
        </w:rPr>
        <w:t>Supplementary</w:t>
      </w:r>
      <w:r>
        <w:rPr>
          <w:rFonts w:ascii="Times New Roman" w:hAnsi="Times New Roman" w:cs="Times New Roman" w:hint="eastAsia"/>
          <w:b/>
          <w:bCs/>
        </w:rPr>
        <w:t xml:space="preserve"> </w:t>
      </w:r>
      <w:r w:rsidRPr="009277B8">
        <w:rPr>
          <w:rFonts w:ascii="Times New Roman" w:hAnsi="Times New Roman" w:cs="Times New Roman"/>
          <w:b/>
          <w:bCs/>
        </w:rPr>
        <w:t>Figures</w:t>
      </w:r>
      <w:r>
        <w:rPr>
          <w:rFonts w:ascii="Times New Roman" w:hAnsi="Times New Roman" w:cs="Times New Roman" w:hint="eastAsia"/>
          <w:b/>
          <w:bCs/>
        </w:rPr>
        <w:t>：</w:t>
      </w:r>
    </w:p>
    <w:p w14:paraId="70CBFD40" w14:textId="77777777" w:rsidR="009277B8" w:rsidRDefault="009277B8" w:rsidP="009277B8">
      <w:pPr>
        <w:spacing w:before="100" w:line="480" w:lineRule="auto"/>
        <w:jc w:val="both"/>
        <w:rPr>
          <w:rFonts w:ascii="Times New Roman" w:hAnsi="Times New Roman" w:cs="Times New Roman"/>
          <w:b/>
          <w:bCs/>
          <w:sz w:val="18"/>
          <w:szCs w:val="18"/>
        </w:rPr>
      </w:pPr>
      <w:r>
        <w:rPr>
          <w:rFonts w:ascii="Times New Roman" w:hAnsi="Times New Roman" w:cs="Times New Roman" w:hint="eastAsia"/>
          <w:b/>
          <w:bCs/>
          <w:noProof/>
          <w:sz w:val="18"/>
          <w:szCs w:val="18"/>
        </w:rPr>
        <w:drawing>
          <wp:inline distT="0" distB="0" distL="0" distR="0" wp14:anchorId="0D3A0724" wp14:editId="0630A55B">
            <wp:extent cx="5274310" cy="2870835"/>
            <wp:effectExtent l="0" t="0" r="0" b="0"/>
            <wp:docPr id="339995164" name="图片 4"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995164" name="图片 4" descr="图形用户界面&#10;&#10;AI 生成的内容可能不正确。"/>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870835"/>
                    </a:xfrm>
                    <a:prstGeom prst="rect">
                      <a:avLst/>
                    </a:prstGeom>
                  </pic:spPr>
                </pic:pic>
              </a:graphicData>
            </a:graphic>
          </wp:inline>
        </w:drawing>
      </w:r>
    </w:p>
    <w:p w14:paraId="5CBF8339" w14:textId="77777777" w:rsidR="009277B8" w:rsidRPr="00830F57" w:rsidRDefault="009277B8" w:rsidP="009277B8">
      <w:pPr>
        <w:spacing w:before="100" w:line="480" w:lineRule="auto"/>
        <w:jc w:val="both"/>
        <w:rPr>
          <w:rFonts w:ascii="Times New Roman" w:hAnsi="Times New Roman" w:cs="Times New Roman"/>
          <w:b/>
          <w:bCs/>
          <w:sz w:val="18"/>
          <w:szCs w:val="18"/>
        </w:rPr>
      </w:pPr>
      <w:r w:rsidRPr="00830F57">
        <w:rPr>
          <w:rFonts w:ascii="Times New Roman" w:hAnsi="Times New Roman" w:cs="Times New Roman"/>
          <w:b/>
          <w:bCs/>
          <w:sz w:val="18"/>
          <w:szCs w:val="18"/>
        </w:rPr>
        <w:t>Supplementary Figure 1</w:t>
      </w:r>
    </w:p>
    <w:p w14:paraId="3A1A0F07" w14:textId="77777777" w:rsidR="009277B8" w:rsidRPr="005172ED" w:rsidRDefault="009277B8" w:rsidP="009277B8">
      <w:pPr>
        <w:spacing w:before="100" w:line="480" w:lineRule="auto"/>
        <w:jc w:val="both"/>
        <w:rPr>
          <w:rFonts w:ascii="Times New Roman" w:hAnsi="Times New Roman" w:cs="Times New Roman"/>
          <w:sz w:val="18"/>
          <w:szCs w:val="18"/>
        </w:rPr>
      </w:pPr>
      <w:r w:rsidRPr="00830F57">
        <w:rPr>
          <w:rFonts w:ascii="Times New Roman" w:hAnsi="Times New Roman" w:cs="Times New Roman"/>
          <w:b/>
          <w:bCs/>
          <w:sz w:val="18"/>
          <w:szCs w:val="18"/>
        </w:rPr>
        <w:t>a-d</w:t>
      </w:r>
      <w:r w:rsidRPr="00830F57">
        <w:rPr>
          <w:rFonts w:ascii="Times New Roman" w:hAnsi="Times New Roman" w:cs="Times New Roman"/>
          <w:sz w:val="18"/>
          <w:szCs w:val="18"/>
        </w:rPr>
        <w:t xml:space="preserve">. </w:t>
      </w:r>
      <w:proofErr w:type="spellStart"/>
      <w:r w:rsidRPr="00830F57">
        <w:rPr>
          <w:rFonts w:ascii="Times New Roman" w:hAnsi="Times New Roman" w:cs="Times New Roman"/>
          <w:sz w:val="18"/>
          <w:szCs w:val="18"/>
        </w:rPr>
        <w:t>Transwell</w:t>
      </w:r>
      <w:proofErr w:type="spellEnd"/>
      <w:r w:rsidRPr="00830F57">
        <w:rPr>
          <w:rFonts w:ascii="Times New Roman" w:hAnsi="Times New Roman" w:cs="Times New Roman"/>
          <w:sz w:val="18"/>
          <w:szCs w:val="18"/>
        </w:rPr>
        <w:t xml:space="preserve"> migration assay. CD3⁺ T cells (1 × 10</w:t>
      </w:r>
      <w:r w:rsidRPr="00830F57">
        <w:rPr>
          <w:rFonts w:ascii="Times New Roman" w:hAnsi="Times New Roman" w:cs="Times New Roman"/>
          <w:sz w:val="18"/>
          <w:szCs w:val="18"/>
          <w:vertAlign w:val="superscript"/>
        </w:rPr>
        <w:t>6</w:t>
      </w:r>
      <w:r w:rsidRPr="00830F57">
        <w:rPr>
          <w:rFonts w:ascii="Times New Roman" w:hAnsi="Times New Roman" w:cs="Times New Roman"/>
          <w:sz w:val="18"/>
          <w:szCs w:val="18"/>
        </w:rPr>
        <w:t xml:space="preserve">cells per well) isolated from the spleens of C57BL/6J mice were seeded in the upper chamber. The lower chamber contained tumor cell–conditioned medium or purified CXCL9 protein to assess chemotactic migration. </w:t>
      </w:r>
      <w:r w:rsidRPr="00830F57">
        <w:rPr>
          <w:rFonts w:ascii="Times New Roman" w:hAnsi="Times New Roman" w:cs="Times New Roman"/>
          <w:b/>
          <w:bCs/>
          <w:sz w:val="18"/>
          <w:szCs w:val="18"/>
        </w:rPr>
        <w:t>a, c.</w:t>
      </w:r>
      <w:r w:rsidRPr="00830F57">
        <w:rPr>
          <w:rFonts w:ascii="Times New Roman" w:hAnsi="Times New Roman" w:cs="Times New Roman"/>
          <w:sz w:val="18"/>
          <w:szCs w:val="18"/>
        </w:rPr>
        <w:t xml:space="preserve"> After 24 h incubation, cells that migrated to the lower chamber were collected and stained with fluorophore-conjugated anti-CD3 and anti-CD8 antibodies. Flow cytometry was used to quantify the proportion of CD8⁺ T cells within the CD3⁺ population, as well as the proportion of CXCR3⁺ cells within CD8⁺ T cells. Representative results from three independent samples are shown. </w:t>
      </w:r>
      <w:r w:rsidRPr="00830F57">
        <w:rPr>
          <w:rFonts w:ascii="Times New Roman" w:hAnsi="Times New Roman" w:cs="Times New Roman"/>
          <w:b/>
          <w:bCs/>
          <w:sz w:val="18"/>
          <w:szCs w:val="18"/>
        </w:rPr>
        <w:t>b, d.</w:t>
      </w:r>
      <w:r w:rsidRPr="00830F57">
        <w:rPr>
          <w:rFonts w:ascii="Times New Roman" w:hAnsi="Times New Roman" w:cs="Times New Roman"/>
          <w:sz w:val="18"/>
          <w:szCs w:val="18"/>
        </w:rPr>
        <w:t xml:space="preserve"> Quantification of CD8⁺ T cells and CXCR3⁺ T cells obtained by flow cytometry across different groups. Data are presented as mean ± SD. Statistical significance was determined using a two-tailed Student’s t-test. ns, not significant.</w:t>
      </w:r>
    </w:p>
    <w:p w14:paraId="14BF59E9" w14:textId="77777777" w:rsidR="009277B8" w:rsidRDefault="009277B8" w:rsidP="009277B8">
      <w:pPr>
        <w:spacing w:before="100" w:line="480" w:lineRule="auto"/>
        <w:jc w:val="both"/>
        <w:rPr>
          <w:rFonts w:ascii="Times New Roman" w:hAnsi="Times New Roman" w:cs="Times New Roman"/>
          <w:b/>
          <w:bCs/>
          <w:sz w:val="18"/>
          <w:szCs w:val="18"/>
        </w:rPr>
      </w:pPr>
      <w:r>
        <w:rPr>
          <w:rFonts w:ascii="Times New Roman" w:hAnsi="Times New Roman" w:cs="Times New Roman"/>
          <w:b/>
          <w:bCs/>
          <w:noProof/>
          <w:sz w:val="18"/>
          <w:szCs w:val="18"/>
        </w:rPr>
        <w:lastRenderedPageBreak/>
        <w:drawing>
          <wp:inline distT="0" distB="0" distL="0" distR="0" wp14:anchorId="13444D28" wp14:editId="3E50BABE">
            <wp:extent cx="5274310" cy="4219575"/>
            <wp:effectExtent l="0" t="0" r="0" b="0"/>
            <wp:docPr id="1744883868" name="图片 5" descr="电脑萤幕&#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883868" name="图片 5" descr="电脑萤幕&#10;&#10;AI 生成的内容可能不正确。"/>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4219575"/>
                    </a:xfrm>
                    <a:prstGeom prst="rect">
                      <a:avLst/>
                    </a:prstGeom>
                  </pic:spPr>
                </pic:pic>
              </a:graphicData>
            </a:graphic>
          </wp:inline>
        </w:drawing>
      </w:r>
    </w:p>
    <w:p w14:paraId="0BE8F55F" w14:textId="77777777" w:rsidR="009277B8" w:rsidRPr="00830F57" w:rsidRDefault="009277B8" w:rsidP="009277B8">
      <w:pPr>
        <w:spacing w:before="100" w:line="480" w:lineRule="auto"/>
        <w:jc w:val="both"/>
        <w:rPr>
          <w:rFonts w:ascii="Times New Roman" w:hAnsi="Times New Roman" w:cs="Times New Roman"/>
          <w:b/>
          <w:bCs/>
          <w:sz w:val="18"/>
          <w:szCs w:val="18"/>
        </w:rPr>
      </w:pPr>
      <w:r w:rsidRPr="00830F57">
        <w:rPr>
          <w:rFonts w:ascii="Times New Roman" w:hAnsi="Times New Roman" w:cs="Times New Roman"/>
          <w:b/>
          <w:bCs/>
          <w:sz w:val="18"/>
          <w:szCs w:val="18"/>
        </w:rPr>
        <w:t>Supplementary Figure 2</w:t>
      </w:r>
    </w:p>
    <w:p w14:paraId="0319FA0F" w14:textId="77777777" w:rsidR="009277B8" w:rsidRPr="005172ED" w:rsidRDefault="009277B8" w:rsidP="009277B8">
      <w:pPr>
        <w:spacing w:before="100" w:line="480" w:lineRule="auto"/>
        <w:jc w:val="both"/>
        <w:rPr>
          <w:rFonts w:ascii="Times New Roman" w:hAnsi="Times New Roman" w:cs="Times New Roman"/>
          <w:sz w:val="18"/>
          <w:szCs w:val="18"/>
        </w:rPr>
      </w:pPr>
      <w:r w:rsidRPr="00830F57">
        <w:rPr>
          <w:rFonts w:ascii="Times New Roman" w:hAnsi="Times New Roman" w:cs="Times New Roman"/>
          <w:b/>
          <w:bCs/>
          <w:sz w:val="18"/>
          <w:szCs w:val="18"/>
        </w:rPr>
        <w:t>a-b</w:t>
      </w:r>
      <w:r w:rsidRPr="00830F57">
        <w:rPr>
          <w:rFonts w:ascii="Times New Roman" w:hAnsi="Times New Roman" w:cs="Times New Roman"/>
          <w:sz w:val="18"/>
          <w:szCs w:val="18"/>
        </w:rPr>
        <w:t xml:space="preserve">. Immunofluorescence staining of tumor sections from control and CXCL9-treated groups, showing CD8⁺ T cells, CD107b, and IFN-γ expression. Representative images from three independent tumor samples per group are shown. Scale bars: 400 </w:t>
      </w:r>
      <w:proofErr w:type="spellStart"/>
      <w:r w:rsidRPr="00830F57">
        <w:rPr>
          <w:rFonts w:ascii="Times New Roman" w:hAnsi="Times New Roman" w:cs="Times New Roman"/>
          <w:sz w:val="18"/>
          <w:szCs w:val="18"/>
        </w:rPr>
        <w:t>μm</w:t>
      </w:r>
      <w:proofErr w:type="spellEnd"/>
      <w:r w:rsidRPr="00830F57">
        <w:rPr>
          <w:rFonts w:ascii="Times New Roman" w:hAnsi="Times New Roman" w:cs="Times New Roman"/>
          <w:sz w:val="18"/>
          <w:szCs w:val="18"/>
        </w:rPr>
        <w:t xml:space="preserve"> (a), 100 </w:t>
      </w:r>
      <w:proofErr w:type="spellStart"/>
      <w:r w:rsidRPr="00830F57">
        <w:rPr>
          <w:rFonts w:ascii="Times New Roman" w:hAnsi="Times New Roman" w:cs="Times New Roman"/>
          <w:sz w:val="18"/>
          <w:szCs w:val="18"/>
        </w:rPr>
        <w:t>μm</w:t>
      </w:r>
      <w:proofErr w:type="spellEnd"/>
      <w:r w:rsidRPr="00830F57">
        <w:rPr>
          <w:rFonts w:ascii="Times New Roman" w:hAnsi="Times New Roman" w:cs="Times New Roman"/>
          <w:sz w:val="18"/>
          <w:szCs w:val="18"/>
        </w:rPr>
        <w:t xml:space="preserve"> (b).</w:t>
      </w:r>
    </w:p>
    <w:p w14:paraId="169ABBF0" w14:textId="77777777" w:rsidR="009277B8" w:rsidRDefault="009277B8" w:rsidP="009277B8">
      <w:pPr>
        <w:spacing w:before="100" w:line="480" w:lineRule="auto"/>
        <w:jc w:val="both"/>
        <w:rPr>
          <w:rFonts w:ascii="Times New Roman" w:hAnsi="Times New Roman" w:cs="Times New Roman"/>
          <w:b/>
          <w:bCs/>
          <w:sz w:val="18"/>
          <w:szCs w:val="18"/>
        </w:rPr>
      </w:pPr>
      <w:r>
        <w:rPr>
          <w:rFonts w:ascii="Times New Roman" w:hAnsi="Times New Roman" w:cs="Times New Roman"/>
          <w:b/>
          <w:bCs/>
          <w:noProof/>
          <w:sz w:val="18"/>
          <w:szCs w:val="18"/>
        </w:rPr>
        <w:lastRenderedPageBreak/>
        <w:drawing>
          <wp:inline distT="0" distB="0" distL="0" distR="0" wp14:anchorId="3A18E23E" wp14:editId="67AC287B">
            <wp:extent cx="5274310" cy="8373745"/>
            <wp:effectExtent l="0" t="0" r="0" b="0"/>
            <wp:docPr id="1489824849"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824849" name="图片 1" descr="图示&#10;&#10;AI 生成的内容可能不正确。"/>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8373745"/>
                    </a:xfrm>
                    <a:prstGeom prst="rect">
                      <a:avLst/>
                    </a:prstGeom>
                  </pic:spPr>
                </pic:pic>
              </a:graphicData>
            </a:graphic>
          </wp:inline>
        </w:drawing>
      </w:r>
    </w:p>
    <w:p w14:paraId="4928994A" w14:textId="77777777" w:rsidR="009277B8" w:rsidRPr="00830F57" w:rsidRDefault="009277B8" w:rsidP="009277B8">
      <w:pPr>
        <w:spacing w:before="100" w:line="480" w:lineRule="auto"/>
        <w:jc w:val="both"/>
        <w:rPr>
          <w:rFonts w:ascii="Times New Roman" w:hAnsi="Times New Roman" w:cs="Times New Roman"/>
          <w:b/>
          <w:bCs/>
          <w:sz w:val="18"/>
          <w:szCs w:val="18"/>
        </w:rPr>
      </w:pPr>
      <w:r w:rsidRPr="00830F57">
        <w:rPr>
          <w:rFonts w:ascii="Times New Roman" w:hAnsi="Times New Roman" w:cs="Times New Roman"/>
          <w:b/>
          <w:bCs/>
          <w:sz w:val="18"/>
          <w:szCs w:val="18"/>
        </w:rPr>
        <w:t>Supplementary Figure 3</w:t>
      </w:r>
    </w:p>
    <w:p w14:paraId="358D9815" w14:textId="77777777" w:rsidR="009277B8" w:rsidRPr="005172ED" w:rsidRDefault="009277B8" w:rsidP="009277B8">
      <w:pPr>
        <w:spacing w:before="100" w:line="480" w:lineRule="auto"/>
        <w:jc w:val="both"/>
        <w:rPr>
          <w:rFonts w:ascii="Times New Roman" w:hAnsi="Times New Roman" w:cs="Times New Roman"/>
          <w:sz w:val="18"/>
          <w:szCs w:val="18"/>
        </w:rPr>
      </w:pPr>
      <w:r w:rsidRPr="00830F57">
        <w:rPr>
          <w:rFonts w:ascii="Times New Roman" w:hAnsi="Times New Roman" w:cs="Times New Roman"/>
          <w:b/>
          <w:bCs/>
          <w:sz w:val="18"/>
          <w:szCs w:val="18"/>
        </w:rPr>
        <w:lastRenderedPageBreak/>
        <w:t>a.</w:t>
      </w:r>
      <w:r w:rsidRPr="00830F57">
        <w:rPr>
          <w:rFonts w:ascii="Times New Roman" w:hAnsi="Times New Roman" w:cs="Times New Roman"/>
          <w:sz w:val="18"/>
          <w:szCs w:val="18"/>
        </w:rPr>
        <w:t xml:space="preserve"> Tumor tissues from PBS and 5ApCBLux-treated mice were dissociated and subjected to red blood cell lysis, followed by staining with fluorophore-conjugated antibodies against CD11b, CD86, and CD206. Flow cytometry was performed to identify macrophage subsets (M1 and M2) and quantify their relative proportions. Representative results from three independent samples are shown. </w:t>
      </w:r>
      <w:r w:rsidRPr="00830F57">
        <w:rPr>
          <w:rFonts w:ascii="Times New Roman" w:hAnsi="Times New Roman" w:cs="Times New Roman"/>
          <w:b/>
          <w:bCs/>
          <w:sz w:val="18"/>
          <w:szCs w:val="18"/>
        </w:rPr>
        <w:t>b-e.</w:t>
      </w:r>
      <w:r w:rsidRPr="00830F57">
        <w:rPr>
          <w:rFonts w:ascii="Times New Roman" w:hAnsi="Times New Roman" w:cs="Times New Roman"/>
          <w:sz w:val="18"/>
          <w:szCs w:val="18"/>
        </w:rPr>
        <w:t xml:space="preserve"> Quantitative analysis of macrophage polarization, including the proportion of M1 macrophages within total macrophages (b), the proportion of M2 macrophages (c), and the M1/M2 ratio (e). Data are presented as mean ± SD. Statistical significance was determined using a two-tailed Student’s t-test. ns, not significant.</w:t>
      </w:r>
    </w:p>
    <w:p w14:paraId="14101C32" w14:textId="77777777" w:rsidR="009277B8" w:rsidRDefault="009277B8" w:rsidP="009277B8">
      <w:pPr>
        <w:spacing w:before="100" w:line="480" w:lineRule="auto"/>
        <w:jc w:val="both"/>
        <w:rPr>
          <w:rFonts w:ascii="Times New Roman" w:hAnsi="Times New Roman" w:cs="Times New Roman"/>
          <w:b/>
          <w:bCs/>
          <w:sz w:val="18"/>
          <w:szCs w:val="18"/>
        </w:rPr>
      </w:pPr>
      <w:r>
        <w:rPr>
          <w:rFonts w:ascii="Times New Roman" w:hAnsi="Times New Roman" w:cs="Times New Roman"/>
          <w:b/>
          <w:bCs/>
          <w:noProof/>
          <w:sz w:val="18"/>
          <w:szCs w:val="18"/>
        </w:rPr>
        <w:drawing>
          <wp:inline distT="0" distB="0" distL="0" distR="0" wp14:anchorId="5299ED38" wp14:editId="762E64D1">
            <wp:extent cx="5274310" cy="4067175"/>
            <wp:effectExtent l="0" t="0" r="0" b="0"/>
            <wp:docPr id="1619732196" name="图片 2" descr="应用程序, 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32196" name="图片 2" descr="应用程序, 日历&#10;&#10;AI 生成的内容可能不正确。"/>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4067175"/>
                    </a:xfrm>
                    <a:prstGeom prst="rect">
                      <a:avLst/>
                    </a:prstGeom>
                  </pic:spPr>
                </pic:pic>
              </a:graphicData>
            </a:graphic>
          </wp:inline>
        </w:drawing>
      </w:r>
    </w:p>
    <w:p w14:paraId="49167757" w14:textId="77777777" w:rsidR="009277B8" w:rsidRPr="00830F57" w:rsidRDefault="009277B8" w:rsidP="009277B8">
      <w:pPr>
        <w:spacing w:before="100" w:line="480" w:lineRule="auto"/>
        <w:jc w:val="both"/>
        <w:rPr>
          <w:rFonts w:ascii="Times New Roman" w:hAnsi="Times New Roman" w:cs="Times New Roman"/>
          <w:b/>
          <w:bCs/>
          <w:sz w:val="18"/>
          <w:szCs w:val="18"/>
        </w:rPr>
      </w:pPr>
      <w:r w:rsidRPr="00830F57">
        <w:rPr>
          <w:rFonts w:ascii="Times New Roman" w:hAnsi="Times New Roman" w:cs="Times New Roman"/>
          <w:b/>
          <w:bCs/>
          <w:sz w:val="18"/>
          <w:szCs w:val="18"/>
        </w:rPr>
        <w:t>Supplementary Figure 4</w:t>
      </w:r>
    </w:p>
    <w:p w14:paraId="7DED21E3" w14:textId="77777777" w:rsidR="009277B8" w:rsidRPr="005172ED" w:rsidRDefault="009277B8" w:rsidP="009277B8">
      <w:pPr>
        <w:spacing w:before="100" w:line="480" w:lineRule="auto"/>
        <w:jc w:val="both"/>
        <w:rPr>
          <w:rFonts w:ascii="Times New Roman" w:hAnsi="Times New Roman" w:cs="Times New Roman"/>
          <w:sz w:val="18"/>
          <w:szCs w:val="18"/>
        </w:rPr>
      </w:pPr>
      <w:r w:rsidRPr="00830F57">
        <w:rPr>
          <w:rFonts w:ascii="Times New Roman" w:hAnsi="Times New Roman" w:cs="Times New Roman"/>
          <w:b/>
          <w:bCs/>
          <w:sz w:val="18"/>
          <w:szCs w:val="18"/>
        </w:rPr>
        <w:t>a-f.</w:t>
      </w:r>
      <w:r w:rsidRPr="00830F57">
        <w:rPr>
          <w:rFonts w:ascii="Times New Roman" w:hAnsi="Times New Roman" w:cs="Times New Roman"/>
          <w:sz w:val="18"/>
          <w:szCs w:val="18"/>
        </w:rPr>
        <w:t xml:space="preserve"> Hematological analysis. Peripheral blood parameters were measured to evaluate systemic inflammatory responses. Comparisons between untreated control mice and mice receiving combined bacterial and antibiotic treatment included white blood cells (WBC), neutrophils (Neu), lymphocytes (Lym), monocytes (Mon), neutrophil-</w:t>
      </w:r>
      <w:r w:rsidRPr="00830F57">
        <w:rPr>
          <w:rFonts w:ascii="Times New Roman" w:hAnsi="Times New Roman" w:cs="Times New Roman"/>
          <w:sz w:val="18"/>
          <w:szCs w:val="18"/>
        </w:rPr>
        <w:lastRenderedPageBreak/>
        <w:t xml:space="preserve">to-lymphocyte ratio (NLR), and monocyte-to-lymphocyte ratio (MLR). No significant differences were observed between groups, indicating that combined bacterial and antibiotic treatment does not affect blood composition. </w:t>
      </w:r>
      <w:r w:rsidRPr="00830F57">
        <w:rPr>
          <w:rFonts w:ascii="Times New Roman" w:hAnsi="Times New Roman" w:cs="Times New Roman"/>
          <w:b/>
          <w:bCs/>
          <w:sz w:val="18"/>
          <w:szCs w:val="18"/>
        </w:rPr>
        <w:t>g-l.</w:t>
      </w:r>
      <w:r w:rsidRPr="00830F57">
        <w:rPr>
          <w:rFonts w:ascii="Times New Roman" w:hAnsi="Times New Roman" w:cs="Times New Roman"/>
          <w:sz w:val="18"/>
          <w:szCs w:val="18"/>
        </w:rPr>
        <w:t xml:space="preserve"> Serum biochemical analysis. Key indicators of organ function were assessed, including alanine aminotransferase (ALT), aspartate aminotransferase (AST), alkaline phosphatase (ALP), albumin (ALB), globulin (GLB), and blood urea nitrogen (BUN). No significant differences were detected between groups, indicating preserved organ function following combined bacterial and antibiotic treatment. </w:t>
      </w:r>
      <w:r w:rsidRPr="00830F57">
        <w:rPr>
          <w:rFonts w:ascii="Times New Roman" w:hAnsi="Times New Roman" w:cs="Times New Roman"/>
          <w:b/>
          <w:bCs/>
          <w:sz w:val="18"/>
          <w:szCs w:val="18"/>
        </w:rPr>
        <w:t>m.</w:t>
      </w:r>
      <w:r w:rsidRPr="00830F57">
        <w:rPr>
          <w:rFonts w:ascii="Times New Roman" w:hAnsi="Times New Roman" w:cs="Times New Roman"/>
          <w:sz w:val="18"/>
          <w:szCs w:val="18"/>
        </w:rPr>
        <w:t xml:space="preserve"> Immunohistochemical staining of IL-6 in heart, liver, spleen, lung, and kidney sections from control and 5ApCBLux-treated mice. Representative images from three independent samples per organ are shown. Scale bar: 200 </w:t>
      </w:r>
      <w:proofErr w:type="spellStart"/>
      <w:r w:rsidRPr="00830F57">
        <w:rPr>
          <w:rFonts w:ascii="Times New Roman" w:hAnsi="Times New Roman" w:cs="Times New Roman"/>
          <w:sz w:val="18"/>
          <w:szCs w:val="18"/>
        </w:rPr>
        <w:t>μm</w:t>
      </w:r>
      <w:proofErr w:type="spellEnd"/>
      <w:r w:rsidRPr="00830F57">
        <w:rPr>
          <w:rFonts w:ascii="Times New Roman" w:hAnsi="Times New Roman" w:cs="Times New Roman"/>
          <w:sz w:val="18"/>
          <w:szCs w:val="18"/>
        </w:rPr>
        <w:t>. No apparent differences were observed between groups, further supporting the biosafety of the treatment.</w:t>
      </w:r>
    </w:p>
    <w:p w14:paraId="62FB9077" w14:textId="77777777" w:rsidR="00B92248" w:rsidRPr="009277B8" w:rsidRDefault="00B92248"/>
    <w:sectPr w:rsidR="00B92248" w:rsidRPr="009277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7B8"/>
    <w:rsid w:val="00527CB9"/>
    <w:rsid w:val="00534017"/>
    <w:rsid w:val="00635091"/>
    <w:rsid w:val="009277B8"/>
    <w:rsid w:val="00B92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22BF9FF"/>
  <w15:chartTrackingRefBased/>
  <w15:docId w15:val="{A91BEA24-4FD7-F243-A18C-BBF426DA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7B8"/>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9277B8"/>
    <w:pPr>
      <w:keepNext/>
      <w:keepLines/>
      <w:widowControl w:val="0"/>
      <w:spacing w:before="480" w:after="80" w:line="278" w:lineRule="auto"/>
      <w:outlineLvl w:val="0"/>
    </w:pPr>
    <w:rPr>
      <w:rFonts w:asciiTheme="majorHAnsi" w:eastAsiaTheme="majorEastAsia" w:hAnsiTheme="majorHAnsi" w:cstheme="majorBidi"/>
      <w:color w:val="2F5496" w:themeColor="accent1" w:themeShade="BF"/>
      <w:kern w:val="2"/>
      <w:sz w:val="48"/>
      <w:szCs w:val="48"/>
      <w14:ligatures w14:val="standardContextual"/>
    </w:rPr>
  </w:style>
  <w:style w:type="paragraph" w:styleId="2">
    <w:name w:val="heading 2"/>
    <w:basedOn w:val="a"/>
    <w:next w:val="a"/>
    <w:link w:val="20"/>
    <w:uiPriority w:val="9"/>
    <w:semiHidden/>
    <w:unhideWhenUsed/>
    <w:qFormat/>
    <w:rsid w:val="009277B8"/>
    <w:pPr>
      <w:keepNext/>
      <w:keepLines/>
      <w:widowControl w:val="0"/>
      <w:spacing w:before="160" w:after="80" w:line="278" w:lineRule="auto"/>
      <w:outlineLvl w:val="1"/>
    </w:pPr>
    <w:rPr>
      <w:rFonts w:asciiTheme="majorHAnsi" w:eastAsiaTheme="majorEastAsia" w:hAnsiTheme="majorHAnsi" w:cstheme="majorBidi"/>
      <w:color w:val="2F5496" w:themeColor="accent1" w:themeShade="BF"/>
      <w:kern w:val="2"/>
      <w:sz w:val="40"/>
      <w:szCs w:val="40"/>
      <w14:ligatures w14:val="standardContextual"/>
    </w:rPr>
  </w:style>
  <w:style w:type="paragraph" w:styleId="3">
    <w:name w:val="heading 3"/>
    <w:basedOn w:val="a"/>
    <w:next w:val="a"/>
    <w:link w:val="30"/>
    <w:uiPriority w:val="9"/>
    <w:semiHidden/>
    <w:unhideWhenUsed/>
    <w:qFormat/>
    <w:rsid w:val="009277B8"/>
    <w:pPr>
      <w:keepNext/>
      <w:keepLines/>
      <w:widowControl w:val="0"/>
      <w:spacing w:before="160" w:after="80" w:line="278" w:lineRule="auto"/>
      <w:outlineLvl w:val="2"/>
    </w:pPr>
    <w:rPr>
      <w:rFonts w:asciiTheme="majorHAnsi" w:eastAsiaTheme="majorEastAsia" w:hAnsiTheme="majorHAnsi" w:cstheme="majorBidi"/>
      <w:color w:val="2F5496" w:themeColor="accent1" w:themeShade="BF"/>
      <w:kern w:val="2"/>
      <w:sz w:val="32"/>
      <w:szCs w:val="32"/>
      <w14:ligatures w14:val="standardContextual"/>
    </w:rPr>
  </w:style>
  <w:style w:type="paragraph" w:styleId="4">
    <w:name w:val="heading 4"/>
    <w:basedOn w:val="a"/>
    <w:next w:val="a"/>
    <w:link w:val="40"/>
    <w:uiPriority w:val="9"/>
    <w:semiHidden/>
    <w:unhideWhenUsed/>
    <w:qFormat/>
    <w:rsid w:val="009277B8"/>
    <w:pPr>
      <w:keepNext/>
      <w:keepLines/>
      <w:widowControl w:val="0"/>
      <w:spacing w:before="80" w:after="40" w:line="278" w:lineRule="auto"/>
      <w:outlineLvl w:val="3"/>
    </w:pPr>
    <w:rPr>
      <w:rFonts w:asciiTheme="minorHAnsi" w:eastAsiaTheme="minorEastAsia" w:hAnsiTheme="minorHAnsi" w:cstheme="majorBidi"/>
      <w:color w:val="2F5496" w:themeColor="accent1" w:themeShade="BF"/>
      <w:kern w:val="2"/>
      <w:sz w:val="28"/>
      <w:szCs w:val="28"/>
      <w14:ligatures w14:val="standardContextual"/>
    </w:rPr>
  </w:style>
  <w:style w:type="paragraph" w:styleId="5">
    <w:name w:val="heading 5"/>
    <w:basedOn w:val="a"/>
    <w:next w:val="a"/>
    <w:link w:val="50"/>
    <w:uiPriority w:val="9"/>
    <w:semiHidden/>
    <w:unhideWhenUsed/>
    <w:qFormat/>
    <w:rsid w:val="009277B8"/>
    <w:pPr>
      <w:keepNext/>
      <w:keepLines/>
      <w:widowControl w:val="0"/>
      <w:spacing w:before="80" w:after="40" w:line="278" w:lineRule="auto"/>
      <w:outlineLvl w:val="4"/>
    </w:pPr>
    <w:rPr>
      <w:rFonts w:asciiTheme="minorHAnsi" w:eastAsiaTheme="min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9277B8"/>
    <w:pPr>
      <w:keepNext/>
      <w:keepLines/>
      <w:widowControl w:val="0"/>
      <w:spacing w:before="40" w:line="278" w:lineRule="auto"/>
      <w:outlineLvl w:val="5"/>
    </w:pPr>
    <w:rPr>
      <w:rFonts w:asciiTheme="minorHAnsi" w:eastAsiaTheme="minorEastAsia" w:hAnsiTheme="minorHAnsi" w:cstheme="majorBidi"/>
      <w:b/>
      <w:bCs/>
      <w:color w:val="2F5496" w:themeColor="accent1" w:themeShade="BF"/>
      <w:kern w:val="2"/>
      <w:sz w:val="22"/>
      <w14:ligatures w14:val="standardContextual"/>
    </w:rPr>
  </w:style>
  <w:style w:type="paragraph" w:styleId="7">
    <w:name w:val="heading 7"/>
    <w:basedOn w:val="a"/>
    <w:next w:val="a"/>
    <w:link w:val="70"/>
    <w:uiPriority w:val="9"/>
    <w:semiHidden/>
    <w:unhideWhenUsed/>
    <w:qFormat/>
    <w:rsid w:val="009277B8"/>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9277B8"/>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9277B8"/>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77B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277B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277B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277B8"/>
    <w:rPr>
      <w:rFonts w:cstheme="majorBidi"/>
      <w:color w:val="2F5496" w:themeColor="accent1" w:themeShade="BF"/>
      <w:sz w:val="28"/>
      <w:szCs w:val="28"/>
    </w:rPr>
  </w:style>
  <w:style w:type="character" w:customStyle="1" w:styleId="50">
    <w:name w:val="标题 5 字符"/>
    <w:basedOn w:val="a0"/>
    <w:link w:val="5"/>
    <w:uiPriority w:val="9"/>
    <w:semiHidden/>
    <w:rsid w:val="009277B8"/>
    <w:rPr>
      <w:rFonts w:cstheme="majorBidi"/>
      <w:color w:val="2F5496" w:themeColor="accent1" w:themeShade="BF"/>
      <w:sz w:val="24"/>
    </w:rPr>
  </w:style>
  <w:style w:type="character" w:customStyle="1" w:styleId="60">
    <w:name w:val="标题 6 字符"/>
    <w:basedOn w:val="a0"/>
    <w:link w:val="6"/>
    <w:uiPriority w:val="9"/>
    <w:semiHidden/>
    <w:rsid w:val="009277B8"/>
    <w:rPr>
      <w:rFonts w:cstheme="majorBidi"/>
      <w:b/>
      <w:bCs/>
      <w:color w:val="2F5496" w:themeColor="accent1" w:themeShade="BF"/>
    </w:rPr>
  </w:style>
  <w:style w:type="character" w:customStyle="1" w:styleId="70">
    <w:name w:val="标题 7 字符"/>
    <w:basedOn w:val="a0"/>
    <w:link w:val="7"/>
    <w:uiPriority w:val="9"/>
    <w:semiHidden/>
    <w:rsid w:val="009277B8"/>
    <w:rPr>
      <w:rFonts w:cstheme="majorBidi"/>
      <w:b/>
      <w:bCs/>
      <w:color w:val="595959" w:themeColor="text1" w:themeTint="A6"/>
    </w:rPr>
  </w:style>
  <w:style w:type="character" w:customStyle="1" w:styleId="80">
    <w:name w:val="标题 8 字符"/>
    <w:basedOn w:val="a0"/>
    <w:link w:val="8"/>
    <w:uiPriority w:val="9"/>
    <w:semiHidden/>
    <w:rsid w:val="009277B8"/>
    <w:rPr>
      <w:rFonts w:cstheme="majorBidi"/>
      <w:color w:val="595959" w:themeColor="text1" w:themeTint="A6"/>
    </w:rPr>
  </w:style>
  <w:style w:type="character" w:customStyle="1" w:styleId="90">
    <w:name w:val="标题 9 字符"/>
    <w:basedOn w:val="a0"/>
    <w:link w:val="9"/>
    <w:uiPriority w:val="9"/>
    <w:semiHidden/>
    <w:rsid w:val="009277B8"/>
    <w:rPr>
      <w:rFonts w:eastAsiaTheme="majorEastAsia" w:cstheme="majorBidi"/>
      <w:color w:val="595959" w:themeColor="text1" w:themeTint="A6"/>
    </w:rPr>
  </w:style>
  <w:style w:type="paragraph" w:styleId="a3">
    <w:name w:val="Title"/>
    <w:basedOn w:val="a"/>
    <w:next w:val="a"/>
    <w:link w:val="a4"/>
    <w:uiPriority w:val="10"/>
    <w:qFormat/>
    <w:rsid w:val="009277B8"/>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277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77B8"/>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9277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277B8"/>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 字符"/>
    <w:basedOn w:val="a0"/>
    <w:link w:val="a7"/>
    <w:uiPriority w:val="29"/>
    <w:rsid w:val="009277B8"/>
    <w:rPr>
      <w:i/>
      <w:iCs/>
      <w:color w:val="404040" w:themeColor="text1" w:themeTint="BF"/>
    </w:rPr>
  </w:style>
  <w:style w:type="paragraph" w:styleId="a9">
    <w:name w:val="List Paragraph"/>
    <w:basedOn w:val="a"/>
    <w:uiPriority w:val="34"/>
    <w:qFormat/>
    <w:rsid w:val="009277B8"/>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styleId="aa">
    <w:name w:val="Intense Emphasis"/>
    <w:basedOn w:val="a0"/>
    <w:uiPriority w:val="21"/>
    <w:qFormat/>
    <w:rsid w:val="009277B8"/>
    <w:rPr>
      <w:i/>
      <w:iCs/>
      <w:color w:val="2F5496" w:themeColor="accent1" w:themeShade="BF"/>
    </w:rPr>
  </w:style>
  <w:style w:type="paragraph" w:styleId="ab">
    <w:name w:val="Intense Quote"/>
    <w:basedOn w:val="a"/>
    <w:next w:val="a"/>
    <w:link w:val="ac"/>
    <w:uiPriority w:val="30"/>
    <w:qFormat/>
    <w:rsid w:val="009277B8"/>
    <w:pPr>
      <w:widowControl w:val="0"/>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 w:val="22"/>
      <w14:ligatures w14:val="standardContextual"/>
    </w:rPr>
  </w:style>
  <w:style w:type="character" w:customStyle="1" w:styleId="ac">
    <w:name w:val="明显引用 字符"/>
    <w:basedOn w:val="a0"/>
    <w:link w:val="ab"/>
    <w:uiPriority w:val="30"/>
    <w:rsid w:val="009277B8"/>
    <w:rPr>
      <w:i/>
      <w:iCs/>
      <w:color w:val="2F5496" w:themeColor="accent1" w:themeShade="BF"/>
    </w:rPr>
  </w:style>
  <w:style w:type="character" w:styleId="ad">
    <w:name w:val="Intense Reference"/>
    <w:basedOn w:val="a0"/>
    <w:uiPriority w:val="32"/>
    <w:qFormat/>
    <w:rsid w:val="009277B8"/>
    <w:rPr>
      <w:b/>
      <w:bCs/>
      <w:smallCaps/>
      <w:color w:val="2F5496" w:themeColor="accent1" w:themeShade="BF"/>
      <w:spacing w:val="5"/>
    </w:rPr>
  </w:style>
  <w:style w:type="paragraph" w:customStyle="1" w:styleId="p1">
    <w:name w:val="p1"/>
    <w:basedOn w:val="a"/>
    <w:rsid w:val="009277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 王</dc:creator>
  <cp:keywords/>
  <dc:description/>
  <cp:lastModifiedBy>一 王</cp:lastModifiedBy>
  <cp:revision>1</cp:revision>
  <dcterms:created xsi:type="dcterms:W3CDTF">2026-04-07T09:10:00Z</dcterms:created>
  <dcterms:modified xsi:type="dcterms:W3CDTF">2026-04-07T09:11:00Z</dcterms:modified>
</cp:coreProperties>
</file>