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F85FA1">
      <w:pPr>
        <w:rPr>
          <w:rFonts w:ascii="Times New Roman" w:hAnsi="Times New Roman" w:cs="Times New Roman"/>
        </w:rPr>
      </w:pPr>
    </w:p>
    <w:p w14:paraId="3C79978E">
      <w:pPr>
        <w:rPr>
          <w:rFonts w:ascii="Times New Roman" w:hAnsi="Times New Roman" w:cs="Times New Roman"/>
        </w:rPr>
      </w:pPr>
      <w:r>
        <w:rPr>
          <w:rFonts w:ascii="Times New Roman" w:hAnsi="Times New Roman" w:cs="Times New Roman"/>
        </w:rPr>
        <w:t>Supplement Figure</w:t>
      </w:r>
      <w:r>
        <w:rPr>
          <w:rFonts w:hint="eastAsia" w:ascii="Times New Roman" w:hAnsi="Times New Roman" w:cs="Times New Roman"/>
          <w:lang w:val="en-US" w:eastAsia="zh-CN"/>
        </w:rPr>
        <w:t xml:space="preserve"> legends</w:t>
      </w:r>
      <w:r>
        <w:rPr>
          <w:rFonts w:hint="eastAsia" w:ascii="Times New Roman" w:hAnsi="Times New Roman" w:cs="Times New Roman"/>
        </w:rPr>
        <w:t>:</w:t>
      </w:r>
    </w:p>
    <w:p w14:paraId="1FB7E400">
      <w:pPr>
        <w:spacing w:line="360" w:lineRule="auto"/>
        <w:rPr>
          <w:rFonts w:ascii="Times New Roman" w:hAnsi="Times New Roman" w:cs="Times New Roman"/>
          <w:sz w:val="20"/>
          <w:szCs w:val="20"/>
        </w:rPr>
      </w:pPr>
    </w:p>
    <w:p w14:paraId="6CB29D6D">
      <w:pPr>
        <w:spacing w:line="360" w:lineRule="auto"/>
        <w:rPr>
          <w:rFonts w:ascii="Times New Roman" w:hAnsi="Times New Roman" w:eastAsia="宋体" w:cs="Times New Roman"/>
          <w:b w:val="0"/>
          <w:bCs w:val="0"/>
          <w:szCs w:val="24"/>
        </w:rPr>
      </w:pPr>
      <w:r>
        <w:rPr>
          <w:rFonts w:ascii="Times New Roman" w:hAnsi="Times New Roman" w:eastAsia="宋体" w:cs="Times New Roman"/>
          <w:b/>
          <w:bCs/>
          <w:szCs w:val="24"/>
        </w:rPr>
        <w:t xml:space="preserve">Figure S1. </w:t>
      </w:r>
      <w:r>
        <w:rPr>
          <w:rFonts w:hint="eastAsia" w:ascii="Times New Roman" w:hAnsi="Times New Roman" w:eastAsia="宋体" w:cs="Times New Roman"/>
          <w:b/>
          <w:bCs/>
          <w:szCs w:val="24"/>
        </w:rPr>
        <w:t>Correlation analysis between ARRDC1, TUBB2A, DUSP5, and SLC2A3 expression and responses to multiple drugs.</w:t>
      </w:r>
      <w:r>
        <w:rPr>
          <w:rFonts w:hint="eastAsia" w:ascii="Times New Roman" w:hAnsi="Times New Roman" w:eastAsia="宋体" w:cs="Times New Roman"/>
          <w:b/>
          <w:bCs/>
          <w:szCs w:val="24"/>
          <w:lang w:val="en-US" w:eastAsia="zh-CN"/>
        </w:rPr>
        <w:t xml:space="preserve"> </w:t>
      </w:r>
      <w:r>
        <w:rPr>
          <w:rFonts w:hint="eastAsia" w:ascii="Times New Roman" w:hAnsi="Times New Roman" w:eastAsia="宋体" w:cs="Times New Roman"/>
          <w:b w:val="0"/>
          <w:bCs w:val="0"/>
          <w:szCs w:val="24"/>
        </w:rPr>
        <w:t>Scatter plots show the correlations between the expression levels of AR</w:t>
      </w:r>
      <w:bookmarkStart w:id="26" w:name="_GoBack"/>
      <w:bookmarkEnd w:id="26"/>
      <w:r>
        <w:rPr>
          <w:rFonts w:hint="eastAsia" w:ascii="Times New Roman" w:hAnsi="Times New Roman" w:eastAsia="宋体" w:cs="Times New Roman"/>
          <w:b w:val="0"/>
          <w:bCs w:val="0"/>
          <w:szCs w:val="24"/>
        </w:rPr>
        <w:t>RDC1, TUBB2A, DUSP5, and SLC2A3 and the responses to five drugs. The red lines indicate linear fitted trends. A–E: correlations between ARRDC1 expression and responses to Savolitinib, Buparlisib, Niraparib, Olaparib, and Axitinib, respectively. ARRDC1 expression was positively correlated with responses to Savolitinib, Niraparib, and Olaparib, whereas its correlations with Buparlisib and Axitinib responses were not significant. F–J: TUBB2A expression was generally negatively correlated with responses to the five drugs المذكورة above. K–O: DUSP5 expression showed weak negative correlations with drug responses in most cases, with statistically significant correlations observed for Niraparib, Olaparib, and Axitinib. P–T: SLC2A3 expression was negatively correlated with responses to all five drugs, with the strongest negative correlations observed for Niraparib, Olaparib, and Axitinib. Pearson’s correlation coefficients (R) and corresponding P values are shown in the figure.</w:t>
      </w:r>
    </w:p>
    <w:p w14:paraId="1B4E5F1A">
      <w:pPr>
        <w:rPr>
          <w:rFonts w:ascii="Times New Roman" w:hAnsi="Times New Roman" w:cs="Times New Roman"/>
        </w:rPr>
      </w:pPr>
    </w:p>
    <w:p w14:paraId="6DC78D33">
      <w:pPr>
        <w:spacing w:line="360" w:lineRule="auto"/>
        <w:rPr>
          <w:rFonts w:ascii="Times New Roman" w:hAnsi="Times New Roman" w:eastAsia="宋体" w:cs="Times New Roman"/>
          <w:szCs w:val="24"/>
        </w:rPr>
      </w:pPr>
      <w:r>
        <w:rPr>
          <w:rFonts w:ascii="Times New Roman" w:hAnsi="Times New Roman" w:eastAsia="宋体" w:cs="Times New Roman"/>
          <w:b/>
          <w:bCs/>
          <w:szCs w:val="24"/>
        </w:rPr>
        <w:t xml:space="preserve">Figure </w:t>
      </w:r>
      <w:r>
        <w:rPr>
          <w:rFonts w:hint="eastAsia" w:ascii="Times New Roman" w:hAnsi="Times New Roman" w:eastAsia="宋体" w:cs="Times New Roman"/>
          <w:b/>
          <w:bCs/>
          <w:szCs w:val="24"/>
          <w:lang w:val="en-US" w:eastAsia="zh-CN"/>
        </w:rPr>
        <w:t>S2</w:t>
      </w:r>
      <w:r>
        <w:rPr>
          <w:rFonts w:ascii="Times New Roman" w:hAnsi="Times New Roman" w:eastAsia="宋体" w:cs="Times New Roman"/>
          <w:b/>
          <w:bCs/>
          <w:szCs w:val="24"/>
        </w:rPr>
        <w:t>. Association of different clusters and</w:t>
      </w:r>
      <w:bookmarkStart w:id="0" w:name="OLE_LINK44"/>
      <w:r>
        <w:rPr>
          <w:rFonts w:ascii="Times New Roman" w:hAnsi="Times New Roman" w:eastAsia="宋体" w:cs="Times New Roman"/>
          <w:b/>
          <w:bCs/>
          <w:szCs w:val="24"/>
        </w:rPr>
        <w:t xml:space="preserve"> </w:t>
      </w:r>
      <w:bookmarkStart w:id="1" w:name="OLE_LINK20"/>
      <w:r>
        <w:rPr>
          <w:rFonts w:ascii="Times New Roman" w:hAnsi="Times New Roman" w:eastAsia="宋体" w:cs="Times New Roman"/>
          <w:b/>
          <w:bCs/>
          <w:szCs w:val="24"/>
        </w:rPr>
        <w:t>ARRDC1</w:t>
      </w:r>
      <w:bookmarkEnd w:id="0"/>
      <w:bookmarkEnd w:id="1"/>
      <w:r>
        <w:rPr>
          <w:rFonts w:ascii="Times New Roman" w:hAnsi="Times New Roman" w:eastAsia="宋体" w:cs="Times New Roman"/>
          <w:b/>
          <w:bCs/>
          <w:szCs w:val="24"/>
        </w:rPr>
        <w:t xml:space="preserve"> expression with drug sensitivity and molecular docking analysis.</w:t>
      </w:r>
      <w:r>
        <w:rPr>
          <w:rFonts w:ascii="Times New Roman" w:hAnsi="Times New Roman" w:eastAsia="宋体" w:cs="Times New Roman"/>
          <w:szCs w:val="24"/>
        </w:rPr>
        <w:t xml:space="preserve"> (A) Violin plot showing the differences in drug sensitivity of five drugs—</w:t>
      </w:r>
      <w:bookmarkStart w:id="2" w:name="OLE_LINK21"/>
      <w:bookmarkStart w:id="3" w:name="OLE_LINK19"/>
      <w:r>
        <w:rPr>
          <w:rFonts w:ascii="Times New Roman" w:hAnsi="Times New Roman" w:eastAsia="宋体" w:cs="Times New Roman"/>
          <w:szCs w:val="24"/>
        </w:rPr>
        <w:t>Savolitinib</w:t>
      </w:r>
      <w:bookmarkEnd w:id="2"/>
      <w:r>
        <w:rPr>
          <w:rFonts w:ascii="Times New Roman" w:hAnsi="Times New Roman" w:eastAsia="宋体" w:cs="Times New Roman"/>
          <w:szCs w:val="24"/>
        </w:rPr>
        <w:t>_1936</w:t>
      </w:r>
      <w:bookmarkEnd w:id="3"/>
      <w:r>
        <w:rPr>
          <w:rFonts w:ascii="Times New Roman" w:hAnsi="Times New Roman" w:eastAsia="宋体" w:cs="Times New Roman"/>
          <w:szCs w:val="24"/>
        </w:rPr>
        <w:t xml:space="preserve">, </w:t>
      </w:r>
      <w:bookmarkStart w:id="4" w:name="OLE_LINK23"/>
      <w:r>
        <w:rPr>
          <w:rFonts w:ascii="Times New Roman" w:hAnsi="Times New Roman" w:eastAsia="宋体" w:cs="Times New Roman"/>
          <w:szCs w:val="24"/>
        </w:rPr>
        <w:t>Buparlisib</w:t>
      </w:r>
      <w:bookmarkEnd w:id="4"/>
      <w:r>
        <w:rPr>
          <w:rFonts w:ascii="Times New Roman" w:hAnsi="Times New Roman" w:eastAsia="宋体" w:cs="Times New Roman"/>
          <w:szCs w:val="24"/>
        </w:rPr>
        <w:t xml:space="preserve">_1873, </w:t>
      </w:r>
      <w:bookmarkStart w:id="5" w:name="OLE_LINK24"/>
      <w:r>
        <w:rPr>
          <w:rFonts w:ascii="Times New Roman" w:hAnsi="Times New Roman" w:eastAsia="宋体" w:cs="Times New Roman"/>
          <w:szCs w:val="24"/>
        </w:rPr>
        <w:t>Niraparib</w:t>
      </w:r>
      <w:bookmarkEnd w:id="5"/>
      <w:r>
        <w:rPr>
          <w:rFonts w:ascii="Times New Roman" w:hAnsi="Times New Roman" w:eastAsia="宋体" w:cs="Times New Roman"/>
          <w:szCs w:val="24"/>
        </w:rPr>
        <w:t>_1177,</w:t>
      </w:r>
      <w:bookmarkStart w:id="6" w:name="OLE_LINK45"/>
      <w:r>
        <w:rPr>
          <w:rFonts w:ascii="Times New Roman" w:hAnsi="Times New Roman" w:eastAsia="宋体" w:cs="Times New Roman"/>
          <w:szCs w:val="24"/>
        </w:rPr>
        <w:t xml:space="preserve"> </w:t>
      </w:r>
      <w:bookmarkStart w:id="7" w:name="OLE_LINK22"/>
      <w:r>
        <w:rPr>
          <w:rFonts w:ascii="Times New Roman" w:hAnsi="Times New Roman" w:eastAsia="宋体" w:cs="Times New Roman"/>
          <w:szCs w:val="24"/>
        </w:rPr>
        <w:t>Olaparib</w:t>
      </w:r>
      <w:bookmarkEnd w:id="6"/>
      <w:bookmarkEnd w:id="7"/>
      <w:r>
        <w:rPr>
          <w:rFonts w:ascii="Times New Roman" w:hAnsi="Times New Roman" w:eastAsia="宋体" w:cs="Times New Roman"/>
          <w:szCs w:val="24"/>
        </w:rPr>
        <w:t>_1017, and Axitinib_1021—between NETs subtypes.</w:t>
      </w:r>
      <w:r>
        <w:t xml:space="preserve"> </w:t>
      </w:r>
      <w:r>
        <w:rPr>
          <w:rFonts w:ascii="Times New Roman" w:hAnsi="Times New Roman" w:eastAsia="宋体" w:cs="Times New Roman"/>
          <w:szCs w:val="24"/>
        </w:rPr>
        <w:t>(B–F) Drug response differences for Savolitinib (B), Buparlisib (C), Niraparib (D), Olaparib (E), Axitinib (F) between ARRDC1 high-expression (n = 209) and low-expression (n = 210) groups (Wilcoxon test).</w:t>
      </w:r>
      <w:r>
        <w:t xml:space="preserve"> </w:t>
      </w:r>
      <w:r>
        <w:rPr>
          <w:rFonts w:ascii="Times New Roman" w:hAnsi="Times New Roman" w:eastAsia="宋体" w:cs="Times New Roman"/>
          <w:szCs w:val="24"/>
        </w:rPr>
        <w:t>The structural panels on the right illustrate the corresponding molecular docking results, including:</w:t>
      </w:r>
      <w:r>
        <w:rPr>
          <w:rFonts w:hint="eastAsia" w:ascii="Times New Roman" w:hAnsi="Times New Roman" w:eastAsia="宋体" w:cs="Times New Roman"/>
          <w:szCs w:val="24"/>
        </w:rPr>
        <w:t xml:space="preserve"> </w:t>
      </w:r>
      <w:r>
        <w:rPr>
          <w:rFonts w:ascii="Times New Roman" w:hAnsi="Times New Roman" w:eastAsia="宋体" w:cs="Times New Roman"/>
          <w:szCs w:val="24"/>
        </w:rPr>
        <w:t>electrostatic surface distribution of the protein,</w:t>
      </w:r>
      <w:r>
        <w:rPr>
          <w:rFonts w:hint="eastAsia" w:ascii="Times New Roman" w:hAnsi="Times New Roman" w:eastAsia="宋体" w:cs="Times New Roman"/>
          <w:szCs w:val="24"/>
        </w:rPr>
        <w:t xml:space="preserve"> </w:t>
      </w:r>
      <w:r>
        <w:rPr>
          <w:rFonts w:ascii="Times New Roman" w:hAnsi="Times New Roman" w:eastAsia="宋体" w:cs="Times New Roman"/>
          <w:szCs w:val="24"/>
        </w:rPr>
        <w:t>global positioning of the ligand within the protein fold, and</w:t>
      </w:r>
      <w:r>
        <w:rPr>
          <w:rFonts w:hint="eastAsia" w:ascii="Times New Roman" w:hAnsi="Times New Roman" w:eastAsia="宋体" w:cs="Times New Roman"/>
          <w:szCs w:val="24"/>
        </w:rPr>
        <w:t xml:space="preserve"> </w:t>
      </w:r>
      <w:r>
        <w:rPr>
          <w:rFonts w:ascii="Times New Roman" w:hAnsi="Times New Roman" w:eastAsia="宋体" w:cs="Times New Roman"/>
          <w:szCs w:val="24"/>
        </w:rPr>
        <w:t>enlarged binding-pocket views depicting key interactions between each ligand and surrounding amino acid residues.</w:t>
      </w:r>
    </w:p>
    <w:p w14:paraId="3DE561BA">
      <w:pPr>
        <w:spacing w:line="360" w:lineRule="auto"/>
        <w:rPr>
          <w:rFonts w:ascii="Times New Roman" w:hAnsi="Times New Roman" w:eastAsia="宋体" w:cs="Times New Roman"/>
          <w:szCs w:val="24"/>
        </w:rPr>
      </w:pPr>
    </w:p>
    <w:p w14:paraId="4502D7D3">
      <w:pPr>
        <w:spacing w:line="360" w:lineRule="auto"/>
        <w:rPr>
          <w:rFonts w:ascii="Times New Roman" w:hAnsi="Times New Roman" w:eastAsia="宋体" w:cs="Times New Roman"/>
          <w:szCs w:val="24"/>
        </w:rPr>
      </w:pPr>
      <w:r>
        <w:rPr>
          <w:rFonts w:ascii="Times New Roman" w:hAnsi="Times New Roman" w:eastAsia="宋体" w:cs="Times New Roman"/>
          <w:b/>
          <w:bCs/>
          <w:szCs w:val="24"/>
        </w:rPr>
        <w:t xml:space="preserve">Figure </w:t>
      </w:r>
      <w:r>
        <w:rPr>
          <w:rFonts w:hint="eastAsia" w:ascii="Times New Roman" w:hAnsi="Times New Roman" w:eastAsia="宋体" w:cs="Times New Roman"/>
          <w:b/>
          <w:bCs/>
          <w:szCs w:val="24"/>
          <w:lang w:val="en-US" w:eastAsia="zh-CN"/>
        </w:rPr>
        <w:t>S3</w:t>
      </w:r>
      <w:r>
        <w:rPr>
          <w:rFonts w:ascii="Times New Roman" w:hAnsi="Times New Roman" w:eastAsia="宋体" w:cs="Times New Roman"/>
          <w:b/>
          <w:bCs/>
          <w:szCs w:val="24"/>
        </w:rPr>
        <w:t xml:space="preserve">. Association of </w:t>
      </w:r>
      <w:bookmarkStart w:id="8" w:name="_Hlk215004725"/>
      <w:r>
        <w:rPr>
          <w:rFonts w:ascii="Times New Roman" w:hAnsi="Times New Roman" w:eastAsia="宋体" w:cs="Times New Roman"/>
          <w:b/>
          <w:bCs/>
          <w:szCs w:val="24"/>
        </w:rPr>
        <w:t>SLC2A3</w:t>
      </w:r>
      <w:bookmarkEnd w:id="8"/>
      <w:r>
        <w:rPr>
          <w:rFonts w:ascii="Times New Roman" w:hAnsi="Times New Roman" w:eastAsia="宋体" w:cs="Times New Roman"/>
          <w:b/>
          <w:bCs/>
          <w:szCs w:val="24"/>
        </w:rPr>
        <w:t xml:space="preserve"> expression with drug sensitivity and molecular docking analysis.</w:t>
      </w:r>
      <w:r>
        <w:rPr>
          <w:rFonts w:ascii="Times New Roman" w:hAnsi="Times New Roman" w:eastAsia="宋体" w:cs="Times New Roman"/>
          <w:szCs w:val="24"/>
        </w:rPr>
        <w:t xml:space="preserve"> (A–E) Drug response differences for </w:t>
      </w:r>
      <w:bookmarkStart w:id="9" w:name="OLE_LINK30"/>
      <w:r>
        <w:rPr>
          <w:rFonts w:ascii="Times New Roman" w:hAnsi="Times New Roman" w:eastAsia="宋体" w:cs="Times New Roman"/>
          <w:szCs w:val="24"/>
        </w:rPr>
        <w:t>Savolitinib</w:t>
      </w:r>
      <w:bookmarkEnd w:id="9"/>
      <w:r>
        <w:rPr>
          <w:rFonts w:ascii="Times New Roman" w:hAnsi="Times New Roman" w:eastAsia="宋体" w:cs="Times New Roman"/>
          <w:szCs w:val="24"/>
        </w:rPr>
        <w:t xml:space="preserve"> (A), </w:t>
      </w:r>
      <w:bookmarkStart w:id="10" w:name="OLE_LINK31"/>
      <w:r>
        <w:rPr>
          <w:rFonts w:ascii="Times New Roman" w:hAnsi="Times New Roman" w:eastAsia="宋体" w:cs="Times New Roman"/>
          <w:szCs w:val="24"/>
        </w:rPr>
        <w:t>Buparlisib</w:t>
      </w:r>
      <w:bookmarkEnd w:id="10"/>
      <w:r>
        <w:rPr>
          <w:rFonts w:ascii="Times New Roman" w:hAnsi="Times New Roman" w:eastAsia="宋体" w:cs="Times New Roman"/>
          <w:szCs w:val="24"/>
        </w:rPr>
        <w:t xml:space="preserve"> (B), </w:t>
      </w:r>
      <w:bookmarkStart w:id="11" w:name="OLE_LINK32"/>
      <w:r>
        <w:rPr>
          <w:rFonts w:ascii="Times New Roman" w:hAnsi="Times New Roman" w:eastAsia="宋体" w:cs="Times New Roman"/>
          <w:szCs w:val="24"/>
        </w:rPr>
        <w:t>Niraparib</w:t>
      </w:r>
      <w:bookmarkEnd w:id="11"/>
      <w:r>
        <w:rPr>
          <w:rFonts w:ascii="Times New Roman" w:hAnsi="Times New Roman" w:eastAsia="宋体" w:cs="Times New Roman"/>
          <w:szCs w:val="24"/>
        </w:rPr>
        <w:t xml:space="preserve"> (C), </w:t>
      </w:r>
      <w:bookmarkStart w:id="12" w:name="OLE_LINK28"/>
      <w:r>
        <w:rPr>
          <w:rFonts w:ascii="Times New Roman" w:hAnsi="Times New Roman" w:eastAsia="宋体" w:cs="Times New Roman"/>
          <w:szCs w:val="24"/>
        </w:rPr>
        <w:t>Olaparib</w:t>
      </w:r>
      <w:bookmarkEnd w:id="12"/>
      <w:r>
        <w:rPr>
          <w:rFonts w:ascii="Times New Roman" w:hAnsi="Times New Roman" w:eastAsia="宋体" w:cs="Times New Roman"/>
          <w:szCs w:val="24"/>
        </w:rPr>
        <w:t xml:space="preserve"> (D), </w:t>
      </w:r>
      <w:bookmarkStart w:id="13" w:name="OLE_LINK29"/>
      <w:r>
        <w:rPr>
          <w:rFonts w:ascii="Times New Roman" w:hAnsi="Times New Roman" w:eastAsia="宋体" w:cs="Times New Roman"/>
          <w:szCs w:val="24"/>
        </w:rPr>
        <w:t>Axitinib</w:t>
      </w:r>
      <w:bookmarkEnd w:id="13"/>
      <w:r>
        <w:rPr>
          <w:rFonts w:ascii="Times New Roman" w:hAnsi="Times New Roman" w:eastAsia="宋体" w:cs="Times New Roman"/>
          <w:szCs w:val="24"/>
        </w:rPr>
        <w:t xml:space="preserve"> (E) between SLC2A3 high-expression (n = 209) and low-expression (n = 210) groups (Wilcoxon test).</w:t>
      </w:r>
      <w:r>
        <w:t xml:space="preserve"> </w:t>
      </w:r>
      <w:r>
        <w:rPr>
          <w:rFonts w:ascii="Times New Roman" w:hAnsi="Times New Roman" w:eastAsia="宋体" w:cs="Times New Roman"/>
          <w:szCs w:val="24"/>
        </w:rPr>
        <w:t>The structural panels on the right illustrate the corresponding molecular docking results, including:</w:t>
      </w:r>
      <w:r>
        <w:rPr>
          <w:rFonts w:hint="eastAsia" w:ascii="Times New Roman" w:hAnsi="Times New Roman" w:eastAsia="宋体" w:cs="Times New Roman"/>
          <w:szCs w:val="24"/>
        </w:rPr>
        <w:t xml:space="preserve"> </w:t>
      </w:r>
      <w:r>
        <w:rPr>
          <w:rFonts w:ascii="Times New Roman" w:hAnsi="Times New Roman" w:eastAsia="宋体" w:cs="Times New Roman"/>
          <w:szCs w:val="24"/>
        </w:rPr>
        <w:t>electrostatic surface distribution of the protein,</w:t>
      </w:r>
      <w:r>
        <w:rPr>
          <w:rFonts w:hint="eastAsia" w:ascii="Times New Roman" w:hAnsi="Times New Roman" w:eastAsia="宋体" w:cs="Times New Roman"/>
          <w:szCs w:val="24"/>
        </w:rPr>
        <w:t xml:space="preserve"> </w:t>
      </w:r>
      <w:r>
        <w:rPr>
          <w:rFonts w:ascii="Times New Roman" w:hAnsi="Times New Roman" w:eastAsia="宋体" w:cs="Times New Roman"/>
          <w:szCs w:val="24"/>
        </w:rPr>
        <w:t>global positioning of the ligand within the protein fold, and</w:t>
      </w:r>
      <w:r>
        <w:rPr>
          <w:rFonts w:hint="eastAsia" w:ascii="Times New Roman" w:hAnsi="Times New Roman" w:eastAsia="宋体" w:cs="Times New Roman"/>
          <w:szCs w:val="24"/>
        </w:rPr>
        <w:t xml:space="preserve"> </w:t>
      </w:r>
      <w:r>
        <w:rPr>
          <w:rFonts w:ascii="Times New Roman" w:hAnsi="Times New Roman" w:eastAsia="宋体" w:cs="Times New Roman"/>
          <w:szCs w:val="24"/>
        </w:rPr>
        <w:t>enlarged binding-pocket views depicting key interactions between each ligand and surrounding amino acid residues.</w:t>
      </w:r>
    </w:p>
    <w:p w14:paraId="7AF13EFB">
      <w:pPr>
        <w:spacing w:line="360" w:lineRule="auto"/>
        <w:rPr>
          <w:rFonts w:ascii="Times New Roman" w:hAnsi="Times New Roman" w:eastAsia="宋体" w:cs="Times New Roman"/>
          <w:szCs w:val="24"/>
        </w:rPr>
      </w:pPr>
    </w:p>
    <w:p w14:paraId="06BE375A">
      <w:pPr>
        <w:spacing w:line="360" w:lineRule="auto"/>
        <w:rPr>
          <w:rFonts w:ascii="Times New Roman" w:hAnsi="Times New Roman" w:eastAsia="宋体" w:cs="Times New Roman"/>
          <w:szCs w:val="24"/>
        </w:rPr>
      </w:pPr>
      <w:r>
        <w:rPr>
          <w:rFonts w:ascii="Times New Roman" w:hAnsi="Times New Roman" w:eastAsia="宋体" w:cs="Times New Roman"/>
          <w:b/>
          <w:bCs/>
          <w:szCs w:val="24"/>
        </w:rPr>
        <w:t xml:space="preserve">Figure </w:t>
      </w:r>
      <w:r>
        <w:rPr>
          <w:rFonts w:hint="eastAsia" w:ascii="Times New Roman" w:hAnsi="Times New Roman" w:eastAsia="宋体" w:cs="Times New Roman"/>
          <w:b/>
          <w:bCs/>
          <w:szCs w:val="24"/>
          <w:lang w:val="en-US" w:eastAsia="zh-CN"/>
        </w:rPr>
        <w:t>S4</w:t>
      </w:r>
      <w:r>
        <w:rPr>
          <w:rFonts w:ascii="Times New Roman" w:hAnsi="Times New Roman" w:eastAsia="宋体" w:cs="Times New Roman"/>
          <w:b/>
          <w:bCs/>
          <w:szCs w:val="24"/>
        </w:rPr>
        <w:t xml:space="preserve">. Association of </w:t>
      </w:r>
      <w:bookmarkStart w:id="14" w:name="OLE_LINK33"/>
      <w:r>
        <w:rPr>
          <w:rFonts w:ascii="Times New Roman" w:hAnsi="Times New Roman" w:eastAsia="宋体" w:cs="Times New Roman"/>
          <w:b/>
          <w:bCs/>
          <w:szCs w:val="24"/>
        </w:rPr>
        <w:t>DUSP5</w:t>
      </w:r>
      <w:bookmarkEnd w:id="14"/>
      <w:r>
        <w:rPr>
          <w:rFonts w:ascii="Times New Roman" w:hAnsi="Times New Roman" w:eastAsia="宋体" w:cs="Times New Roman"/>
          <w:b/>
          <w:bCs/>
          <w:szCs w:val="24"/>
        </w:rPr>
        <w:t xml:space="preserve"> expression with drug sensitivity and molecular docking analysis.</w:t>
      </w:r>
      <w:r>
        <w:rPr>
          <w:rFonts w:ascii="Times New Roman" w:hAnsi="Times New Roman" w:eastAsia="宋体" w:cs="Times New Roman"/>
          <w:szCs w:val="24"/>
        </w:rPr>
        <w:t xml:space="preserve"> (A–E) Drug response differences for </w:t>
      </w:r>
      <w:bookmarkStart w:id="15" w:name="OLE_LINK38"/>
      <w:r>
        <w:rPr>
          <w:rFonts w:ascii="Times New Roman" w:hAnsi="Times New Roman" w:eastAsia="宋体" w:cs="Times New Roman"/>
          <w:szCs w:val="24"/>
        </w:rPr>
        <w:t>Savolitinib</w:t>
      </w:r>
      <w:bookmarkEnd w:id="15"/>
      <w:r>
        <w:rPr>
          <w:rFonts w:ascii="Times New Roman" w:hAnsi="Times New Roman" w:eastAsia="宋体" w:cs="Times New Roman"/>
          <w:szCs w:val="24"/>
        </w:rPr>
        <w:t xml:space="preserve"> (A), </w:t>
      </w:r>
      <w:bookmarkStart w:id="16" w:name="OLE_LINK37"/>
      <w:r>
        <w:rPr>
          <w:rFonts w:ascii="Times New Roman" w:hAnsi="Times New Roman" w:eastAsia="宋体" w:cs="Times New Roman"/>
          <w:szCs w:val="24"/>
        </w:rPr>
        <w:t>Buparlisib</w:t>
      </w:r>
      <w:bookmarkEnd w:id="16"/>
      <w:r>
        <w:rPr>
          <w:rFonts w:ascii="Times New Roman" w:hAnsi="Times New Roman" w:eastAsia="宋体" w:cs="Times New Roman"/>
          <w:szCs w:val="24"/>
        </w:rPr>
        <w:t xml:space="preserve"> (B), </w:t>
      </w:r>
      <w:bookmarkStart w:id="17" w:name="OLE_LINK34"/>
      <w:r>
        <w:rPr>
          <w:rFonts w:ascii="Times New Roman" w:hAnsi="Times New Roman" w:eastAsia="宋体" w:cs="Times New Roman"/>
          <w:szCs w:val="24"/>
        </w:rPr>
        <w:t>Niraparib</w:t>
      </w:r>
      <w:bookmarkEnd w:id="17"/>
      <w:r>
        <w:rPr>
          <w:rFonts w:ascii="Times New Roman" w:hAnsi="Times New Roman" w:eastAsia="宋体" w:cs="Times New Roman"/>
          <w:szCs w:val="24"/>
        </w:rPr>
        <w:t xml:space="preserve"> (C), </w:t>
      </w:r>
      <w:bookmarkStart w:id="18" w:name="OLE_LINK36"/>
      <w:r>
        <w:rPr>
          <w:rFonts w:ascii="Times New Roman" w:hAnsi="Times New Roman" w:eastAsia="宋体" w:cs="Times New Roman"/>
          <w:szCs w:val="24"/>
        </w:rPr>
        <w:t>Olaparib</w:t>
      </w:r>
      <w:bookmarkEnd w:id="18"/>
      <w:r>
        <w:rPr>
          <w:rFonts w:ascii="Times New Roman" w:hAnsi="Times New Roman" w:eastAsia="宋体" w:cs="Times New Roman"/>
          <w:szCs w:val="24"/>
        </w:rPr>
        <w:t xml:space="preserve"> (D), </w:t>
      </w:r>
      <w:bookmarkStart w:id="19" w:name="OLE_LINK35"/>
      <w:r>
        <w:rPr>
          <w:rFonts w:ascii="Times New Roman" w:hAnsi="Times New Roman" w:eastAsia="宋体" w:cs="Times New Roman"/>
          <w:szCs w:val="24"/>
        </w:rPr>
        <w:t>Axitinib</w:t>
      </w:r>
      <w:bookmarkEnd w:id="19"/>
      <w:r>
        <w:rPr>
          <w:rFonts w:ascii="Times New Roman" w:hAnsi="Times New Roman" w:eastAsia="宋体" w:cs="Times New Roman"/>
          <w:szCs w:val="24"/>
        </w:rPr>
        <w:t xml:space="preserve"> (E) between DUSP5 high-expression (n = 209) and low-expression (n = 210) groups (Wilcoxon test).</w:t>
      </w:r>
      <w:r>
        <w:t xml:space="preserve"> </w:t>
      </w:r>
      <w:r>
        <w:rPr>
          <w:rFonts w:ascii="Times New Roman" w:hAnsi="Times New Roman" w:eastAsia="宋体" w:cs="Times New Roman"/>
          <w:szCs w:val="24"/>
        </w:rPr>
        <w:t>The structural panels on the right illustrate the corresponding molecular docking results, including:</w:t>
      </w:r>
      <w:r>
        <w:rPr>
          <w:rFonts w:hint="eastAsia" w:ascii="Times New Roman" w:hAnsi="Times New Roman" w:eastAsia="宋体" w:cs="Times New Roman"/>
          <w:szCs w:val="24"/>
        </w:rPr>
        <w:t xml:space="preserve"> </w:t>
      </w:r>
      <w:r>
        <w:rPr>
          <w:rFonts w:ascii="Times New Roman" w:hAnsi="Times New Roman" w:eastAsia="宋体" w:cs="Times New Roman"/>
          <w:szCs w:val="24"/>
        </w:rPr>
        <w:t>electrostatic surface distribution of the protein,</w:t>
      </w:r>
      <w:r>
        <w:rPr>
          <w:rFonts w:hint="eastAsia" w:ascii="Times New Roman" w:hAnsi="Times New Roman" w:eastAsia="宋体" w:cs="Times New Roman"/>
          <w:szCs w:val="24"/>
        </w:rPr>
        <w:t xml:space="preserve"> </w:t>
      </w:r>
      <w:r>
        <w:rPr>
          <w:rFonts w:ascii="Times New Roman" w:hAnsi="Times New Roman" w:eastAsia="宋体" w:cs="Times New Roman"/>
          <w:szCs w:val="24"/>
        </w:rPr>
        <w:t>global positioning of the ligand within the protein fold, and</w:t>
      </w:r>
      <w:r>
        <w:rPr>
          <w:rFonts w:hint="eastAsia" w:ascii="Times New Roman" w:hAnsi="Times New Roman" w:eastAsia="宋体" w:cs="Times New Roman"/>
          <w:szCs w:val="24"/>
        </w:rPr>
        <w:t xml:space="preserve"> </w:t>
      </w:r>
      <w:r>
        <w:rPr>
          <w:rFonts w:ascii="Times New Roman" w:hAnsi="Times New Roman" w:eastAsia="宋体" w:cs="Times New Roman"/>
          <w:szCs w:val="24"/>
        </w:rPr>
        <w:t>enlarged binding-pocket views depicting key interactions between each ligand and surrounding amino acid residues.</w:t>
      </w:r>
    </w:p>
    <w:p w14:paraId="1ED04E8D">
      <w:pPr>
        <w:spacing w:line="360" w:lineRule="auto"/>
        <w:rPr>
          <w:rFonts w:ascii="Times New Roman" w:hAnsi="Times New Roman" w:eastAsia="宋体" w:cs="Times New Roman"/>
          <w:szCs w:val="24"/>
        </w:rPr>
      </w:pPr>
    </w:p>
    <w:p w14:paraId="705E9DE8">
      <w:pPr>
        <w:spacing w:line="360" w:lineRule="auto"/>
        <w:rPr>
          <w:rFonts w:ascii="Times New Roman" w:hAnsi="Times New Roman" w:eastAsia="宋体" w:cs="Times New Roman"/>
          <w:szCs w:val="24"/>
        </w:rPr>
      </w:pPr>
      <w:r>
        <w:rPr>
          <w:rFonts w:ascii="Times New Roman" w:hAnsi="Times New Roman" w:eastAsia="宋体" w:cs="Times New Roman"/>
          <w:b/>
          <w:bCs/>
          <w:szCs w:val="24"/>
        </w:rPr>
        <w:t xml:space="preserve">Figure </w:t>
      </w:r>
      <w:r>
        <w:rPr>
          <w:rFonts w:hint="eastAsia" w:ascii="Times New Roman" w:hAnsi="Times New Roman" w:eastAsia="宋体" w:cs="Times New Roman"/>
          <w:b/>
          <w:bCs/>
          <w:szCs w:val="24"/>
          <w:lang w:val="en-US" w:eastAsia="zh-CN"/>
        </w:rPr>
        <w:t>S5</w:t>
      </w:r>
      <w:r>
        <w:rPr>
          <w:rFonts w:ascii="Times New Roman" w:hAnsi="Times New Roman" w:eastAsia="宋体" w:cs="Times New Roman"/>
          <w:b/>
          <w:bCs/>
          <w:szCs w:val="24"/>
        </w:rPr>
        <w:t xml:space="preserve">. Association of </w:t>
      </w:r>
      <w:bookmarkStart w:id="20" w:name="OLE_LINK39"/>
      <w:r>
        <w:rPr>
          <w:rFonts w:ascii="Times New Roman" w:hAnsi="Times New Roman" w:eastAsia="宋体" w:cs="Times New Roman"/>
          <w:b/>
          <w:bCs/>
          <w:szCs w:val="24"/>
        </w:rPr>
        <w:t>TUBB2A</w:t>
      </w:r>
      <w:bookmarkEnd w:id="20"/>
      <w:r>
        <w:rPr>
          <w:rFonts w:ascii="Times New Roman" w:hAnsi="Times New Roman" w:eastAsia="宋体" w:cs="Times New Roman"/>
          <w:b/>
          <w:bCs/>
          <w:szCs w:val="24"/>
        </w:rPr>
        <w:t xml:space="preserve"> expression with drug sensitivity and molecular docking analysis.</w:t>
      </w:r>
      <w:r>
        <w:rPr>
          <w:rFonts w:ascii="Times New Roman" w:hAnsi="Times New Roman" w:eastAsia="宋体" w:cs="Times New Roman"/>
          <w:szCs w:val="24"/>
        </w:rPr>
        <w:t xml:space="preserve"> (A–E) Drug response differences for </w:t>
      </w:r>
      <w:bookmarkStart w:id="21" w:name="OLE_LINK40"/>
      <w:r>
        <w:rPr>
          <w:rFonts w:ascii="Times New Roman" w:hAnsi="Times New Roman" w:eastAsia="宋体" w:cs="Times New Roman"/>
          <w:szCs w:val="24"/>
        </w:rPr>
        <w:t>Savolitinib</w:t>
      </w:r>
      <w:bookmarkEnd w:id="21"/>
      <w:r>
        <w:rPr>
          <w:rFonts w:ascii="Times New Roman" w:hAnsi="Times New Roman" w:eastAsia="宋体" w:cs="Times New Roman"/>
          <w:szCs w:val="24"/>
        </w:rPr>
        <w:t xml:space="preserve"> (A), </w:t>
      </w:r>
      <w:bookmarkStart w:id="22" w:name="OLE_LINK41"/>
      <w:r>
        <w:rPr>
          <w:rFonts w:ascii="Times New Roman" w:hAnsi="Times New Roman" w:eastAsia="宋体" w:cs="Times New Roman"/>
          <w:szCs w:val="24"/>
        </w:rPr>
        <w:t>Buparlisib</w:t>
      </w:r>
      <w:bookmarkEnd w:id="22"/>
      <w:r>
        <w:rPr>
          <w:rFonts w:ascii="Times New Roman" w:hAnsi="Times New Roman" w:eastAsia="宋体" w:cs="Times New Roman"/>
          <w:szCs w:val="24"/>
        </w:rPr>
        <w:t xml:space="preserve"> (B), Niraparib (C), </w:t>
      </w:r>
      <w:bookmarkStart w:id="23" w:name="OLE_LINK42"/>
      <w:r>
        <w:rPr>
          <w:rFonts w:ascii="Times New Roman" w:hAnsi="Times New Roman" w:eastAsia="宋体" w:cs="Times New Roman"/>
          <w:szCs w:val="24"/>
        </w:rPr>
        <w:t>Olaparib</w:t>
      </w:r>
      <w:bookmarkEnd w:id="23"/>
      <w:r>
        <w:rPr>
          <w:rFonts w:ascii="Times New Roman" w:hAnsi="Times New Roman" w:eastAsia="宋体" w:cs="Times New Roman"/>
          <w:szCs w:val="24"/>
        </w:rPr>
        <w:t xml:space="preserve"> (D), </w:t>
      </w:r>
      <w:bookmarkStart w:id="24" w:name="OLE_LINK43"/>
      <w:r>
        <w:rPr>
          <w:rFonts w:ascii="Times New Roman" w:hAnsi="Times New Roman" w:eastAsia="宋体" w:cs="Times New Roman"/>
          <w:szCs w:val="24"/>
        </w:rPr>
        <w:t>Axitinib</w:t>
      </w:r>
      <w:bookmarkEnd w:id="24"/>
      <w:r>
        <w:rPr>
          <w:rFonts w:ascii="Times New Roman" w:hAnsi="Times New Roman" w:eastAsia="宋体" w:cs="Times New Roman"/>
          <w:szCs w:val="24"/>
        </w:rPr>
        <w:t xml:space="preserve"> (E) between TUBB2A high-expression (n = 209) and low-expression (n = 210) groups (Wilcoxon test).</w:t>
      </w:r>
      <w:r>
        <w:t xml:space="preserve"> </w:t>
      </w:r>
      <w:r>
        <w:rPr>
          <w:rFonts w:ascii="Times New Roman" w:hAnsi="Times New Roman" w:eastAsia="宋体" w:cs="Times New Roman"/>
          <w:szCs w:val="24"/>
        </w:rPr>
        <w:t>The structural panels on the right illustrate the corresponding molecular docking results, including:</w:t>
      </w:r>
      <w:r>
        <w:rPr>
          <w:rFonts w:hint="eastAsia" w:ascii="Times New Roman" w:hAnsi="Times New Roman" w:eastAsia="宋体" w:cs="Times New Roman"/>
          <w:szCs w:val="24"/>
        </w:rPr>
        <w:t xml:space="preserve"> </w:t>
      </w:r>
      <w:r>
        <w:rPr>
          <w:rFonts w:ascii="Times New Roman" w:hAnsi="Times New Roman" w:eastAsia="宋体" w:cs="Times New Roman"/>
          <w:szCs w:val="24"/>
        </w:rPr>
        <w:t>electrostatic surface distribution of the protein,</w:t>
      </w:r>
      <w:r>
        <w:rPr>
          <w:rFonts w:hint="eastAsia" w:ascii="Times New Roman" w:hAnsi="Times New Roman" w:eastAsia="宋体" w:cs="Times New Roman"/>
          <w:szCs w:val="24"/>
        </w:rPr>
        <w:t xml:space="preserve"> </w:t>
      </w:r>
      <w:r>
        <w:rPr>
          <w:rFonts w:ascii="Times New Roman" w:hAnsi="Times New Roman" w:eastAsia="宋体" w:cs="Times New Roman"/>
          <w:szCs w:val="24"/>
        </w:rPr>
        <w:t>global positioning of the ligand within the protein fold, and</w:t>
      </w:r>
      <w:r>
        <w:rPr>
          <w:rFonts w:hint="eastAsia" w:ascii="Times New Roman" w:hAnsi="Times New Roman" w:eastAsia="宋体" w:cs="Times New Roman"/>
          <w:szCs w:val="24"/>
        </w:rPr>
        <w:t xml:space="preserve"> </w:t>
      </w:r>
      <w:r>
        <w:rPr>
          <w:rFonts w:ascii="Times New Roman" w:hAnsi="Times New Roman" w:eastAsia="宋体" w:cs="Times New Roman"/>
          <w:szCs w:val="24"/>
        </w:rPr>
        <w:t>enlarged binding-pocket views depicting key interactions between each ligand and surrounding amino acid residues.</w:t>
      </w:r>
    </w:p>
    <w:p w14:paraId="624B0788">
      <w:pPr>
        <w:spacing w:line="360" w:lineRule="auto"/>
        <w:rPr>
          <w:rFonts w:ascii="Times New Roman" w:hAnsi="Times New Roman" w:eastAsia="宋体" w:cs="Times New Roman"/>
          <w:b/>
          <w:bCs/>
          <w:szCs w:val="24"/>
        </w:rPr>
      </w:pPr>
    </w:p>
    <w:p w14:paraId="28A32FB4">
      <w:pPr>
        <w:spacing w:line="360" w:lineRule="auto"/>
        <w:rPr>
          <w:rFonts w:ascii="Times New Roman" w:hAnsi="Times New Roman" w:eastAsia="宋体" w:cs="Times New Roman"/>
          <w:szCs w:val="24"/>
        </w:rPr>
      </w:pPr>
      <w:r>
        <w:rPr>
          <w:rFonts w:ascii="Times New Roman" w:hAnsi="Times New Roman" w:eastAsia="宋体" w:cs="Times New Roman"/>
          <w:b/>
          <w:bCs/>
          <w:szCs w:val="24"/>
        </w:rPr>
        <w:t>Figure S</w:t>
      </w:r>
      <w:r>
        <w:rPr>
          <w:rFonts w:hint="eastAsia" w:ascii="Times New Roman" w:hAnsi="Times New Roman" w:eastAsia="宋体" w:cs="Times New Roman"/>
          <w:b/>
          <w:bCs/>
          <w:szCs w:val="24"/>
          <w:lang w:val="en-US" w:eastAsia="zh-CN"/>
        </w:rPr>
        <w:t>6</w:t>
      </w:r>
      <w:r>
        <w:rPr>
          <w:rFonts w:ascii="Times New Roman" w:hAnsi="Times New Roman" w:eastAsia="宋体" w:cs="Times New Roman"/>
          <w:b/>
          <w:bCs/>
          <w:szCs w:val="24"/>
        </w:rPr>
        <w:t xml:space="preserve">. Immune-related analysis in colorectal cancer patients. </w:t>
      </w:r>
      <w:r>
        <w:rPr>
          <w:rFonts w:ascii="Times New Roman" w:hAnsi="Times New Roman" w:eastAsia="宋体" w:cs="Times New Roman"/>
          <w:szCs w:val="24"/>
        </w:rPr>
        <w:t>(A) Bubble plot showing the correlation between four prognostic genes and 68 immune checkpoints. (B) Boxplot displaying the expression distribution of immune checkpoints across NETs subtypes. (C) Boxplot illustrating the distribution of Dysfunction scores, Exclusion scores, and the overall TIDE scores between NETs subtypes and high/low-risk groups. Asterisks indicate p-values: ****p &lt; 0.0001, ***p &lt; 0.001, **p &lt; 0.01, *p &lt; 0.05.</w:t>
      </w:r>
    </w:p>
    <w:p w14:paraId="1769DC44">
      <w:pPr>
        <w:spacing w:line="360" w:lineRule="auto"/>
        <w:rPr>
          <w:rFonts w:ascii="Times New Roman" w:hAnsi="Times New Roman" w:eastAsia="宋体" w:cs="Times New Roman"/>
          <w:szCs w:val="24"/>
        </w:rPr>
      </w:pPr>
    </w:p>
    <w:p w14:paraId="0925F46C">
      <w:pPr>
        <w:spacing w:line="360" w:lineRule="auto"/>
        <w:rPr>
          <w:rFonts w:ascii="Times New Roman" w:hAnsi="Times New Roman" w:eastAsia="宋体" w:cs="Times New Roman"/>
          <w:szCs w:val="24"/>
        </w:rPr>
      </w:pPr>
      <w:bookmarkStart w:id="25" w:name="OLE_LINK5"/>
      <w:r>
        <w:rPr>
          <w:rFonts w:ascii="Times New Roman" w:hAnsi="Times New Roman" w:eastAsia="宋体" w:cs="Times New Roman"/>
          <w:b/>
          <w:bCs/>
          <w:szCs w:val="24"/>
        </w:rPr>
        <w:t>Figure S</w:t>
      </w:r>
      <w:r>
        <w:rPr>
          <w:rFonts w:hint="eastAsia" w:ascii="Times New Roman" w:hAnsi="Times New Roman" w:eastAsia="宋体" w:cs="Times New Roman"/>
          <w:b/>
          <w:bCs/>
          <w:szCs w:val="24"/>
          <w:lang w:val="en-US" w:eastAsia="zh-CN"/>
        </w:rPr>
        <w:t>7</w:t>
      </w:r>
      <w:r>
        <w:rPr>
          <w:rFonts w:ascii="Times New Roman" w:hAnsi="Times New Roman" w:eastAsia="宋体" w:cs="Times New Roman"/>
          <w:b/>
          <w:bCs/>
          <w:szCs w:val="24"/>
        </w:rPr>
        <w:t xml:space="preserve">. Immune-related analysis in colorectal cancer patients. </w:t>
      </w:r>
      <w:r>
        <w:rPr>
          <w:rFonts w:ascii="Times New Roman" w:hAnsi="Times New Roman" w:eastAsia="宋体" w:cs="Times New Roman"/>
          <w:szCs w:val="24"/>
        </w:rPr>
        <w:t>(A-C) Boxplot displaying the expression distribution of immune checkpoints across NETs subtypes. Asterisks indicate p-values: ****p &lt; 0.0001, ***p &lt; 0.001, **p &lt; 0.01, *p &lt; 0.05.</w:t>
      </w:r>
    </w:p>
    <w:bookmarkEnd w:id="25"/>
    <w:p w14:paraId="101E8C42">
      <w:pPr>
        <w:spacing w:line="360" w:lineRule="auto"/>
        <w:rPr>
          <w:rFonts w:ascii="Times New Roman" w:hAnsi="Times New Roman" w:eastAsia="宋体" w:cs="Times New Roman"/>
          <w:szCs w:val="24"/>
        </w:rPr>
      </w:pPr>
    </w:p>
    <w:p w14:paraId="5618F455">
      <w:pPr>
        <w:spacing w:line="360" w:lineRule="auto"/>
        <w:rPr>
          <w:rFonts w:ascii="Times New Roman" w:hAnsi="Times New Roman" w:eastAsia="宋体" w:cs="Times New Roman"/>
          <w:szCs w:val="24"/>
        </w:rPr>
      </w:pPr>
      <w:r>
        <w:rPr>
          <w:rFonts w:ascii="Times New Roman" w:hAnsi="Times New Roman" w:eastAsia="宋体" w:cs="Times New Roman"/>
          <w:b/>
          <w:bCs/>
          <w:szCs w:val="24"/>
        </w:rPr>
        <w:t>Figure S</w:t>
      </w:r>
      <w:r>
        <w:rPr>
          <w:rFonts w:hint="eastAsia" w:ascii="Times New Roman" w:hAnsi="Times New Roman" w:eastAsia="宋体" w:cs="Times New Roman"/>
          <w:b/>
          <w:bCs/>
          <w:szCs w:val="24"/>
          <w:lang w:val="en-US" w:eastAsia="zh-CN"/>
        </w:rPr>
        <w:t>8</w:t>
      </w:r>
      <w:r>
        <w:rPr>
          <w:rFonts w:ascii="Times New Roman" w:hAnsi="Times New Roman" w:eastAsia="宋体" w:cs="Times New Roman"/>
          <w:b/>
          <w:bCs/>
          <w:szCs w:val="24"/>
        </w:rPr>
        <w:t xml:space="preserve">. Immune-related analysis in colorectal cancer patients. </w:t>
      </w:r>
      <w:r>
        <w:rPr>
          <w:rFonts w:ascii="Times New Roman" w:hAnsi="Times New Roman" w:eastAsia="宋体" w:cs="Times New Roman"/>
          <w:szCs w:val="24"/>
        </w:rPr>
        <w:t>(A-B) Boxplot displaying the expression distribution of immune checkpoints across NETs subtypes. Asterisks indicate p-values: ****p &lt; 0.0001, ***p &lt; 0.001, **p &lt; 0.01, *p &lt; 0.05.</w:t>
      </w:r>
    </w:p>
    <w:p w14:paraId="273E4DEB">
      <w:pPr>
        <w:rPr>
          <w:rFonts w:hint="eastAsia" w:ascii="Times New Roman" w:hAnsi="Times New Roman" w:cs="Times New Roman"/>
        </w:rPr>
      </w:pPr>
    </w:p>
    <w:p w14:paraId="1C3FF276">
      <w:pPr>
        <w:spacing w:line="360" w:lineRule="auto"/>
        <w:rPr>
          <w:rFonts w:ascii="Times New Roman" w:hAnsi="Times New Roman" w:cs="Times New Roman"/>
        </w:rPr>
      </w:pPr>
      <w:r>
        <w:rPr>
          <w:rFonts w:ascii="Times New Roman" w:hAnsi="Times New Roman" w:eastAsia="宋体" w:cs="Times New Roman"/>
          <w:b/>
          <w:bCs/>
          <w:szCs w:val="24"/>
        </w:rPr>
        <w:t>Figure S</w:t>
      </w:r>
      <w:r>
        <w:rPr>
          <w:rFonts w:hint="eastAsia" w:ascii="Times New Roman" w:hAnsi="Times New Roman" w:eastAsia="宋体" w:cs="Times New Roman"/>
          <w:b/>
          <w:bCs/>
          <w:szCs w:val="24"/>
          <w:lang w:val="en-US" w:eastAsia="zh-CN"/>
        </w:rPr>
        <w:t>9</w:t>
      </w:r>
      <w:r>
        <w:rPr>
          <w:rFonts w:ascii="Times New Roman" w:hAnsi="Times New Roman" w:eastAsia="宋体" w:cs="Times New Roman"/>
          <w:b/>
          <w:bCs/>
          <w:szCs w:val="24"/>
        </w:rPr>
        <w:t xml:space="preserve">. Pan-cancer analysis of the prognostic gene DUSP5. </w:t>
      </w:r>
      <w:r>
        <w:rPr>
          <w:rFonts w:ascii="Times New Roman" w:hAnsi="Times New Roman" w:eastAsia="宋体" w:cs="Times New Roman"/>
          <w:szCs w:val="24"/>
        </w:rPr>
        <w:t>(A) Boxplot showing the expression distribution of DUSP5 in different tumors and their corresponding adjacent normal samples. (B) Forest plot displaying the univariate COX analysis results for the correlation between DUSP5 expression and prognosis in different tumors. (C) Heatmap illustrating the correlation between DUSP5 expression and immune cells in different tumors. Asterisks indicate p-values: ****p &lt; 0.0001, ***p &lt; 0.001, **p &lt; 0.01, *p &lt; 0.05.</w:t>
      </w:r>
    </w:p>
    <w:p w14:paraId="6ABF4FEE">
      <w:pPr>
        <w:rPr>
          <w:rFonts w:hint="eastAsia" w:ascii="Times New Roman" w:hAnsi="Times New Roman" w:cs="Times New Roman"/>
        </w:rPr>
      </w:pPr>
    </w:p>
    <w:p w14:paraId="486A4E61">
      <w:pPr>
        <w:spacing w:line="360" w:lineRule="auto"/>
        <w:rPr>
          <w:rFonts w:ascii="Times New Roman" w:hAnsi="Times New Roman" w:cs="Times New Roman"/>
        </w:rPr>
      </w:pPr>
      <w:r>
        <w:rPr>
          <w:rFonts w:ascii="Times New Roman" w:hAnsi="Times New Roman" w:eastAsia="宋体" w:cs="Times New Roman"/>
          <w:b/>
          <w:bCs/>
          <w:szCs w:val="24"/>
        </w:rPr>
        <w:t>Figure S</w:t>
      </w:r>
      <w:r>
        <w:rPr>
          <w:rFonts w:hint="eastAsia" w:ascii="Times New Roman" w:hAnsi="Times New Roman" w:eastAsia="宋体" w:cs="Times New Roman"/>
          <w:b/>
          <w:bCs/>
          <w:szCs w:val="24"/>
          <w:lang w:val="en-US" w:eastAsia="zh-CN"/>
        </w:rPr>
        <w:t>10</w:t>
      </w:r>
      <w:r>
        <w:rPr>
          <w:rFonts w:ascii="Times New Roman" w:hAnsi="Times New Roman" w:eastAsia="宋体" w:cs="Times New Roman"/>
          <w:b/>
          <w:bCs/>
          <w:szCs w:val="24"/>
        </w:rPr>
        <w:t xml:space="preserve">. Pan-cancer analysis of the prognostic gene SLC2A3. </w:t>
      </w:r>
      <w:r>
        <w:rPr>
          <w:rFonts w:ascii="Times New Roman" w:hAnsi="Times New Roman" w:eastAsia="宋体" w:cs="Times New Roman"/>
          <w:szCs w:val="24"/>
        </w:rPr>
        <w:t>(A) Boxplot showing the expression distribution of SLC2A3 in different tumors and their corresponding adjacent normal samples. (B) Forest plot displaying the univariate COX analysis results for the correlation between SLC2A3 expression and prognosis in different tumors. (C) Heatmap illustrating the correlation between SLC2A3 expression and immune cells in different tumors. Asterisks indicate p-values: ****p &lt; 0.0001, ***p &lt; 0.001, **p &lt; 0.01, *p &lt; 0.05.</w:t>
      </w:r>
    </w:p>
    <w:p w14:paraId="0C3837A9">
      <w:pPr>
        <w:rPr>
          <w:rFonts w:hint="eastAsia" w:ascii="Times New Roman" w:hAnsi="Times New Roman" w:cs="Times New Roman"/>
        </w:rPr>
      </w:pPr>
    </w:p>
    <w:p w14:paraId="21CB646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auto"/>
    <w:pitch w:val="default"/>
    <w:sig w:usb0="E0002EFF" w:usb1="C000785B" w:usb2="00000009" w:usb3="00000000" w:csb0="400001FF" w:csb1="FFFF0000"/>
  </w:font>
  <w:font w:name="等线">
    <w:panose1 w:val="02010600030101010101"/>
    <w:charset w:val="86"/>
    <w:family w:val="auto"/>
    <w:pitch w:val="default"/>
    <w:sig w:usb0="A00002BF" w:usb1="38CF7CFA" w:usb2="00000016" w:usb3="00000000" w:csb0="0004000F" w:csb1="00000000"/>
  </w:font>
  <w:font w:name="Palatino Linotype">
    <w:panose1 w:val="02040502050505030304"/>
    <w:charset w:val="00"/>
    <w:family w:val="roman"/>
    <w:pitch w:val="default"/>
    <w:sig w:usb0="E0000287" w:usb1="40000013" w:usb2="00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5DE0"/>
    <w:rsid w:val="00231EA9"/>
    <w:rsid w:val="002617FC"/>
    <w:rsid w:val="008A0F85"/>
    <w:rsid w:val="00A01526"/>
    <w:rsid w:val="00A15DE0"/>
    <w:rsid w:val="00A16FAD"/>
    <w:rsid w:val="00A53F32"/>
    <w:rsid w:val="00F876AF"/>
    <w:rsid w:val="0B0B182B"/>
    <w:rsid w:val="287C173D"/>
    <w:rsid w:val="43E07E7A"/>
    <w:rsid w:val="5A2A3FF1"/>
    <w:rsid w:val="718E001F"/>
    <w:rsid w:val="7A5B64A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paragraph" w:customStyle="1" w:styleId="6">
    <w:name w:val="MDPI_1.1_article_type"/>
    <w:next w:val="1"/>
    <w:qFormat/>
    <w:uiPriority w:val="0"/>
    <w:pPr>
      <w:widowControl w:val="0"/>
      <w:adjustRightInd w:val="0"/>
      <w:snapToGrid w:val="0"/>
      <w:spacing w:before="240"/>
      <w:jc w:val="both"/>
    </w:pPr>
    <w:rPr>
      <w:rFonts w:ascii="Palatino Linotype" w:hAnsi="Palatino Linotype" w:eastAsia="Times New Roman" w:cs="Times New Roman"/>
      <w:i/>
      <w:snapToGrid w:val="0"/>
      <w:color w:val="000000"/>
      <w:kern w:val="0"/>
      <w:sz w:val="20"/>
      <w:szCs w:val="22"/>
      <w:lang w:val="en-US" w:eastAsia="de-DE" w:bidi="en-US"/>
    </w:rPr>
  </w:style>
  <w:style w:type="character" w:customStyle="1" w:styleId="7">
    <w:name w:val="页眉 字符"/>
    <w:basedOn w:val="5"/>
    <w:link w:val="3"/>
    <w:qFormat/>
    <w:uiPriority w:val="99"/>
    <w:rPr>
      <w:sz w:val="18"/>
      <w:szCs w:val="18"/>
    </w:rPr>
  </w:style>
  <w:style w:type="character" w:customStyle="1" w:styleId="8">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880</Words>
  <Characters>5503</Characters>
  <Lines>23</Lines>
  <Paragraphs>6</Paragraphs>
  <TotalTime>2</TotalTime>
  <ScaleCrop>false</ScaleCrop>
  <LinksUpToDate>false</LinksUpToDate>
  <CharactersWithSpaces>6370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2025-12-26T02:54:00Z</dcterms:created>
  <dc:creator>MD.Miao</dc:creator>
  <cp:lastModifiedBy>md.miao</cp:lastModifiedBy>
  <dcterms:modified xsi:type="dcterms:W3CDTF">2026-04-05T05:38:45Z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eyJoZGlkIjoiMGRhYWZiYzc5YjU1ZGI0ZTVmMzc4Y2UyN2RjY2NjNjQiLCJ1c2VySWQiOiIyNzM0MTU0NDcifQ==</vt:lpwstr>
  </property>
  <property fmtid="{D5CDD505-2E9C-101B-9397-08002B2CF9AE}" pid="3" name="KSOProductBuildVer">
    <vt:lpwstr>2052-12.1.0.25225</vt:lpwstr>
  </property>
  <property fmtid="{D5CDD505-2E9C-101B-9397-08002B2CF9AE}" pid="4" name="ICV">
    <vt:lpwstr>C0F3861CB3FE4A77B107164A9C69E527_12</vt:lpwstr>
  </property>
</Properties>
</file>