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3DE71" w14:textId="689C24FC" w:rsidR="00C519BE" w:rsidRPr="003A38F2" w:rsidRDefault="00C64AD0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sz w:val="15"/>
          <w:szCs w:val="15"/>
        </w:rPr>
        <w:drawing>
          <wp:inline distT="0" distB="0" distL="0" distR="0" wp14:anchorId="4943D773" wp14:editId="3FDC2C35">
            <wp:extent cx="5274310" cy="2260600"/>
            <wp:effectExtent l="0" t="0" r="2540" b="6350"/>
            <wp:docPr id="2091588871" name="图片 1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588871" name="图片 1" descr="图表, 直方图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B80B6" w14:textId="4D62F686" w:rsidR="00623CD4" w:rsidRPr="003A38F2" w:rsidRDefault="00474B29">
      <w:pPr>
        <w:rPr>
          <w:rFonts w:ascii="Arial" w:hAnsi="Arial" w:cs="Arial"/>
          <w:sz w:val="15"/>
          <w:szCs w:val="15"/>
        </w:rPr>
      </w:pPr>
      <w:r w:rsidRPr="001D17FB">
        <w:rPr>
          <w:rFonts w:ascii="Arial" w:hAnsi="Arial" w:cs="Arial"/>
          <w:b/>
          <w:bCs/>
          <w:sz w:val="15"/>
          <w:szCs w:val="15"/>
        </w:rPr>
        <w:t>Supplementary Figure</w:t>
      </w:r>
      <w:r w:rsidRPr="001D17FB">
        <w:rPr>
          <w:rFonts w:ascii="Arial" w:hAnsi="Arial" w:cs="Arial" w:hint="eastAsia"/>
          <w:b/>
          <w:bCs/>
          <w:sz w:val="15"/>
          <w:szCs w:val="15"/>
        </w:rPr>
        <w:t xml:space="preserve"> 1</w:t>
      </w:r>
      <w:r w:rsidRPr="003A38F2">
        <w:rPr>
          <w:rFonts w:ascii="Arial" w:hAnsi="Arial" w:cs="Arial" w:hint="eastAsia"/>
          <w:sz w:val="15"/>
          <w:szCs w:val="15"/>
        </w:rPr>
        <w:t xml:space="preserve">: </w:t>
      </w:r>
      <w:r w:rsidRPr="003A38F2">
        <w:rPr>
          <w:rFonts w:ascii="Arial" w:hAnsi="Arial" w:cs="Arial"/>
          <w:sz w:val="15"/>
          <w:szCs w:val="15"/>
        </w:rPr>
        <w:t>Multiple</w:t>
      </w:r>
      <w:r w:rsidRPr="003A38F2">
        <w:rPr>
          <w:rFonts w:ascii="Arial" w:hAnsi="Arial" w:cs="Arial" w:hint="eastAsia"/>
          <w:sz w:val="15"/>
          <w:szCs w:val="15"/>
        </w:rPr>
        <w:t xml:space="preserve"> traits GWAS </w:t>
      </w:r>
      <w:r w:rsidRPr="003A38F2">
        <w:rPr>
          <w:rFonts w:ascii="Arial" w:hAnsi="Arial" w:cs="Arial"/>
          <w:sz w:val="15"/>
          <w:szCs w:val="15"/>
        </w:rPr>
        <w:t>Manhattan</w:t>
      </w:r>
      <w:r w:rsidRPr="003A38F2">
        <w:rPr>
          <w:rFonts w:ascii="Arial" w:hAnsi="Arial" w:cs="Arial" w:hint="eastAsia"/>
          <w:sz w:val="15"/>
          <w:szCs w:val="15"/>
        </w:rPr>
        <w:t xml:space="preserve"> plot including pan-glioma, GBM, and non-GBM</w:t>
      </w:r>
    </w:p>
    <w:p w14:paraId="40279510" w14:textId="19B6534D" w:rsidR="00474B29" w:rsidRPr="003A38F2" w:rsidRDefault="00C64AD0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sz w:val="15"/>
          <w:szCs w:val="15"/>
        </w:rPr>
        <w:drawing>
          <wp:inline distT="0" distB="0" distL="0" distR="0" wp14:anchorId="02A682A6" wp14:editId="4B4812A2">
            <wp:extent cx="2813747" cy="2813747"/>
            <wp:effectExtent l="0" t="0" r="5715" b="5715"/>
            <wp:docPr id="350624164" name="图片 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624164" name="图片 2" descr="图表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20408" cy="282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69091" w14:textId="7A515EA4" w:rsidR="00474B29" w:rsidRPr="003A38F2" w:rsidRDefault="00474B29" w:rsidP="00474B29">
      <w:pPr>
        <w:rPr>
          <w:rFonts w:ascii="Arial" w:hAnsi="Arial" w:cs="Arial"/>
          <w:sz w:val="15"/>
          <w:szCs w:val="15"/>
        </w:rPr>
      </w:pPr>
      <w:r w:rsidRPr="001D17FB">
        <w:rPr>
          <w:rFonts w:ascii="Arial" w:hAnsi="Arial" w:cs="Arial"/>
          <w:b/>
          <w:bCs/>
          <w:sz w:val="15"/>
          <w:szCs w:val="15"/>
        </w:rPr>
        <w:t>Supplementary Figure</w:t>
      </w:r>
      <w:r w:rsidRPr="001D17FB">
        <w:rPr>
          <w:rFonts w:ascii="Arial" w:hAnsi="Arial" w:cs="Arial" w:hint="eastAsia"/>
          <w:b/>
          <w:bCs/>
          <w:sz w:val="15"/>
          <w:szCs w:val="15"/>
        </w:rPr>
        <w:t xml:space="preserve"> 2</w:t>
      </w:r>
      <w:r w:rsidRPr="003A38F2">
        <w:rPr>
          <w:rFonts w:ascii="Arial" w:hAnsi="Arial" w:cs="Arial" w:hint="eastAsia"/>
          <w:sz w:val="15"/>
          <w:szCs w:val="15"/>
        </w:rPr>
        <w:t xml:space="preserve">: </w:t>
      </w:r>
      <w:r w:rsidRPr="003A38F2">
        <w:rPr>
          <w:rFonts w:ascii="Arial" w:hAnsi="Arial" w:cs="Arial"/>
          <w:sz w:val="15"/>
          <w:szCs w:val="15"/>
        </w:rPr>
        <w:t>Multiple</w:t>
      </w:r>
      <w:r w:rsidRPr="003A38F2">
        <w:rPr>
          <w:rFonts w:ascii="Arial" w:hAnsi="Arial" w:cs="Arial" w:hint="eastAsia"/>
          <w:sz w:val="15"/>
          <w:szCs w:val="15"/>
        </w:rPr>
        <w:t xml:space="preserve"> traits GWAS QQ plot including pan-glioma, GBM, and non-GBM</w:t>
      </w:r>
    </w:p>
    <w:p w14:paraId="1F11D073" w14:textId="77777777" w:rsidR="00474B29" w:rsidRPr="003A38F2" w:rsidRDefault="00474B29">
      <w:pPr>
        <w:rPr>
          <w:rFonts w:ascii="Arial" w:hAnsi="Arial" w:cs="Arial"/>
          <w:sz w:val="15"/>
          <w:szCs w:val="15"/>
        </w:rPr>
      </w:pPr>
    </w:p>
    <w:p w14:paraId="7DB33816" w14:textId="3F487327" w:rsidR="00623CD4" w:rsidRPr="003A38F2" w:rsidRDefault="00C64AD0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sz w:val="15"/>
          <w:szCs w:val="15"/>
        </w:rPr>
        <w:drawing>
          <wp:inline distT="0" distB="0" distL="0" distR="0" wp14:anchorId="597678B5" wp14:editId="6EB97D36">
            <wp:extent cx="3250597" cy="2133277"/>
            <wp:effectExtent l="0" t="0" r="6985" b="635"/>
            <wp:docPr id="1130087103" name="图片 3" descr="图表, 雷达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87103" name="图片 3" descr="图表, 雷达图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55913" cy="213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B6A3" w14:textId="0B2D1517" w:rsidR="00623CD4" w:rsidRPr="003A38F2" w:rsidRDefault="000F7B1F">
      <w:pPr>
        <w:rPr>
          <w:rFonts w:ascii="Arial" w:hAnsi="Arial" w:cs="Arial"/>
          <w:sz w:val="15"/>
          <w:szCs w:val="15"/>
        </w:rPr>
      </w:pPr>
      <w:r w:rsidRPr="001D17FB">
        <w:rPr>
          <w:rFonts w:ascii="Arial" w:hAnsi="Arial" w:cs="Arial" w:hint="eastAsia"/>
          <w:b/>
          <w:bCs/>
          <w:sz w:val="15"/>
          <w:szCs w:val="15"/>
        </w:rPr>
        <w:t>Supplementary Figure 3</w:t>
      </w:r>
      <w:r w:rsidRPr="000F7B1F">
        <w:rPr>
          <w:rFonts w:ascii="Arial" w:hAnsi="Arial" w:cs="Arial" w:hint="eastAsia"/>
          <w:sz w:val="15"/>
          <w:szCs w:val="15"/>
        </w:rPr>
        <w:t>: Circle plot depicting cell-to-cell communication in glioblastoma (GBM) high-incidence brain regions, analyzed using the GBmap (expanded) single-nucleus RNA (snRNA) dataset.</w:t>
      </w:r>
    </w:p>
    <w:p w14:paraId="59FC350C" w14:textId="3A25D979" w:rsidR="00623CD4" w:rsidRPr="003A38F2" w:rsidRDefault="009A7602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sz w:val="15"/>
          <w:szCs w:val="15"/>
        </w:rPr>
        <w:lastRenderedPageBreak/>
        <w:drawing>
          <wp:inline distT="0" distB="0" distL="0" distR="0" wp14:anchorId="5914D943" wp14:editId="6B20E361">
            <wp:extent cx="3130040" cy="2086568"/>
            <wp:effectExtent l="0" t="0" r="0" b="9525"/>
            <wp:docPr id="1968951032" name="图片 4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951032" name="图片 4" descr="图表, 条形图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1521" cy="208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9A2E6" w14:textId="51FE09D8" w:rsidR="00DC405B" w:rsidRDefault="00DC405B">
      <w:pPr>
        <w:rPr>
          <w:rFonts w:ascii="Arial" w:hAnsi="Arial" w:cs="Arial"/>
          <w:sz w:val="15"/>
          <w:szCs w:val="15"/>
        </w:rPr>
      </w:pPr>
      <w:r w:rsidRPr="001D17FB">
        <w:rPr>
          <w:rFonts w:ascii="Arial" w:hAnsi="Arial" w:cs="Arial"/>
          <w:b/>
          <w:bCs/>
          <w:sz w:val="15"/>
          <w:szCs w:val="15"/>
        </w:rPr>
        <w:t>Supplementary Figure 4</w:t>
      </w:r>
      <w:r w:rsidRPr="00DC405B">
        <w:rPr>
          <w:rFonts w:ascii="Arial" w:hAnsi="Arial" w:cs="Arial"/>
          <w:sz w:val="15"/>
          <w:szCs w:val="15"/>
        </w:rPr>
        <w:t>: Bar plots comparing the number (left) and strength (right) of inferred interactions between non-malignant cells in GBM high-incidence brain regions and healthy controls.</w:t>
      </w:r>
    </w:p>
    <w:p w14:paraId="05F199D0" w14:textId="726BC2AD" w:rsidR="00623CD4" w:rsidRPr="003A38F2" w:rsidRDefault="00A96C96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sz w:val="15"/>
          <w:szCs w:val="15"/>
        </w:rPr>
        <w:drawing>
          <wp:inline distT="0" distB="0" distL="0" distR="0" wp14:anchorId="2B1852F9" wp14:editId="6CE95D3C">
            <wp:extent cx="5274310" cy="1269365"/>
            <wp:effectExtent l="0" t="0" r="2540" b="6985"/>
            <wp:docPr id="1048403500" name="图片 5" descr="图示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403500" name="图片 5" descr="图示&#10;&#10;低可信度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B69ED" w14:textId="76993869" w:rsidR="00623CD4" w:rsidRPr="003A38F2" w:rsidRDefault="007948AD">
      <w:pPr>
        <w:rPr>
          <w:rFonts w:ascii="Arial" w:hAnsi="Arial" w:cs="Arial"/>
          <w:sz w:val="15"/>
          <w:szCs w:val="15"/>
        </w:rPr>
      </w:pPr>
      <w:r w:rsidRPr="0050590F">
        <w:rPr>
          <w:rFonts w:ascii="Arial" w:hAnsi="Arial" w:cs="Arial"/>
          <w:b/>
          <w:bCs/>
          <w:sz w:val="15"/>
          <w:szCs w:val="15"/>
        </w:rPr>
        <w:t>Supplementary Figure</w:t>
      </w:r>
      <w:r w:rsidRPr="0050590F">
        <w:rPr>
          <w:rFonts w:ascii="Arial" w:hAnsi="Arial" w:cs="Arial" w:hint="eastAsia"/>
          <w:b/>
          <w:bCs/>
          <w:sz w:val="15"/>
          <w:szCs w:val="15"/>
        </w:rPr>
        <w:t xml:space="preserve"> </w:t>
      </w:r>
      <w:r w:rsidR="004B77FB">
        <w:rPr>
          <w:rFonts w:ascii="Arial" w:hAnsi="Arial" w:cs="Arial" w:hint="eastAsia"/>
          <w:b/>
          <w:bCs/>
          <w:sz w:val="15"/>
          <w:szCs w:val="15"/>
        </w:rPr>
        <w:t>5</w:t>
      </w:r>
      <w:r w:rsidRPr="003A38F2">
        <w:rPr>
          <w:rFonts w:ascii="Arial" w:hAnsi="Arial" w:cs="Arial" w:hint="eastAsia"/>
          <w:sz w:val="15"/>
          <w:szCs w:val="15"/>
        </w:rPr>
        <w:t xml:space="preserve">: </w:t>
      </w:r>
      <w:r w:rsidR="00CF77BC" w:rsidRPr="003A38F2">
        <w:rPr>
          <w:rFonts w:ascii="Arial" w:hAnsi="Arial" w:cs="Arial"/>
          <w:b/>
          <w:bCs/>
          <w:sz w:val="15"/>
          <w:szCs w:val="15"/>
        </w:rPr>
        <w:t>(a-</w:t>
      </w:r>
      <w:r w:rsidR="00CF77BC" w:rsidRPr="003A38F2">
        <w:rPr>
          <w:rFonts w:ascii="Arial" w:hAnsi="Arial" w:cs="Arial" w:hint="eastAsia"/>
          <w:b/>
          <w:bCs/>
          <w:sz w:val="15"/>
          <w:szCs w:val="15"/>
        </w:rPr>
        <w:t>c</w:t>
      </w:r>
      <w:r w:rsidR="00CF77BC" w:rsidRPr="003A38F2">
        <w:rPr>
          <w:rFonts w:ascii="Arial" w:hAnsi="Arial" w:cs="Arial"/>
          <w:b/>
          <w:bCs/>
          <w:sz w:val="15"/>
          <w:szCs w:val="15"/>
        </w:rPr>
        <w:t>)</w:t>
      </w:r>
      <w:r w:rsidR="00CF77BC" w:rsidRPr="003A38F2">
        <w:rPr>
          <w:rFonts w:ascii="Arial" w:hAnsi="Arial" w:cs="Arial"/>
          <w:sz w:val="15"/>
          <w:szCs w:val="15"/>
        </w:rPr>
        <w:t xml:space="preserve"> Manhattan-style plots </w:t>
      </w:r>
      <w:bookmarkStart w:id="0" w:name="_Hlk183967522"/>
      <w:r w:rsidR="00CF77BC" w:rsidRPr="003A38F2">
        <w:rPr>
          <w:rFonts w:ascii="Arial" w:hAnsi="Arial" w:cs="Arial"/>
          <w:sz w:val="15"/>
          <w:szCs w:val="15"/>
        </w:rPr>
        <w:t xml:space="preserve">displaying </w:t>
      </w:r>
      <w:bookmarkEnd w:id="0"/>
      <w:r w:rsidR="00CF77BC" w:rsidRPr="003A38F2">
        <w:rPr>
          <w:rFonts w:ascii="Arial" w:hAnsi="Arial" w:cs="Arial"/>
          <w:sz w:val="15"/>
          <w:szCs w:val="15"/>
        </w:rPr>
        <w:t xml:space="preserve">cell-type-specific glioblastomagenesis causal genes across chromosomes for </w:t>
      </w:r>
      <w:r w:rsidR="00D87CCF">
        <w:rPr>
          <w:rFonts w:ascii="Arial" w:hAnsi="Arial" w:cs="Arial" w:hint="eastAsia"/>
          <w:sz w:val="15"/>
          <w:szCs w:val="15"/>
        </w:rPr>
        <w:t>Endothelial cell</w:t>
      </w:r>
      <w:r w:rsidR="00CF77BC" w:rsidRPr="003A38F2">
        <w:rPr>
          <w:rFonts w:ascii="Arial" w:hAnsi="Arial" w:cs="Arial"/>
          <w:sz w:val="15"/>
          <w:szCs w:val="15"/>
        </w:rPr>
        <w:t xml:space="preserve">, </w:t>
      </w:r>
      <w:r w:rsidR="00D87CCF">
        <w:rPr>
          <w:rFonts w:ascii="Arial" w:hAnsi="Arial" w:cs="Arial" w:hint="eastAsia"/>
          <w:sz w:val="15"/>
          <w:szCs w:val="15"/>
        </w:rPr>
        <w:t>Microglia</w:t>
      </w:r>
      <w:r w:rsidR="00CF77BC" w:rsidRPr="003A38F2">
        <w:rPr>
          <w:rFonts w:ascii="Arial" w:hAnsi="Arial" w:cs="Arial"/>
          <w:sz w:val="15"/>
          <w:szCs w:val="15"/>
        </w:rPr>
        <w:t xml:space="preserve">, and </w:t>
      </w:r>
      <w:r w:rsidR="00D87CCF">
        <w:rPr>
          <w:rFonts w:ascii="Arial" w:hAnsi="Arial" w:cs="Arial" w:hint="eastAsia"/>
          <w:sz w:val="15"/>
          <w:szCs w:val="15"/>
        </w:rPr>
        <w:t>pericyte</w:t>
      </w:r>
      <w:r w:rsidR="00CF77BC" w:rsidRPr="003A38F2">
        <w:rPr>
          <w:rFonts w:ascii="Arial" w:hAnsi="Arial" w:cs="Arial"/>
          <w:sz w:val="15"/>
          <w:szCs w:val="15"/>
        </w:rPr>
        <w:t>. Z-scores represent gene effect size and direction in QTL-based association study, with significant cell-type-specific causal genes highlighted as red triangles (</w:t>
      </w:r>
      <w:r w:rsidR="00FC2A8F" w:rsidRPr="00FC2A8F">
        <w:rPr>
          <w:rFonts w:ascii="Arial" w:hAnsi="Arial" w:cs="Arial"/>
          <w:sz w:val="15"/>
          <w:szCs w:val="15"/>
        </w:rPr>
        <w:t>Duplicated </w:t>
      </w:r>
      <w:r w:rsidR="00CF77BC" w:rsidRPr="003A38F2">
        <w:rPr>
          <w:rFonts w:ascii="Arial" w:hAnsi="Arial" w:cs="Arial" w:hint="eastAsia"/>
          <w:sz w:val="15"/>
          <w:szCs w:val="15"/>
        </w:rPr>
        <w:t>in QTL-base</w:t>
      </w:r>
      <w:r w:rsidR="00FC2A8F">
        <w:rPr>
          <w:rFonts w:ascii="Arial" w:hAnsi="Arial" w:cs="Arial" w:hint="eastAsia"/>
          <w:sz w:val="15"/>
          <w:szCs w:val="15"/>
        </w:rPr>
        <w:t>d</w:t>
      </w:r>
      <w:r w:rsidR="00CF77BC" w:rsidRPr="003A38F2">
        <w:rPr>
          <w:rFonts w:ascii="Arial" w:hAnsi="Arial" w:cs="Arial" w:hint="eastAsia"/>
          <w:sz w:val="15"/>
          <w:szCs w:val="15"/>
        </w:rPr>
        <w:t xml:space="preserve"> association study, </w:t>
      </w:r>
      <w:r w:rsidR="00CF77BC" w:rsidRPr="00D87CCF">
        <w:rPr>
          <w:rFonts w:ascii="Arial" w:hAnsi="Arial" w:cs="Arial"/>
          <w:sz w:val="15"/>
          <w:szCs w:val="15"/>
        </w:rPr>
        <w:t>PP.H4.abf ≥ 70%</w:t>
      </w:r>
      <w:r w:rsidR="00CF77BC" w:rsidRPr="003A38F2">
        <w:rPr>
          <w:rFonts w:ascii="Arial" w:hAnsi="Arial" w:cs="Arial" w:hint="eastAsia"/>
          <w:sz w:val="15"/>
          <w:szCs w:val="15"/>
        </w:rPr>
        <w:t xml:space="preserve">, </w:t>
      </w:r>
      <w:r w:rsidR="00FC2A8F" w:rsidRPr="00FC2A8F">
        <w:rPr>
          <w:rFonts w:ascii="Arial" w:hAnsi="Arial" w:cs="Arial"/>
          <w:sz w:val="15"/>
          <w:szCs w:val="15"/>
        </w:rPr>
        <w:t>and with causal significance</w:t>
      </w:r>
      <w:r w:rsidR="00CF77BC" w:rsidRPr="003A38F2">
        <w:rPr>
          <w:rFonts w:ascii="Arial" w:hAnsi="Arial" w:cs="Arial"/>
          <w:sz w:val="15"/>
          <w:szCs w:val="15"/>
        </w:rPr>
        <w:t>) and potential causal genes as black triangles (</w:t>
      </w:r>
      <w:r w:rsidR="00FC2A8F" w:rsidRPr="00FC2A8F">
        <w:rPr>
          <w:rFonts w:ascii="Arial" w:hAnsi="Arial" w:cs="Arial"/>
          <w:sz w:val="15"/>
          <w:szCs w:val="15"/>
        </w:rPr>
        <w:t>Duplicated </w:t>
      </w:r>
      <w:r w:rsidR="00CF77BC" w:rsidRPr="003A38F2">
        <w:rPr>
          <w:rFonts w:ascii="Arial" w:hAnsi="Arial" w:cs="Arial" w:hint="eastAsia"/>
          <w:sz w:val="15"/>
          <w:szCs w:val="15"/>
        </w:rPr>
        <w:t>in QTL-</w:t>
      </w:r>
      <w:r w:rsidR="00FC2A8F" w:rsidRPr="00FC2A8F">
        <w:rPr>
          <w:rFonts w:ascii="Arial" w:hAnsi="Arial" w:cs="Arial" w:hint="eastAsia"/>
          <w:sz w:val="15"/>
          <w:szCs w:val="15"/>
        </w:rPr>
        <w:t xml:space="preserve"> </w:t>
      </w:r>
      <w:r w:rsidR="00FC2A8F" w:rsidRPr="003A38F2">
        <w:rPr>
          <w:rFonts w:ascii="Arial" w:hAnsi="Arial" w:cs="Arial" w:hint="eastAsia"/>
          <w:sz w:val="15"/>
          <w:szCs w:val="15"/>
        </w:rPr>
        <w:t>base</w:t>
      </w:r>
      <w:r w:rsidR="00FC2A8F">
        <w:rPr>
          <w:rFonts w:ascii="Arial" w:hAnsi="Arial" w:cs="Arial" w:hint="eastAsia"/>
          <w:sz w:val="15"/>
          <w:szCs w:val="15"/>
        </w:rPr>
        <w:t>d</w:t>
      </w:r>
      <w:r w:rsidR="00FC2A8F" w:rsidRPr="003A38F2">
        <w:rPr>
          <w:rFonts w:ascii="Arial" w:hAnsi="Arial" w:cs="Arial" w:hint="eastAsia"/>
          <w:sz w:val="15"/>
          <w:szCs w:val="15"/>
        </w:rPr>
        <w:t xml:space="preserve"> </w:t>
      </w:r>
      <w:r w:rsidR="00CF77BC" w:rsidRPr="003A38F2">
        <w:rPr>
          <w:rFonts w:ascii="Arial" w:hAnsi="Arial" w:cs="Arial" w:hint="eastAsia"/>
          <w:sz w:val="15"/>
          <w:szCs w:val="15"/>
        </w:rPr>
        <w:t xml:space="preserve">association study, and </w:t>
      </w:r>
      <w:r w:rsidR="00CF77BC" w:rsidRPr="003A38F2">
        <w:rPr>
          <w:rFonts w:ascii="Arial" w:hAnsi="Arial" w:cs="Arial"/>
          <w:sz w:val="15"/>
          <w:szCs w:val="15"/>
        </w:rPr>
        <w:t xml:space="preserve">PP.H4.abf &lt; 70%). Grey dots indicate unduplicated genes from QTL-based association studies. Horizontal blue lines denote significant thresholds (P= 2.78e-6; 0.05/17,964). </w:t>
      </w:r>
    </w:p>
    <w:p w14:paraId="428EE1A4" w14:textId="484984FF" w:rsidR="00623CD4" w:rsidRPr="003A38F2" w:rsidRDefault="00A96C96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sz w:val="15"/>
          <w:szCs w:val="15"/>
        </w:rPr>
        <w:drawing>
          <wp:inline distT="0" distB="0" distL="0" distR="0" wp14:anchorId="47801735" wp14:editId="523CC2F5">
            <wp:extent cx="2775760" cy="2775760"/>
            <wp:effectExtent l="0" t="0" r="5715" b="5715"/>
            <wp:docPr id="1812043681" name="图片 6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043681" name="图片 6" descr="图表, 箱线图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84903" cy="278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A32D7" w14:textId="5CA8F3EC" w:rsidR="00CF77BC" w:rsidRDefault="007948AD">
      <w:pPr>
        <w:rPr>
          <w:rFonts w:ascii="Arial" w:hAnsi="Arial" w:cs="Arial"/>
          <w:sz w:val="15"/>
          <w:szCs w:val="15"/>
        </w:rPr>
      </w:pPr>
      <w:r w:rsidRPr="0050590F">
        <w:rPr>
          <w:rFonts w:ascii="Arial" w:hAnsi="Arial" w:cs="Arial"/>
          <w:b/>
          <w:bCs/>
          <w:sz w:val="15"/>
          <w:szCs w:val="15"/>
        </w:rPr>
        <w:t>Supplementary Figure</w:t>
      </w:r>
      <w:r w:rsidR="0050590F">
        <w:rPr>
          <w:rFonts w:ascii="Arial" w:hAnsi="Arial" w:cs="Arial" w:hint="eastAsia"/>
          <w:b/>
          <w:bCs/>
          <w:sz w:val="15"/>
          <w:szCs w:val="15"/>
        </w:rPr>
        <w:t xml:space="preserve"> </w:t>
      </w:r>
      <w:r w:rsidR="004B77FB">
        <w:rPr>
          <w:rFonts w:ascii="Arial" w:hAnsi="Arial" w:cs="Arial" w:hint="eastAsia"/>
          <w:b/>
          <w:bCs/>
          <w:sz w:val="15"/>
          <w:szCs w:val="15"/>
        </w:rPr>
        <w:t>6</w:t>
      </w:r>
      <w:r w:rsidRPr="003A38F2">
        <w:rPr>
          <w:rFonts w:ascii="Arial" w:hAnsi="Arial" w:cs="Arial" w:hint="eastAsia"/>
          <w:sz w:val="15"/>
          <w:szCs w:val="15"/>
        </w:rPr>
        <w:t xml:space="preserve">: </w:t>
      </w:r>
      <w:r w:rsidR="00CF77BC" w:rsidRPr="003A38F2">
        <w:rPr>
          <w:rFonts w:ascii="Arial" w:hAnsi="Arial" w:cs="Arial"/>
          <w:sz w:val="15"/>
          <w:szCs w:val="15"/>
        </w:rPr>
        <w:t xml:space="preserve">Bar plots showing the cell type enrichment test in </w:t>
      </w:r>
      <w:r w:rsidR="00CF77BC" w:rsidRPr="003A38F2">
        <w:rPr>
          <w:rFonts w:ascii="Arial" w:hAnsi="Arial" w:cs="Arial" w:hint="eastAsia"/>
          <w:sz w:val="15"/>
          <w:szCs w:val="15"/>
        </w:rPr>
        <w:t>four potential cell-type-specific causal</w:t>
      </w:r>
      <w:r w:rsidR="00CF77BC" w:rsidRPr="003A38F2">
        <w:rPr>
          <w:rFonts w:ascii="Arial" w:hAnsi="Arial" w:cs="Arial"/>
          <w:sz w:val="15"/>
          <w:szCs w:val="15"/>
        </w:rPr>
        <w:t xml:space="preserve"> gene </w:t>
      </w:r>
      <w:r w:rsidR="00731617" w:rsidRPr="003A38F2">
        <w:rPr>
          <w:rFonts w:ascii="Arial" w:hAnsi="Arial" w:cs="Arial"/>
          <w:sz w:val="15"/>
          <w:szCs w:val="15"/>
        </w:rPr>
        <w:t>sets (</w:t>
      </w:r>
      <w:r w:rsidR="00E41EB3">
        <w:rPr>
          <w:rFonts w:ascii="Arial" w:hAnsi="Arial" w:cs="Arial" w:hint="eastAsia"/>
          <w:sz w:val="15"/>
          <w:szCs w:val="15"/>
        </w:rPr>
        <w:t>astrocyte,</w:t>
      </w:r>
      <w:r w:rsidR="00AD3A97">
        <w:rPr>
          <w:rFonts w:ascii="Arial" w:hAnsi="Arial" w:cs="Arial" w:hint="eastAsia"/>
          <w:sz w:val="15"/>
          <w:szCs w:val="15"/>
        </w:rPr>
        <w:t xml:space="preserve"> </w:t>
      </w:r>
      <w:r w:rsidR="00E41EB3">
        <w:rPr>
          <w:rFonts w:ascii="Arial" w:hAnsi="Arial" w:cs="Arial" w:hint="eastAsia"/>
          <w:sz w:val="15"/>
          <w:szCs w:val="15"/>
        </w:rPr>
        <w:t>neuron,</w:t>
      </w:r>
      <w:r w:rsidR="00AD3A97">
        <w:rPr>
          <w:rFonts w:ascii="Arial" w:hAnsi="Arial" w:cs="Arial" w:hint="eastAsia"/>
          <w:sz w:val="15"/>
          <w:szCs w:val="15"/>
        </w:rPr>
        <w:t xml:space="preserve"> </w:t>
      </w:r>
      <w:r w:rsidR="00E41EB3">
        <w:rPr>
          <w:rFonts w:ascii="Arial" w:hAnsi="Arial" w:cs="Arial" w:hint="eastAsia"/>
          <w:sz w:val="15"/>
          <w:szCs w:val="15"/>
        </w:rPr>
        <w:t>oligodendrocyte,</w:t>
      </w:r>
      <w:r w:rsidR="00AD3A97">
        <w:rPr>
          <w:rFonts w:ascii="Arial" w:hAnsi="Arial" w:cs="Arial" w:hint="eastAsia"/>
          <w:sz w:val="15"/>
          <w:szCs w:val="15"/>
        </w:rPr>
        <w:t xml:space="preserve"> </w:t>
      </w:r>
      <w:r w:rsidR="00E41EB3">
        <w:rPr>
          <w:rFonts w:ascii="Arial" w:hAnsi="Arial" w:cs="Arial" w:hint="eastAsia"/>
          <w:sz w:val="15"/>
          <w:szCs w:val="15"/>
        </w:rPr>
        <w:t>OPC</w:t>
      </w:r>
      <w:r w:rsidR="00CF77BC" w:rsidRPr="003A38F2">
        <w:rPr>
          <w:rFonts w:ascii="Arial" w:hAnsi="Arial" w:cs="Arial" w:hint="eastAsia"/>
          <w:sz w:val="15"/>
          <w:szCs w:val="15"/>
        </w:rPr>
        <w:t>)</w:t>
      </w:r>
      <w:r w:rsidR="00CF77BC" w:rsidRPr="003A38F2">
        <w:rPr>
          <w:rFonts w:ascii="Arial" w:hAnsi="Arial" w:cs="Arial"/>
          <w:sz w:val="15"/>
          <w:szCs w:val="15"/>
        </w:rPr>
        <w:t xml:space="preserve">. Asterisks (*) highlight significant deviations, indicating overexpression in </w:t>
      </w:r>
      <w:r w:rsidR="0011737E">
        <w:rPr>
          <w:rFonts w:ascii="Arial" w:hAnsi="Arial" w:cs="Arial" w:hint="eastAsia"/>
          <w:sz w:val="15"/>
          <w:szCs w:val="15"/>
        </w:rPr>
        <w:t xml:space="preserve">cell-type </w:t>
      </w:r>
      <w:r w:rsidR="00CF77BC" w:rsidRPr="003A38F2">
        <w:rPr>
          <w:rFonts w:ascii="Arial" w:hAnsi="Arial" w:cs="Arial"/>
          <w:sz w:val="15"/>
          <w:szCs w:val="15"/>
        </w:rPr>
        <w:t>compared to the bootstrapped mean.</w:t>
      </w:r>
    </w:p>
    <w:p w14:paraId="64950CB3" w14:textId="1D753CDC" w:rsidR="004B77FB" w:rsidRPr="003A38F2" w:rsidRDefault="00A96C96" w:rsidP="004B77FB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sz w:val="15"/>
          <w:szCs w:val="15"/>
        </w:rPr>
        <w:lastRenderedPageBreak/>
        <w:drawing>
          <wp:inline distT="0" distB="0" distL="0" distR="0" wp14:anchorId="35AC7C36" wp14:editId="06249882">
            <wp:extent cx="3703681" cy="1081318"/>
            <wp:effectExtent l="0" t="0" r="0" b="5080"/>
            <wp:docPr id="629404121" name="图片 7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404121" name="图片 7" descr="图片包含 文本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04891" cy="108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C704E" w14:textId="39424565" w:rsidR="001A0B6E" w:rsidRPr="003A38F2" w:rsidRDefault="004B77FB">
      <w:pPr>
        <w:rPr>
          <w:rFonts w:ascii="Arial" w:hAnsi="Arial" w:cs="Arial"/>
          <w:sz w:val="15"/>
          <w:szCs w:val="15"/>
        </w:rPr>
      </w:pPr>
      <w:r w:rsidRPr="00AD3A97">
        <w:rPr>
          <w:rFonts w:ascii="Arial" w:hAnsi="Arial" w:cs="Arial"/>
          <w:b/>
          <w:bCs/>
          <w:sz w:val="15"/>
          <w:szCs w:val="15"/>
        </w:rPr>
        <w:t>Supplementary Figure</w:t>
      </w:r>
      <w:r w:rsidRPr="00AD3A97">
        <w:rPr>
          <w:rFonts w:ascii="Arial" w:hAnsi="Arial" w:cs="Arial" w:hint="eastAsia"/>
          <w:b/>
          <w:bCs/>
          <w:sz w:val="15"/>
          <w:szCs w:val="15"/>
        </w:rPr>
        <w:t xml:space="preserve"> </w:t>
      </w:r>
      <w:r>
        <w:rPr>
          <w:rFonts w:ascii="Arial" w:hAnsi="Arial" w:cs="Arial" w:hint="eastAsia"/>
          <w:b/>
          <w:bCs/>
          <w:sz w:val="15"/>
          <w:szCs w:val="15"/>
        </w:rPr>
        <w:t>7</w:t>
      </w:r>
      <w:r w:rsidRPr="00AD3A97">
        <w:rPr>
          <w:rFonts w:ascii="Arial" w:hAnsi="Arial" w:cs="Arial" w:hint="eastAsia"/>
          <w:sz w:val="15"/>
          <w:szCs w:val="15"/>
        </w:rPr>
        <w:t xml:space="preserve">: </w:t>
      </w:r>
      <w:r w:rsidRPr="00AD3A97">
        <w:rPr>
          <w:rFonts w:ascii="Arial" w:hAnsi="Arial" w:cs="Arial"/>
          <w:sz w:val="15"/>
          <w:szCs w:val="15"/>
        </w:rPr>
        <w:t>Bar plot showing the main L-R pair and corresponding relative contribution in EGF pathway </w:t>
      </w:r>
      <w:r w:rsidRPr="008B4966">
        <w:rPr>
          <w:rFonts w:ascii="Arial" w:hAnsi="Arial" w:cs="Arial"/>
          <w:sz w:val="15"/>
          <w:szCs w:val="15"/>
        </w:rPr>
        <w:t>in</w:t>
      </w:r>
      <w:r w:rsidRPr="00AD3A97">
        <w:rPr>
          <w:rFonts w:ascii="Arial" w:hAnsi="Arial" w:cs="Arial"/>
          <w:sz w:val="15"/>
          <w:szCs w:val="15"/>
        </w:rPr>
        <w:t> GBM non-malignant </w:t>
      </w:r>
      <w:r w:rsidRPr="008B4966">
        <w:rPr>
          <w:rFonts w:ascii="Arial" w:hAnsi="Arial" w:cs="Arial"/>
          <w:sz w:val="15"/>
          <w:szCs w:val="15"/>
        </w:rPr>
        <w:t>cell data</w:t>
      </w:r>
      <w:r w:rsidRPr="00AD3A97">
        <w:rPr>
          <w:rFonts w:ascii="Arial" w:hAnsi="Arial" w:cs="Arial"/>
          <w:sz w:val="15"/>
          <w:szCs w:val="15"/>
        </w:rPr>
        <w:t> for GBmap (expanded).</w:t>
      </w:r>
    </w:p>
    <w:p w14:paraId="209FBA08" w14:textId="46AD5319" w:rsidR="00623CD4" w:rsidRPr="003A38F2" w:rsidRDefault="00A96C96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sz w:val="15"/>
          <w:szCs w:val="15"/>
        </w:rPr>
        <w:drawing>
          <wp:inline distT="0" distB="0" distL="0" distR="0" wp14:anchorId="0259CB50" wp14:editId="03B7B25D">
            <wp:extent cx="5274310" cy="3595370"/>
            <wp:effectExtent l="0" t="0" r="2540" b="5080"/>
            <wp:docPr id="1673938520" name="图片 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938520" name="图片 8" descr="图示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FC0EA" w14:textId="0CDA7C54" w:rsidR="00D26EA9" w:rsidRPr="003A38F2" w:rsidRDefault="007948AD" w:rsidP="00D26EA9">
      <w:pPr>
        <w:rPr>
          <w:rFonts w:ascii="Arial" w:hAnsi="Arial" w:cs="Arial"/>
          <w:sz w:val="15"/>
          <w:szCs w:val="15"/>
        </w:rPr>
      </w:pPr>
      <w:r w:rsidRPr="002240E5">
        <w:rPr>
          <w:rFonts w:ascii="Arial" w:hAnsi="Arial" w:cs="Arial"/>
          <w:b/>
          <w:bCs/>
          <w:sz w:val="15"/>
          <w:szCs w:val="15"/>
        </w:rPr>
        <w:t>Supplementary Figure</w:t>
      </w:r>
      <w:r w:rsidRPr="002240E5">
        <w:rPr>
          <w:rFonts w:ascii="Arial" w:hAnsi="Arial" w:cs="Arial" w:hint="eastAsia"/>
          <w:b/>
          <w:bCs/>
          <w:sz w:val="15"/>
          <w:szCs w:val="15"/>
        </w:rPr>
        <w:t xml:space="preserve"> </w:t>
      </w:r>
      <w:r w:rsidR="002240E5" w:rsidRPr="002240E5">
        <w:rPr>
          <w:rFonts w:ascii="Arial" w:hAnsi="Arial" w:cs="Arial" w:hint="eastAsia"/>
          <w:b/>
          <w:bCs/>
          <w:sz w:val="15"/>
          <w:szCs w:val="15"/>
        </w:rPr>
        <w:t>8</w:t>
      </w:r>
      <w:r w:rsidR="002240E5" w:rsidRPr="002240E5">
        <w:rPr>
          <w:rFonts w:ascii="Arial" w:hAnsi="Arial" w:cs="Arial"/>
          <w:b/>
          <w:bCs/>
          <w:sz w:val="15"/>
          <w:szCs w:val="15"/>
        </w:rPr>
        <w:t>:</w:t>
      </w:r>
      <w:r w:rsidR="002240E5" w:rsidRPr="003A38F2">
        <w:rPr>
          <w:rFonts w:ascii="Arial" w:hAnsi="Arial" w:cs="Arial"/>
          <w:sz w:val="15"/>
          <w:szCs w:val="15"/>
        </w:rPr>
        <w:t xml:space="preserve"> Workflow</w:t>
      </w:r>
      <w:r w:rsidR="00D26EA9" w:rsidRPr="003A38F2">
        <w:rPr>
          <w:rFonts w:ascii="Arial" w:hAnsi="Arial" w:cs="Arial" w:hint="eastAsia"/>
          <w:sz w:val="15"/>
          <w:szCs w:val="15"/>
        </w:rPr>
        <w:t xml:space="preserve"> of MR-PheWAS. When exposure and outcome are used for causal estimates in MR inference, three assumptions must be satisfied. </w:t>
      </w:r>
      <w:r w:rsidR="00D26EA9" w:rsidRPr="003A38F2">
        <w:rPr>
          <w:rFonts w:ascii="Arial" w:hAnsi="Arial" w:cs="Arial" w:hint="eastAsia"/>
          <w:sz w:val="15"/>
          <w:szCs w:val="15"/>
        </w:rPr>
        <w:t>①</w:t>
      </w:r>
      <w:r w:rsidR="00D26EA9" w:rsidRPr="003A38F2">
        <w:rPr>
          <w:rFonts w:ascii="Arial" w:hAnsi="Arial" w:cs="Arial" w:hint="eastAsia"/>
          <w:sz w:val="15"/>
          <w:szCs w:val="15"/>
        </w:rPr>
        <w:t xml:space="preserve"> Relevance assumption: the genetic variations are highly related to the exposure, </w:t>
      </w:r>
      <w:r w:rsidR="00D26EA9" w:rsidRPr="003A38F2">
        <w:rPr>
          <w:rFonts w:ascii="Arial" w:hAnsi="Arial" w:cs="Arial" w:hint="eastAsia"/>
          <w:sz w:val="15"/>
          <w:szCs w:val="15"/>
        </w:rPr>
        <w:t>②</w:t>
      </w:r>
      <w:r w:rsidR="00D26EA9" w:rsidRPr="003A38F2">
        <w:rPr>
          <w:rFonts w:ascii="Arial" w:hAnsi="Arial" w:cs="Arial" w:hint="eastAsia"/>
          <w:sz w:val="15"/>
          <w:szCs w:val="15"/>
        </w:rPr>
        <w:t xml:space="preserve"> Independence assumption: the genetic variants are not associated with any putative confounder of the association between exposure and </w:t>
      </w:r>
      <w:r w:rsidR="00FC2A8F" w:rsidRPr="00FC2A8F">
        <w:rPr>
          <w:rFonts w:ascii="Arial" w:hAnsi="Arial" w:cs="Arial"/>
          <w:sz w:val="15"/>
          <w:szCs w:val="15"/>
        </w:rPr>
        <w:t>outcome</w:t>
      </w:r>
      <w:r w:rsidR="00D26EA9" w:rsidRPr="003A38F2">
        <w:rPr>
          <w:rFonts w:ascii="Arial" w:hAnsi="Arial" w:cs="Arial" w:hint="eastAsia"/>
          <w:sz w:val="15"/>
          <w:szCs w:val="15"/>
        </w:rPr>
        <w:t xml:space="preserve">, and </w:t>
      </w:r>
      <w:r w:rsidR="00D26EA9" w:rsidRPr="003A38F2">
        <w:rPr>
          <w:rFonts w:ascii="Arial" w:hAnsi="Arial" w:cs="Arial" w:hint="eastAsia"/>
          <w:sz w:val="15"/>
          <w:szCs w:val="15"/>
        </w:rPr>
        <w:t>③</w:t>
      </w:r>
      <w:r w:rsidR="00D26EA9" w:rsidRPr="003A38F2">
        <w:rPr>
          <w:rFonts w:ascii="Arial" w:hAnsi="Arial" w:cs="Arial" w:hint="eastAsia"/>
          <w:sz w:val="15"/>
          <w:szCs w:val="15"/>
        </w:rPr>
        <w:t xml:space="preserve"> Exclusion restriction: the variants do not alter the outcome independently of exposure.</w:t>
      </w:r>
    </w:p>
    <w:sectPr w:rsidR="00D26EA9" w:rsidRPr="003A38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EB270" w14:textId="77777777" w:rsidR="002C7195" w:rsidRDefault="002C7195" w:rsidP="001D17FB">
      <w:pPr>
        <w:rPr>
          <w:rFonts w:hint="eastAsia"/>
        </w:rPr>
      </w:pPr>
      <w:r>
        <w:separator/>
      </w:r>
    </w:p>
  </w:endnote>
  <w:endnote w:type="continuationSeparator" w:id="0">
    <w:p w14:paraId="14C5149E" w14:textId="77777777" w:rsidR="002C7195" w:rsidRDefault="002C7195" w:rsidP="001D17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BE966F" w14:textId="77777777" w:rsidR="002C7195" w:rsidRDefault="002C7195" w:rsidP="001D17FB">
      <w:pPr>
        <w:rPr>
          <w:rFonts w:hint="eastAsia"/>
        </w:rPr>
      </w:pPr>
      <w:r>
        <w:separator/>
      </w:r>
    </w:p>
  </w:footnote>
  <w:footnote w:type="continuationSeparator" w:id="0">
    <w:p w14:paraId="5C0640C6" w14:textId="77777777" w:rsidR="002C7195" w:rsidRDefault="002C7195" w:rsidP="001D17F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CE"/>
    <w:rsid w:val="000F7B1F"/>
    <w:rsid w:val="0011737E"/>
    <w:rsid w:val="00151CA5"/>
    <w:rsid w:val="001A0B6E"/>
    <w:rsid w:val="001D17FB"/>
    <w:rsid w:val="002240E5"/>
    <w:rsid w:val="00227EA2"/>
    <w:rsid w:val="002C7195"/>
    <w:rsid w:val="00370100"/>
    <w:rsid w:val="003A38F2"/>
    <w:rsid w:val="0040127B"/>
    <w:rsid w:val="00417C56"/>
    <w:rsid w:val="00474B29"/>
    <w:rsid w:val="004B77FB"/>
    <w:rsid w:val="0050590F"/>
    <w:rsid w:val="00623CD4"/>
    <w:rsid w:val="00675404"/>
    <w:rsid w:val="00694ECE"/>
    <w:rsid w:val="00731617"/>
    <w:rsid w:val="007948AD"/>
    <w:rsid w:val="00866719"/>
    <w:rsid w:val="008B4966"/>
    <w:rsid w:val="0096074B"/>
    <w:rsid w:val="009A7602"/>
    <w:rsid w:val="009B74A2"/>
    <w:rsid w:val="00A86F47"/>
    <w:rsid w:val="00A96C96"/>
    <w:rsid w:val="00AC40FF"/>
    <w:rsid w:val="00AD3A97"/>
    <w:rsid w:val="00B53B10"/>
    <w:rsid w:val="00C519BE"/>
    <w:rsid w:val="00C64AD0"/>
    <w:rsid w:val="00C868D5"/>
    <w:rsid w:val="00CE290F"/>
    <w:rsid w:val="00CF77BC"/>
    <w:rsid w:val="00D26EA9"/>
    <w:rsid w:val="00D61BC9"/>
    <w:rsid w:val="00D87CCF"/>
    <w:rsid w:val="00DC405B"/>
    <w:rsid w:val="00E41EB3"/>
    <w:rsid w:val="00FC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9F6FD"/>
  <w14:defaultImageDpi w14:val="32767"/>
  <w15:chartTrackingRefBased/>
  <w15:docId w15:val="{39EF8702-00D0-492B-A624-B8D7B843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4E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E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EC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EC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EC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EC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EC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EC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94E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94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94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94E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94EC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94E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94E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94E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94E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94E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94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E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94E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E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94E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E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94E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94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94E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94ECE"/>
    <w:rPr>
      <w:b/>
      <w:bCs/>
      <w:smallCaps/>
      <w:color w:val="0F4761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semiHidden/>
    <w:unhideWhenUsed/>
    <w:rsid w:val="00675404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675404"/>
    <w:rPr>
      <w:rFonts w:ascii="Courier New" w:hAnsi="Courier New" w:cs="Courier New"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1D17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D17F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D17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D17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 T</dc:creator>
  <cp:keywords/>
  <dc:description/>
  <cp:lastModifiedBy>NR T</cp:lastModifiedBy>
  <cp:revision>27</cp:revision>
  <dcterms:created xsi:type="dcterms:W3CDTF">2024-12-01T09:33:00Z</dcterms:created>
  <dcterms:modified xsi:type="dcterms:W3CDTF">2024-12-01T13:45:00Z</dcterms:modified>
</cp:coreProperties>
</file>