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A918AF" w14:textId="77777777" w:rsidR="00894239" w:rsidRPr="00894239" w:rsidRDefault="00894239" w:rsidP="00D0050B">
      <w:pPr>
        <w:jc w:val="both"/>
        <w:rPr>
          <w:rFonts w:ascii="Times New Roman" w:hAnsi="Times New Roman" w:cs="Times New Roman"/>
        </w:rPr>
      </w:pPr>
      <w:bookmarkStart w:id="0" w:name="OLE_LINK1"/>
      <w:bookmarkStart w:id="1" w:name="_GoBack"/>
      <w:bookmarkEnd w:id="1"/>
    </w:p>
    <w:p w14:paraId="661E2854" w14:textId="77777777" w:rsidR="008D6439" w:rsidRPr="00D75D48" w:rsidRDefault="008D6439" w:rsidP="00D0050B">
      <w:pPr>
        <w:jc w:val="both"/>
        <w:rPr>
          <w:rFonts w:ascii="Times New Roman" w:hAnsi="Times New Roman" w:cs="Times New Roman"/>
          <w:b/>
          <w:bCs/>
        </w:rPr>
      </w:pPr>
      <w:bookmarkStart w:id="2" w:name="OLE_LINK2"/>
      <w:r w:rsidRPr="00D75D48">
        <w:rPr>
          <w:rFonts w:ascii="Times New Roman" w:hAnsi="Times New Roman" w:cs="Times New Roman"/>
          <w:b/>
          <w:bCs/>
        </w:rPr>
        <w:t>Supplementary Figure 1</w:t>
      </w:r>
      <w:r w:rsidR="00437C6B" w:rsidRPr="00D75D48">
        <w:rPr>
          <w:rFonts w:ascii="Times New Roman" w:hAnsi="Times New Roman" w:cs="Times New Roman"/>
          <w:b/>
          <w:bCs/>
        </w:rPr>
        <w:t xml:space="preserve"> Validation of the Nrf2-deficient spontaneous ESCC model and characterization of the immune microenvironment.</w:t>
      </w:r>
    </w:p>
    <w:p w14:paraId="65973F50" w14:textId="4634E5AE" w:rsidR="00D0050B" w:rsidRPr="00D0050B" w:rsidRDefault="00602159" w:rsidP="00D0050B">
      <w:pPr>
        <w:jc w:val="both"/>
        <w:rPr>
          <w:rFonts w:ascii="Times New Roman" w:hAnsi="Times New Roman" w:cs="Times New Roman"/>
          <w:b/>
          <w:bCs/>
        </w:rPr>
      </w:pPr>
      <w:r w:rsidRPr="00D75D48">
        <w:rPr>
          <w:rFonts w:ascii="Times New Roman" w:hAnsi="Times New Roman" w:cs="Times New Roman"/>
          <w:b/>
          <w:bCs/>
        </w:rPr>
        <w:t xml:space="preserve">(A) </w:t>
      </w:r>
      <w:r w:rsidR="00C17133" w:rsidRPr="00D75D48">
        <w:rPr>
          <w:rFonts w:ascii="Times New Roman" w:hAnsi="Times New Roman" w:cs="Times New Roman"/>
        </w:rPr>
        <w:t xml:space="preserve">Immunofluorescence staining of Nrf2 (green) in esophageal tissues. Nuclei were counterstained with DAPI (blue). Note the absence of Nrf2 signal in the </w:t>
      </w:r>
      <w:r w:rsidR="00AB4421">
        <w:rPr>
          <w:rFonts w:ascii="Times New Roman" w:hAnsi="Times New Roman" w:cs="Times New Roman"/>
        </w:rPr>
        <w:t>Mod</w:t>
      </w:r>
      <w:r w:rsidR="00C17133" w:rsidRPr="00D75D48">
        <w:rPr>
          <w:rFonts w:ascii="Times New Roman" w:hAnsi="Times New Roman" w:cs="Times New Roman"/>
        </w:rPr>
        <w:t xml:space="preserve"> group, confirming the efficiency of the knockout.</w:t>
      </w:r>
      <w:r w:rsidR="00C17133" w:rsidRPr="00D75D48">
        <w:rPr>
          <w:rFonts w:ascii="Times New Roman" w:hAnsi="Times New Roman" w:cs="Times New Roman"/>
          <w:b/>
          <w:bCs/>
        </w:rPr>
        <w:t xml:space="preserve"> </w:t>
      </w:r>
      <w:r w:rsidR="00C90D0B" w:rsidRPr="00D75D48">
        <w:rPr>
          <w:rFonts w:ascii="Times New Roman" w:hAnsi="Times New Roman" w:cs="Times New Roman"/>
          <w:b/>
          <w:bCs/>
        </w:rPr>
        <w:t>(</w:t>
      </w:r>
      <w:r w:rsidRPr="00D75D48">
        <w:rPr>
          <w:rFonts w:ascii="Times New Roman" w:hAnsi="Times New Roman" w:cs="Times New Roman"/>
          <w:b/>
          <w:bCs/>
        </w:rPr>
        <w:t xml:space="preserve">B) </w:t>
      </w:r>
      <w:r w:rsidR="00C17133" w:rsidRPr="00D75D48">
        <w:rPr>
          <w:rFonts w:ascii="Times New Roman" w:hAnsi="Times New Roman" w:cs="Times New Roman"/>
        </w:rPr>
        <w:t xml:space="preserve">Representative gross morphology of esophagi from control Mod and Nc mice induced by 4NQO. Red circles indicate visible tumor lesions. </w:t>
      </w:r>
      <w:r w:rsidR="00C90D0B" w:rsidRPr="00D0050B">
        <w:rPr>
          <w:rFonts w:ascii="Times New Roman" w:hAnsi="Times New Roman" w:cs="Times New Roman"/>
          <w:b/>
          <w:bCs/>
          <w:highlight w:val="yellow"/>
        </w:rPr>
        <w:t>(</w:t>
      </w:r>
      <w:r w:rsidRPr="00D0050B">
        <w:rPr>
          <w:rFonts w:ascii="Times New Roman" w:hAnsi="Times New Roman" w:cs="Times New Roman"/>
          <w:b/>
          <w:bCs/>
          <w:highlight w:val="yellow"/>
        </w:rPr>
        <w:t>C)</w:t>
      </w:r>
      <w:r w:rsidRPr="00D0050B">
        <w:rPr>
          <w:rFonts w:ascii="Times New Roman" w:hAnsi="Times New Roman" w:cs="Times New Roman"/>
          <w:highlight w:val="yellow"/>
        </w:rPr>
        <w:t xml:space="preserve"> </w:t>
      </w:r>
      <w:r w:rsidR="00302B36" w:rsidRPr="00D0050B">
        <w:rPr>
          <w:rFonts w:ascii="Times New Roman" w:hAnsi="Times New Roman" w:cs="Times New Roman"/>
          <w:highlight w:val="yellow"/>
        </w:rPr>
        <w:t xml:space="preserve">Violin plots comparing the M1 and M2 polarization scores between the </w:t>
      </w:r>
      <w:r w:rsidR="00AB4421">
        <w:rPr>
          <w:rFonts w:ascii="Times New Roman" w:hAnsi="Times New Roman" w:cs="Times New Roman"/>
          <w:highlight w:val="yellow"/>
        </w:rPr>
        <w:t>s</w:t>
      </w:r>
      <w:r w:rsidR="00302B36" w:rsidRPr="00D0050B">
        <w:rPr>
          <w:rFonts w:ascii="Times New Roman" w:hAnsi="Times New Roman" w:cs="Times New Roman"/>
          <w:highlight w:val="yellow"/>
        </w:rPr>
        <w:t xml:space="preserve"> and Mod groups. The Mod group shows significantly higher M1 and M2 scores (P &lt; 0.05).</w:t>
      </w:r>
      <w:r w:rsidR="00302B36" w:rsidRPr="00D0050B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C90D0B" w:rsidRPr="00D0050B">
        <w:rPr>
          <w:rFonts w:ascii="Times New Roman" w:hAnsi="Times New Roman" w:cs="Times New Roman"/>
          <w:b/>
          <w:bCs/>
          <w:highlight w:val="yellow"/>
        </w:rPr>
        <w:t>(</w:t>
      </w:r>
      <w:r w:rsidRPr="00D0050B">
        <w:rPr>
          <w:rFonts w:ascii="Times New Roman" w:hAnsi="Times New Roman" w:cs="Times New Roman"/>
          <w:b/>
          <w:bCs/>
          <w:highlight w:val="yellow"/>
        </w:rPr>
        <w:t>D)</w:t>
      </w:r>
      <w:r w:rsidRPr="00D0050B">
        <w:rPr>
          <w:rFonts w:ascii="Times New Roman" w:hAnsi="Times New Roman" w:cs="Times New Roman"/>
          <w:highlight w:val="yellow"/>
        </w:rPr>
        <w:t xml:space="preserve"> </w:t>
      </w:r>
      <w:r w:rsidR="00D0050B" w:rsidRPr="00D0050B">
        <w:rPr>
          <w:rFonts w:ascii="Times New Roman" w:hAnsi="Times New Roman" w:cs="Times New Roman"/>
          <w:highlight w:val="yellow"/>
        </w:rPr>
        <w:t>Violin plots showing the distribution of M1 and M2 signature scores in specific myeloid subpopulations.</w:t>
      </w:r>
      <w:r w:rsidR="00C90D0B" w:rsidRPr="00D0050B">
        <w:rPr>
          <w:rFonts w:ascii="Times New Roman" w:hAnsi="Times New Roman" w:cs="Times New Roman"/>
          <w:highlight w:val="yellow"/>
        </w:rPr>
        <w:t xml:space="preserve"> </w:t>
      </w:r>
      <w:r w:rsidR="00C90D0B" w:rsidRPr="00D0050B">
        <w:rPr>
          <w:rFonts w:ascii="Times New Roman" w:hAnsi="Times New Roman" w:cs="Times New Roman"/>
          <w:b/>
          <w:bCs/>
          <w:highlight w:val="yellow"/>
        </w:rPr>
        <w:t>(</w:t>
      </w:r>
      <w:r w:rsidRPr="00D0050B">
        <w:rPr>
          <w:rFonts w:ascii="Times New Roman" w:hAnsi="Times New Roman" w:cs="Times New Roman"/>
          <w:b/>
          <w:bCs/>
          <w:highlight w:val="yellow"/>
        </w:rPr>
        <w:t>E)</w:t>
      </w:r>
      <w:r w:rsidRPr="00D0050B">
        <w:rPr>
          <w:rFonts w:ascii="Times New Roman" w:hAnsi="Times New Roman" w:cs="Times New Roman"/>
          <w:highlight w:val="yellow"/>
        </w:rPr>
        <w:t xml:space="preserve"> Bar cha</w:t>
      </w:r>
      <w:r w:rsidR="00AA3A86" w:rsidRPr="00D0050B">
        <w:rPr>
          <w:rFonts w:ascii="Times New Roman" w:hAnsi="Times New Roman" w:cs="Times New Roman"/>
          <w:highlight w:val="yellow"/>
        </w:rPr>
        <w:t>r</w:t>
      </w:r>
      <w:r w:rsidRPr="00D0050B">
        <w:rPr>
          <w:rFonts w:ascii="Times New Roman" w:hAnsi="Times New Roman" w:cs="Times New Roman"/>
          <w:highlight w:val="yellow"/>
        </w:rPr>
        <w:t xml:space="preserve">t displaying the proportional distribution of macrophage subpopulations. Note </w:t>
      </w:r>
      <w:bookmarkEnd w:id="0"/>
      <w:r w:rsidRPr="00D0050B">
        <w:rPr>
          <w:rFonts w:ascii="Times New Roman" w:hAnsi="Times New Roman" w:cs="Times New Roman"/>
          <w:highlight w:val="yellow"/>
        </w:rPr>
        <w:t xml:space="preserve">the expansion of the Marco_Mrc1 subset in the </w:t>
      </w:r>
      <w:r w:rsidR="00302B36" w:rsidRPr="00D0050B">
        <w:rPr>
          <w:rFonts w:ascii="Times New Roman" w:hAnsi="Times New Roman" w:cs="Times New Roman" w:hint="eastAsia"/>
          <w:highlight w:val="yellow"/>
        </w:rPr>
        <w:t>Mod</w:t>
      </w:r>
      <w:r w:rsidRPr="00D0050B">
        <w:rPr>
          <w:rFonts w:ascii="Times New Roman" w:hAnsi="Times New Roman" w:cs="Times New Roman"/>
          <w:highlight w:val="yellow"/>
        </w:rPr>
        <w:t xml:space="preserve"> group compared to the </w:t>
      </w:r>
      <w:r w:rsidR="00302B36" w:rsidRPr="00D0050B">
        <w:rPr>
          <w:rFonts w:ascii="Times New Roman" w:hAnsi="Times New Roman" w:cs="Times New Roman" w:hint="eastAsia"/>
          <w:highlight w:val="yellow"/>
        </w:rPr>
        <w:t>Nc</w:t>
      </w:r>
      <w:r w:rsidR="00C90D0B" w:rsidRPr="00D0050B">
        <w:rPr>
          <w:rFonts w:ascii="Times New Roman" w:hAnsi="Times New Roman" w:cs="Times New Roman"/>
          <w:highlight w:val="yellow"/>
        </w:rPr>
        <w:t xml:space="preserve">. </w:t>
      </w:r>
      <w:r w:rsidR="00C90D0B" w:rsidRPr="00D0050B">
        <w:rPr>
          <w:rFonts w:ascii="Times New Roman" w:hAnsi="Times New Roman" w:cs="Times New Roman"/>
          <w:b/>
          <w:bCs/>
          <w:highlight w:val="yellow"/>
        </w:rPr>
        <w:t>(</w:t>
      </w:r>
      <w:r w:rsidRPr="00D0050B">
        <w:rPr>
          <w:rFonts w:ascii="Times New Roman" w:hAnsi="Times New Roman" w:cs="Times New Roman"/>
          <w:b/>
          <w:bCs/>
          <w:highlight w:val="yellow"/>
        </w:rPr>
        <w:t xml:space="preserve">F) </w:t>
      </w:r>
      <w:r w:rsidR="004C4F6E" w:rsidRPr="00D0050B">
        <w:rPr>
          <w:rFonts w:ascii="Times New Roman" w:hAnsi="Times New Roman" w:cs="Times New Roman" w:hint="eastAsia"/>
          <w:highlight w:val="yellow"/>
        </w:rPr>
        <w:t>L</w:t>
      </w:r>
      <w:r w:rsidRPr="00D0050B">
        <w:rPr>
          <w:rFonts w:ascii="Times New Roman" w:hAnsi="Times New Roman" w:cs="Times New Roman"/>
          <w:highlight w:val="yellow"/>
        </w:rPr>
        <w:t xml:space="preserve">ollipop chart analyzing the abundance and fold change of </w:t>
      </w:r>
      <w:r w:rsidR="00302B36" w:rsidRPr="00D0050B">
        <w:rPr>
          <w:rFonts w:ascii="Times New Roman" w:hAnsi="Times New Roman" w:cs="Times New Roman" w:hint="eastAsia"/>
          <w:highlight w:val="yellow"/>
        </w:rPr>
        <w:t>Macrophage</w:t>
      </w:r>
      <w:r w:rsidRPr="00D0050B">
        <w:rPr>
          <w:rFonts w:ascii="Times New Roman" w:hAnsi="Times New Roman" w:cs="Times New Roman"/>
          <w:highlight w:val="yellow"/>
        </w:rPr>
        <w:t xml:space="preserve"> </w:t>
      </w:r>
      <w:r w:rsidR="00C90D0B" w:rsidRPr="00D0050B">
        <w:rPr>
          <w:rFonts w:ascii="Times New Roman" w:hAnsi="Times New Roman" w:cs="Times New Roman"/>
          <w:highlight w:val="yellow"/>
        </w:rPr>
        <w:t xml:space="preserve">subsets. </w:t>
      </w:r>
      <w:r w:rsidR="00C90D0B" w:rsidRPr="00D0050B">
        <w:rPr>
          <w:rFonts w:ascii="Times New Roman" w:hAnsi="Times New Roman" w:cs="Times New Roman"/>
          <w:b/>
          <w:bCs/>
          <w:highlight w:val="yellow"/>
        </w:rPr>
        <w:t>(</w:t>
      </w:r>
      <w:r w:rsidRPr="00D0050B">
        <w:rPr>
          <w:rFonts w:ascii="Times New Roman" w:hAnsi="Times New Roman" w:cs="Times New Roman"/>
          <w:b/>
          <w:bCs/>
          <w:highlight w:val="yellow"/>
        </w:rPr>
        <w:t>G)</w:t>
      </w:r>
      <w:r w:rsidRPr="00D0050B">
        <w:rPr>
          <w:rFonts w:ascii="Times New Roman" w:hAnsi="Times New Roman" w:cs="Times New Roman"/>
          <w:highlight w:val="yellow"/>
        </w:rPr>
        <w:t xml:space="preserve"> </w:t>
      </w:r>
      <w:r w:rsidR="00D0050B" w:rsidRPr="00D0050B">
        <w:rPr>
          <w:rFonts w:ascii="Times New Roman" w:hAnsi="Times New Roman" w:cs="Times New Roman"/>
          <w:highlight w:val="yellow"/>
        </w:rPr>
        <w:t xml:space="preserve">Comparison of T cell </w:t>
      </w:r>
      <w:r w:rsidR="00AB4421" w:rsidRPr="00AB4421">
        <w:rPr>
          <w:rFonts w:ascii="Times New Roman" w:hAnsi="Times New Roman" w:cs="Times New Roman"/>
          <w:highlight w:val="yellow"/>
        </w:rPr>
        <w:t>signature scores</w:t>
      </w:r>
      <w:r w:rsidR="00D0050B" w:rsidRPr="00AB4421">
        <w:rPr>
          <w:rFonts w:ascii="Times New Roman" w:hAnsi="Times New Roman" w:cs="Times New Roman"/>
          <w:highlight w:val="yellow"/>
        </w:rPr>
        <w:t xml:space="preserve"> </w:t>
      </w:r>
      <w:r w:rsidR="00D0050B" w:rsidRPr="00D0050B">
        <w:rPr>
          <w:rFonts w:ascii="Times New Roman" w:hAnsi="Times New Roman" w:cs="Times New Roman"/>
          <w:highlight w:val="yellow"/>
        </w:rPr>
        <w:t>between the Mod and Nc groups.</w:t>
      </w:r>
      <w:r w:rsidR="00302B36" w:rsidRPr="00D0050B">
        <w:rPr>
          <w:rFonts w:ascii="Times New Roman" w:hAnsi="Times New Roman" w:cs="Times New Roman" w:hint="eastAsia"/>
          <w:highlight w:val="yellow"/>
        </w:rPr>
        <w:t xml:space="preserve"> </w:t>
      </w:r>
      <w:r w:rsidR="00C90D0B" w:rsidRPr="00D0050B">
        <w:rPr>
          <w:rFonts w:ascii="Times New Roman" w:hAnsi="Times New Roman" w:cs="Times New Roman"/>
          <w:b/>
          <w:bCs/>
          <w:highlight w:val="yellow"/>
        </w:rPr>
        <w:t>(</w:t>
      </w:r>
      <w:r w:rsidRPr="00D0050B">
        <w:rPr>
          <w:rFonts w:ascii="Times New Roman" w:hAnsi="Times New Roman" w:cs="Times New Roman"/>
          <w:b/>
          <w:bCs/>
          <w:highlight w:val="yellow"/>
        </w:rPr>
        <w:t>H)</w:t>
      </w:r>
      <w:r w:rsidRPr="00D0050B">
        <w:rPr>
          <w:rFonts w:ascii="Times New Roman" w:hAnsi="Times New Roman" w:cs="Times New Roman"/>
          <w:highlight w:val="yellow"/>
        </w:rPr>
        <w:t xml:space="preserve"> </w:t>
      </w:r>
      <w:r w:rsidR="00A926B5">
        <w:rPr>
          <w:rFonts w:ascii="Times New Roman" w:hAnsi="Times New Roman" w:cs="Times New Roman"/>
          <w:highlight w:val="yellow"/>
        </w:rPr>
        <w:t>T</w:t>
      </w:r>
      <w:r w:rsidR="00E300B0" w:rsidRPr="00D0050B">
        <w:rPr>
          <w:rFonts w:ascii="Times New Roman" w:hAnsi="Times New Roman" w:cs="Times New Roman"/>
          <w:highlight w:val="yellow"/>
        </w:rPr>
        <w:t xml:space="preserve">he lollipop plot illustrates the relative expansion or contraction of specific immune subsets in the </w:t>
      </w:r>
      <w:r w:rsidR="00E300B0" w:rsidRPr="00D0050B">
        <w:rPr>
          <w:rFonts w:ascii="Times New Roman" w:hAnsi="Times New Roman" w:cs="Times New Roman" w:hint="eastAsia"/>
          <w:highlight w:val="yellow"/>
        </w:rPr>
        <w:t>Nc</w:t>
      </w:r>
      <w:r w:rsidR="00E300B0" w:rsidRPr="00D0050B">
        <w:rPr>
          <w:rFonts w:ascii="Times New Roman" w:hAnsi="Times New Roman" w:cs="Times New Roman"/>
          <w:highlight w:val="yellow"/>
        </w:rPr>
        <w:t xml:space="preserve"> group compared to the </w:t>
      </w:r>
      <w:r w:rsidR="00E300B0" w:rsidRPr="00D0050B">
        <w:rPr>
          <w:rFonts w:ascii="Times New Roman" w:hAnsi="Times New Roman" w:cs="Times New Roman" w:hint="eastAsia"/>
          <w:highlight w:val="yellow"/>
        </w:rPr>
        <w:t>Mod</w:t>
      </w:r>
      <w:r w:rsidR="00E300B0" w:rsidRPr="00D0050B">
        <w:rPr>
          <w:rFonts w:ascii="Times New Roman" w:hAnsi="Times New Roman" w:cs="Times New Roman"/>
          <w:highlight w:val="yellow"/>
        </w:rPr>
        <w:t xml:space="preserve"> group.</w:t>
      </w:r>
      <w:r w:rsidR="000B413B" w:rsidRPr="00D0050B">
        <w:rPr>
          <w:highlight w:val="yellow"/>
        </w:rPr>
        <w:t xml:space="preserve"> </w:t>
      </w:r>
      <w:r w:rsidR="000B413B" w:rsidRPr="00D0050B">
        <w:rPr>
          <w:rFonts w:ascii="Times New Roman" w:hAnsi="Times New Roman" w:cs="Times New Roman"/>
          <w:highlight w:val="yellow"/>
        </w:rPr>
        <w:t>Proportions are calculated as log2(</w:t>
      </w:r>
      <w:r w:rsidR="000B413B" w:rsidRPr="00D0050B">
        <w:rPr>
          <w:rFonts w:ascii="Times New Roman" w:hAnsi="Times New Roman" w:cs="Times New Roman" w:hint="eastAsia"/>
          <w:highlight w:val="yellow"/>
        </w:rPr>
        <w:t>Nc/Mod</w:t>
      </w:r>
      <w:r w:rsidR="000B413B" w:rsidRPr="00D0050B">
        <w:rPr>
          <w:rFonts w:ascii="Times New Roman" w:hAnsi="Times New Roman" w:cs="Times New Roman"/>
          <w:highlight w:val="yellow"/>
        </w:rPr>
        <w:t xml:space="preserve">) </w:t>
      </w:r>
      <w:r w:rsidR="00AB4421" w:rsidRPr="00AB4421">
        <w:rPr>
          <w:rFonts w:ascii="Times New Roman" w:hAnsi="Times New Roman" w:cs="Times New Roman"/>
          <w:highlight w:val="yellow"/>
        </w:rPr>
        <w:t>(I-J) Quantification of relative protein levels of NRF2, CRT, GPX2, and NQO1 in irradiated KYSE-150 (I) and KYSE-30 (J) cells.</w:t>
      </w:r>
    </w:p>
    <w:bookmarkEnd w:id="2"/>
    <w:p w14:paraId="2DFE07CB" w14:textId="7664CE94" w:rsidR="00602159" w:rsidRPr="00D0050B" w:rsidRDefault="00602159" w:rsidP="00D0050B">
      <w:pPr>
        <w:jc w:val="both"/>
        <w:rPr>
          <w:rFonts w:ascii="Times New Roman" w:hAnsi="Times New Roman" w:cs="Times New Roman"/>
        </w:rPr>
      </w:pPr>
    </w:p>
    <w:p w14:paraId="057DB218" w14:textId="77777777" w:rsidR="004427F3" w:rsidRPr="00D75D48" w:rsidRDefault="004427F3" w:rsidP="00D0050B">
      <w:pPr>
        <w:jc w:val="both"/>
        <w:rPr>
          <w:rFonts w:ascii="Times New Roman" w:hAnsi="Times New Roman" w:cs="Times New Roman"/>
        </w:rPr>
      </w:pPr>
    </w:p>
    <w:p w14:paraId="4225F0CD" w14:textId="77777777" w:rsidR="00D81EAD" w:rsidRPr="00D75D48" w:rsidRDefault="00D81EAD" w:rsidP="00D0050B">
      <w:pPr>
        <w:jc w:val="both"/>
        <w:rPr>
          <w:rFonts w:ascii="Times New Roman" w:hAnsi="Times New Roman" w:cs="Times New Roman"/>
        </w:rPr>
      </w:pPr>
      <w:r w:rsidRPr="00D75D48">
        <w:rPr>
          <w:rFonts w:ascii="Times New Roman" w:hAnsi="Times New Roman" w:cs="Times New Roman"/>
          <w:b/>
          <w:bCs/>
        </w:rPr>
        <w:t>Supplementary Figure 2. Profiling of additional cytokines and validation of immune activation in KYSE30 cells.</w:t>
      </w:r>
      <w:r w:rsidRPr="00D75D48">
        <w:rPr>
          <w:rFonts w:ascii="Times New Roman" w:hAnsi="Times New Roman" w:cs="Times New Roman"/>
        </w:rPr>
        <w:t xml:space="preserve"> </w:t>
      </w:r>
      <w:r w:rsidRPr="00D75D48">
        <w:rPr>
          <w:rFonts w:ascii="Times New Roman" w:hAnsi="Times New Roman" w:cs="Times New Roman"/>
          <w:b/>
          <w:bCs/>
        </w:rPr>
        <w:t>(A)</w:t>
      </w:r>
      <w:r w:rsidRPr="00D75D48">
        <w:rPr>
          <w:rFonts w:ascii="Times New Roman" w:hAnsi="Times New Roman" w:cs="Times New Roman"/>
        </w:rPr>
        <w:t xml:space="preserve"> Violin plots displaying the expression levels of additional cytokines analyzed in the multiplex assay. No significant differences (IL-2; IL-9</w:t>
      </w:r>
      <w:r w:rsidR="00AA3A86" w:rsidRPr="00D75D48">
        <w:rPr>
          <w:rFonts w:ascii="Times New Roman" w:hAnsi="Times New Roman" w:cs="Times New Roman"/>
        </w:rPr>
        <w:t xml:space="preserve"> and others</w:t>
      </w:r>
      <w:r w:rsidRPr="00D75D48">
        <w:rPr>
          <w:rFonts w:ascii="Times New Roman" w:hAnsi="Times New Roman" w:cs="Times New Roman"/>
        </w:rPr>
        <w:t>) were observed between the Sg-Nrf2 and Sg-Con groups (</w:t>
      </w:r>
      <w:r w:rsidRPr="00D75D48">
        <w:rPr>
          <w:rStyle w:val="math-inline"/>
          <w:rFonts w:ascii="Times New Roman" w:hAnsi="Times New Roman" w:cs="Times New Roman"/>
        </w:rPr>
        <w:t>P &gt; 0.05</w:t>
      </w:r>
      <w:r w:rsidRPr="00D75D48">
        <w:rPr>
          <w:rFonts w:ascii="Times New Roman" w:hAnsi="Times New Roman" w:cs="Times New Roman"/>
        </w:rPr>
        <w:t xml:space="preserve">). </w:t>
      </w:r>
      <w:r w:rsidRPr="00D75D48">
        <w:rPr>
          <w:rFonts w:ascii="Times New Roman" w:hAnsi="Times New Roman" w:cs="Times New Roman"/>
          <w:b/>
          <w:bCs/>
        </w:rPr>
        <w:t>(B)</w:t>
      </w:r>
      <w:r w:rsidRPr="00D75D48">
        <w:rPr>
          <w:rFonts w:ascii="Times New Roman" w:hAnsi="Times New Roman" w:cs="Times New Roman"/>
        </w:rPr>
        <w:t xml:space="preserve"> Flow cytometric analysis of T cell effector function (TNF-</w:t>
      </w:r>
      <m:oMath>
        <m:r>
          <w:rPr>
            <w:rFonts w:ascii="Cambria Math" w:hAnsi="Cambria Math" w:cs="Times New Roman"/>
          </w:rPr>
          <m:t>α</m:t>
        </m:r>
      </m:oMath>
      <w:r w:rsidRPr="00D75D48">
        <w:rPr>
          <w:rFonts w:ascii="Times New Roman" w:hAnsi="Times New Roman" w:cs="Times New Roman"/>
        </w:rPr>
        <w:t>, GZMB, IFN-</w:t>
      </w:r>
      <m:oMath>
        <m:r>
          <w:rPr>
            <w:rFonts w:ascii="Cambria Math" w:hAnsi="Cambria Math" w:cs="Times New Roman"/>
          </w:rPr>
          <m:t>γ</m:t>
        </m:r>
      </m:oMath>
      <w:r w:rsidRPr="00D75D48">
        <w:rPr>
          <w:rFonts w:ascii="Times New Roman" w:hAnsi="Times New Roman" w:cs="Times New Roman"/>
        </w:rPr>
        <w:t>) in tumor-DC-T cell co-culture assays using KYSE30 cells. The results exhibit trends consistent with KYSE150 cells, confirming that Nrf2-deficient tumor cells significantly potentiate T cell cytotoxicity in a dendritic cell-dependent manner.</w:t>
      </w:r>
    </w:p>
    <w:sectPr w:rsidR="00D81EAD" w:rsidRPr="00D75D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41DA9"/>
    <w:multiLevelType w:val="hybridMultilevel"/>
    <w:tmpl w:val="5D54C0A6"/>
    <w:lvl w:ilvl="0" w:tplc="48729D9E">
      <w:start w:val="1"/>
      <w:numFmt w:val="upperLetter"/>
      <w:lvlText w:val="(%1)"/>
      <w:lvlJc w:val="left"/>
      <w:pPr>
        <w:ind w:left="400" w:hanging="40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7ADA5823"/>
    <w:multiLevelType w:val="hybridMultilevel"/>
    <w:tmpl w:val="BFEC7C2E"/>
    <w:lvl w:ilvl="0" w:tplc="54466540">
      <w:start w:val="1"/>
      <w:numFmt w:val="upperLetter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4CD"/>
    <w:rsid w:val="000B413B"/>
    <w:rsid w:val="00111DEB"/>
    <w:rsid w:val="00302B36"/>
    <w:rsid w:val="003F6985"/>
    <w:rsid w:val="00403AAD"/>
    <w:rsid w:val="00437C6B"/>
    <w:rsid w:val="004427F3"/>
    <w:rsid w:val="00452D64"/>
    <w:rsid w:val="004C4F6E"/>
    <w:rsid w:val="00530211"/>
    <w:rsid w:val="00530341"/>
    <w:rsid w:val="005E219E"/>
    <w:rsid w:val="005E72EC"/>
    <w:rsid w:val="00602159"/>
    <w:rsid w:val="00636FC3"/>
    <w:rsid w:val="00671F56"/>
    <w:rsid w:val="00682400"/>
    <w:rsid w:val="006C5441"/>
    <w:rsid w:val="007C7B9A"/>
    <w:rsid w:val="00812D86"/>
    <w:rsid w:val="0085278B"/>
    <w:rsid w:val="00894239"/>
    <w:rsid w:val="008C3081"/>
    <w:rsid w:val="008D6439"/>
    <w:rsid w:val="00911093"/>
    <w:rsid w:val="00A07578"/>
    <w:rsid w:val="00A40B8E"/>
    <w:rsid w:val="00A926B5"/>
    <w:rsid w:val="00AA3A86"/>
    <w:rsid w:val="00AB4421"/>
    <w:rsid w:val="00C17133"/>
    <w:rsid w:val="00C57375"/>
    <w:rsid w:val="00C90D0B"/>
    <w:rsid w:val="00D0050B"/>
    <w:rsid w:val="00D124CD"/>
    <w:rsid w:val="00D57481"/>
    <w:rsid w:val="00D62F9D"/>
    <w:rsid w:val="00D66CC5"/>
    <w:rsid w:val="00D75D48"/>
    <w:rsid w:val="00D81EAD"/>
    <w:rsid w:val="00E300B0"/>
    <w:rsid w:val="00E65944"/>
    <w:rsid w:val="00EB1E12"/>
    <w:rsid w:val="00F8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3D8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D124C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24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24C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24C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24C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24C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24C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24C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24C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24C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24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24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24CD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24CD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24CD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24CD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24CD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24CD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124C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2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24C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24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24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24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24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24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4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4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24CD"/>
    <w:rPr>
      <w:b/>
      <w:bCs/>
      <w:smallCaps/>
      <w:color w:val="0F4761" w:themeColor="accent1" w:themeShade="BF"/>
      <w:spacing w:val="5"/>
    </w:rPr>
  </w:style>
  <w:style w:type="character" w:customStyle="1" w:styleId="math-inline">
    <w:name w:val="math-inline"/>
    <w:basedOn w:val="DefaultParagraphFont"/>
    <w:rsid w:val="00812D86"/>
  </w:style>
  <w:style w:type="character" w:styleId="PlaceholderText">
    <w:name w:val="Placeholder Text"/>
    <w:basedOn w:val="DefaultParagraphFont"/>
    <w:uiPriority w:val="99"/>
    <w:semiHidden/>
    <w:rsid w:val="00812D86"/>
    <w:rPr>
      <w:color w:val="666666"/>
    </w:rPr>
  </w:style>
  <w:style w:type="paragraph" w:styleId="Caption">
    <w:name w:val="caption"/>
    <w:basedOn w:val="Normal"/>
    <w:next w:val="Normal"/>
    <w:uiPriority w:val="35"/>
    <w:unhideWhenUsed/>
    <w:qFormat/>
    <w:rsid w:val="00D66CC5"/>
    <w:rPr>
      <w:rFonts w:asciiTheme="majorHAnsi" w:eastAsia="SimHei" w:hAnsiTheme="majorHAnsi" w:cstheme="maj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D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D124C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24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24C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24C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24C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24C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24C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24C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24C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24C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24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24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24CD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24CD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24CD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24CD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24CD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24CD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124C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2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24C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24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24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24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24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24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4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4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24CD"/>
    <w:rPr>
      <w:b/>
      <w:bCs/>
      <w:smallCaps/>
      <w:color w:val="0F4761" w:themeColor="accent1" w:themeShade="BF"/>
      <w:spacing w:val="5"/>
    </w:rPr>
  </w:style>
  <w:style w:type="character" w:customStyle="1" w:styleId="math-inline">
    <w:name w:val="math-inline"/>
    <w:basedOn w:val="DefaultParagraphFont"/>
    <w:rsid w:val="00812D86"/>
  </w:style>
  <w:style w:type="character" w:styleId="PlaceholderText">
    <w:name w:val="Placeholder Text"/>
    <w:basedOn w:val="DefaultParagraphFont"/>
    <w:uiPriority w:val="99"/>
    <w:semiHidden/>
    <w:rsid w:val="00812D86"/>
    <w:rPr>
      <w:color w:val="666666"/>
    </w:rPr>
  </w:style>
  <w:style w:type="paragraph" w:styleId="Caption">
    <w:name w:val="caption"/>
    <w:basedOn w:val="Normal"/>
    <w:next w:val="Normal"/>
    <w:uiPriority w:val="35"/>
    <w:unhideWhenUsed/>
    <w:qFormat/>
    <w:rsid w:val="00D66CC5"/>
    <w:rPr>
      <w:rFonts w:asciiTheme="majorHAnsi" w:eastAsia="SimHei" w:hAnsiTheme="majorHAnsi" w:cstheme="maj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D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 刘</dc:creator>
  <cp:keywords/>
  <dc:description/>
  <cp:lastModifiedBy>Shanmugapriya Mathiyalagan (Integra)</cp:lastModifiedBy>
  <cp:revision>12</cp:revision>
  <dcterms:created xsi:type="dcterms:W3CDTF">2026-03-27T04:43:00Z</dcterms:created>
  <dcterms:modified xsi:type="dcterms:W3CDTF">2026-05-19T05:24:00Z</dcterms:modified>
</cp:coreProperties>
</file>