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480" w:lineRule="auto"/>
        <w:jc w:val="both"/>
        <w:rPr>
          <w:rFonts w:ascii="Times New Roman" w:hAnsi="Times New Roman" w:eastAsia="等线" w:cs="Times New Roman"/>
          <w:b/>
          <w:bCs/>
          <w:kern w:val="2"/>
          <w14:ligatures w14:val="standardContextual"/>
        </w:rPr>
      </w:pPr>
      <w:r>
        <w:rPr>
          <w:rFonts w:ascii="Times New Roman" w:hAnsi="Times New Roman" w:eastAsia="等线" w:cs="Times New Roman"/>
          <w:b/>
          <w:bCs/>
          <w:kern w:val="2"/>
          <w14:ligatures w14:val="standardContextual"/>
        </w:rPr>
        <w:t xml:space="preserve">Supplemental data </w:t>
      </w:r>
    </w:p>
    <w:p>
      <w:pPr>
        <w:widowControl w:val="0"/>
        <w:spacing w:line="480" w:lineRule="auto"/>
        <w:jc w:val="both"/>
        <w:rPr>
          <w:rFonts w:ascii="Times New Roman" w:hAnsi="Times New Roman" w:eastAsia="等线" w:cs="Times New Roman"/>
          <w:b/>
          <w:bCs/>
          <w:kern w:val="2"/>
          <w14:ligatures w14:val="standardContextual"/>
        </w:rPr>
      </w:pPr>
    </w:p>
    <w:p>
      <w:pPr>
        <w:widowControl w:val="0"/>
        <w:spacing w:line="480" w:lineRule="auto"/>
        <w:jc w:val="both"/>
        <w:rPr>
          <w:rFonts w:ascii="Times New Roman" w:hAnsi="Times New Roman" w:eastAsia="等线" w:cs="Times New Roman"/>
          <w:b/>
          <w:bCs/>
          <w:kern w:val="2"/>
          <w14:ligatures w14:val="standardContextual"/>
        </w:rPr>
      </w:pPr>
      <w:r>
        <w:rPr>
          <w:rFonts w:ascii="Times New Roman" w:hAnsi="Times New Roman" w:eastAsia="等线" w:cs="Times New Roman"/>
          <w:b/>
          <w:bCs/>
          <w:kern w:val="2"/>
          <w14:ligatures w14:val="standardContextual"/>
        </w:rPr>
        <w:t>Supplemental methods</w:t>
      </w:r>
    </w:p>
    <w:p>
      <w:pPr>
        <w:widowControl w:val="0"/>
        <w:spacing w:line="480" w:lineRule="auto"/>
        <w:jc w:val="both"/>
        <w:rPr>
          <w:rFonts w:ascii="Times New Roman" w:hAnsi="Times New Roman" w:eastAsia="等线" w:cs="Times New Roman"/>
          <w:b/>
          <w:bCs/>
          <w:kern w:val="2"/>
          <w14:ligatures w14:val="standardContextual"/>
        </w:rPr>
      </w:pPr>
      <w:bookmarkStart w:id="0" w:name="OLE_LINK9"/>
      <w:r>
        <w:rPr>
          <w:rFonts w:ascii="Times New Roman" w:hAnsi="Times New Roman" w:eastAsia="等线" w:cs="Times New Roman"/>
          <w:b/>
          <w:bCs/>
          <w:kern w:val="2"/>
          <w14:ligatures w14:val="standardContextual"/>
        </w:rPr>
        <w:t>Weight measurement</w:t>
      </w:r>
    </w:p>
    <w:bookmarkEnd w:id="0"/>
    <w:p>
      <w:pPr>
        <w:widowControl w:val="0"/>
        <w:spacing w:line="480" w:lineRule="auto"/>
        <w:jc w:val="both"/>
        <w:rPr>
          <w:rFonts w:ascii="Times New Roman" w:hAnsi="Times New Roman" w:eastAsia="等线" w:cs="Times New Roman"/>
          <w:kern w:val="2"/>
          <w14:ligatures w14:val="standardContextual"/>
        </w:rPr>
      </w:pPr>
      <w:r>
        <w:rPr>
          <w:rFonts w:ascii="Times New Roman" w:hAnsi="Times New Roman" w:eastAsia="等线" w:cs="Times New Roman"/>
          <w:kern w:val="2"/>
          <w14:ligatures w14:val="standardContextual"/>
        </w:rPr>
        <w:t>Measurements were conducted at the same time of day (to minimize diurnal variation) at each specified time point: -D3, D0, D1, D3, D5, D7, D14, and D21.</w:t>
      </w:r>
    </w:p>
    <w:p>
      <w:pPr>
        <w:widowControl w:val="0"/>
        <w:spacing w:line="480" w:lineRule="auto"/>
        <w:jc w:val="both"/>
        <w:rPr>
          <w:rFonts w:ascii="Times New Roman" w:hAnsi="Times New Roman" w:eastAsia="等线" w:cs="Times New Roman"/>
          <w:kern w:val="2"/>
          <w14:ligatures w14:val="standardContextual"/>
        </w:rPr>
      </w:pPr>
    </w:p>
    <w:p>
      <w:pPr>
        <w:widowControl w:val="0"/>
        <w:spacing w:line="480" w:lineRule="auto"/>
        <w:jc w:val="both"/>
        <w:rPr>
          <w:rFonts w:ascii="Times New Roman" w:hAnsi="Times New Roman" w:eastAsia="等线" w:cs="Times New Roman"/>
          <w:b/>
          <w:bCs/>
          <w:kern w:val="2"/>
          <w14:ligatures w14:val="standardContextual"/>
        </w:rPr>
      </w:pPr>
      <w:r>
        <w:rPr>
          <w:rFonts w:ascii="Times New Roman" w:hAnsi="Times New Roman" w:eastAsia="等线" w:cs="Times New Roman"/>
          <w:b/>
          <w:bCs/>
          <w:kern w:val="2"/>
          <w14:ligatures w14:val="standardContextual"/>
        </w:rPr>
        <w:t>Immunocytochemistry staining</w:t>
      </w:r>
    </w:p>
    <w:p>
      <w:pPr>
        <w:widowControl w:val="0"/>
        <w:spacing w:line="480" w:lineRule="auto"/>
        <w:jc w:val="both"/>
        <w:rPr>
          <w:rFonts w:ascii="Times New Roman" w:hAnsi="Times New Roman" w:eastAsia="等线" w:cs="Times New Roman"/>
          <w:kern w:val="2"/>
          <w14:ligatures w14:val="standardContextual"/>
        </w:rPr>
      </w:pPr>
      <w:r>
        <w:rPr>
          <w:rFonts w:ascii="Times New Roman" w:hAnsi="Times New Roman" w:eastAsia="等线" w:cs="Times New Roman"/>
          <w:kern w:val="2"/>
          <w14:ligatures w14:val="standardContextual"/>
        </w:rPr>
        <w:t>Spinal cord samples were fixed in 4% PFA and then embedded in OCT compound for subsequent sectioning. Each tissue section was incubated with primary antibodies (GFAP, ABclonal, China, A19058; GAP-43, ABclonal, China, A16857) overnight at 4°C, followed by incubation with secondary antibodies (HRP Donkey Anti-Rabbit IgG (H+L), ABclonal, China, AS038; FITC Goat Anti-Rabbit IgG (H+L), ABclonal, China, AS011) away from light for 1 h at room temperature. Images were acquired via an LX7 fluorescence microscope (Olympus, Japan).</w:t>
      </w:r>
    </w:p>
    <w:p>
      <w:pPr>
        <w:rPr>
          <w:rFonts w:ascii="Times New Roman" w:hAnsi="Times New Roman" w:eastAsia="等线" w:cs="Times New Roman"/>
          <w:b/>
          <w:bCs/>
          <w:kern w:val="2"/>
          <w14:ligatures w14:val="standardContextual"/>
        </w:rPr>
      </w:pPr>
      <w:r>
        <w:rPr>
          <w:rFonts w:ascii="Times New Roman" w:hAnsi="Times New Roman" w:eastAsia="等线" w:cs="Times New Roman"/>
          <w:b/>
          <w:bCs/>
          <w:kern w:val="2"/>
          <w14:ligatures w14:val="standardContextual"/>
        </w:rPr>
        <w:br w:type="page"/>
      </w:r>
    </w:p>
    <w:p>
      <w:pPr>
        <w:widowControl w:val="0"/>
        <w:spacing w:line="360" w:lineRule="auto"/>
        <w:jc w:val="both"/>
        <w:rPr>
          <w:rFonts w:ascii="Times New Roman" w:hAnsi="Times New Roman" w:eastAsia="等线" w:cs="Times New Roman"/>
          <w:b/>
          <w:bCs/>
          <w:kern w:val="2"/>
          <w14:ligatures w14:val="standardContextual"/>
        </w:rPr>
      </w:pPr>
      <w:r>
        <w:rPr>
          <w:rFonts w:ascii="Times New Roman" w:hAnsi="Times New Roman" w:eastAsia="等线" w:cs="Times New Roman"/>
          <w:b/>
          <w:bCs/>
          <w:kern w:val="2"/>
          <w14:ligatures w14:val="standardContextual"/>
        </w:rPr>
        <w:t>Supplemental results</w:t>
      </w:r>
    </w:p>
    <w:p>
      <w:pPr>
        <w:widowControl w:val="0"/>
        <w:spacing w:line="360" w:lineRule="auto"/>
        <w:jc w:val="both"/>
        <w:rPr>
          <w:rFonts w:ascii="Times New Roman" w:hAnsi="Times New Roman" w:eastAsia="等线" w:cs="Times New Roman"/>
          <w:b/>
          <w:kern w:val="2"/>
          <w14:ligatures w14:val="standardContextual"/>
        </w:rPr>
      </w:pPr>
      <w:r>
        <w:rPr>
          <w:rFonts w:ascii="Times New Roman" w:hAnsi="Times New Roman" w:eastAsia="等线" w:cs="Times New Roman"/>
          <w:b/>
          <w:kern w:val="2"/>
          <w14:ligatures w14:val="standardContextual"/>
        </w:rPr>
        <w:t xml:space="preserve">Table S1. </w:t>
      </w:r>
      <w:r>
        <w:rPr>
          <w:rFonts w:ascii="Times New Roman" w:hAnsi="Times New Roman" w:eastAsia="等线" w:cs="Times New Roman"/>
          <w:b w:val="0"/>
          <w:bCs/>
          <w:kern w:val="2"/>
          <w14:ligatures w14:val="standardContextual"/>
        </w:rPr>
        <w:t>Correlation coefficients between various parameters and principal components (F1–F4)</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59"/>
        <w:gridCol w:w="1659"/>
        <w:gridCol w:w="1659"/>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F1</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F2</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F3</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F4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Weight</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0.847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0.046</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0.107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BBB score</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0.980</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0.004</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0.004</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SLE</w:t>
            </w:r>
          </w:p>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(hypointense)</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0.140</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0.799</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0.018</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SLE</w:t>
            </w:r>
          </w:p>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(hyperintense)</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0.353</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0.447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0.163</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Lesion size</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0.828</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0.065</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0.048</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Neuron density</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0.780</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0.189</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0.017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TNF-α</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0.706</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0.069</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0.226</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IL-6</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0.768</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0.175</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0.029</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IL-1β</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0.067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0.018</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0.811</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IntDen/Area</w:t>
            </w:r>
          </w:p>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(GFAP)</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0.967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0.031</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0.001</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IntDen/Area</w:t>
            </w:r>
          </w:p>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(GAP-43)</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0.381</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0.340</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0.197</w:t>
            </w:r>
          </w:p>
        </w:tc>
        <w:tc>
          <w:tcPr>
            <w:tcW w:w="1659" w:type="dxa"/>
          </w:tcPr>
          <w:p>
            <w:pPr>
              <w:widowControl w:val="0"/>
              <w:spacing w:line="360" w:lineRule="auto"/>
              <w:jc w:val="center"/>
              <w:rPr>
                <w:rFonts w:ascii="Times New Roman" w:hAnsi="Times New Roman" w:eastAsia="等线" w:cs="Times New Roman"/>
                <w:kern w:val="2"/>
                <w:sz w:val="24"/>
                <w:szCs w:val="24"/>
                <w14:ligatures w14:val="standardContextual"/>
              </w:rPr>
            </w:pPr>
            <w:r>
              <w:rPr>
                <w:rFonts w:ascii="Times New Roman" w:hAnsi="Times New Roman" w:eastAsia="等线" w:cs="Times New Roman"/>
                <w:kern w:val="2"/>
                <w:sz w:val="24"/>
                <w:szCs w:val="24"/>
                <w14:ligatures w14:val="standardContextual"/>
              </w:rPr>
              <w:t>0.082</w:t>
            </w:r>
          </w:p>
        </w:tc>
      </w:tr>
    </w:tbl>
    <w:p>
      <w:pPr>
        <w:widowControl w:val="0"/>
        <w:spacing w:line="360" w:lineRule="auto"/>
        <w:jc w:val="both"/>
        <w:rPr>
          <w:rFonts w:ascii="Times New Roman" w:hAnsi="Times New Roman" w:eastAsia="等线" w:cs="Times New Roman"/>
          <w:kern w:val="2"/>
          <w14:ligatures w14:val="standardContextual"/>
        </w:rPr>
      </w:pPr>
    </w:p>
    <w:p>
      <w:pPr>
        <w:rPr>
          <w:rFonts w:ascii="Times New Roman" w:hAnsi="Times New Roman" w:eastAsia="等线" w:cs="Times New Roman"/>
          <w:kern w:val="2"/>
          <w14:ligatures w14:val="standardContextual"/>
        </w:rPr>
      </w:pPr>
      <w:r>
        <w:rPr>
          <w:rFonts w:ascii="Times New Roman" w:hAnsi="Times New Roman" w:eastAsia="等线" w:cs="Times New Roman"/>
          <w:kern w:val="2"/>
          <w14:ligatures w14:val="standardContextual"/>
        </w:rPr>
        <w:br w:type="page"/>
      </w:r>
    </w:p>
    <w:p>
      <w:pPr>
        <w:widowControl w:val="0"/>
        <w:spacing w:line="480" w:lineRule="auto"/>
        <w:jc w:val="center"/>
        <w:rPr>
          <w:rFonts w:ascii="Times New Roman" w:hAnsi="Times New Roman" w:eastAsia="等线" w:cs="Times New Roman"/>
          <w:b/>
          <w:kern w:val="2"/>
          <w14:ligatures w14:val="standardContextual"/>
        </w:rPr>
      </w:pPr>
      <w:r>
        <w:rPr>
          <w:rFonts w:ascii="Times New Roman" w:hAnsi="Times New Roman" w:eastAsia="等线" w:cs="Times New Roman"/>
          <w:kern w:val="2"/>
          <w14:ligatures w14:val="standardContextual"/>
        </w:rPr>
        <w:drawing>
          <wp:inline distT="0" distB="0" distL="0" distR="0">
            <wp:extent cx="2994025" cy="2486025"/>
            <wp:effectExtent l="0" t="0" r="0" b="0"/>
            <wp:docPr id="843960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60929" name="图片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0033" cy="2490809"/>
                    </a:xfrm>
                    <a:prstGeom prst="rect">
                      <a:avLst/>
                    </a:prstGeom>
                    <a:noFill/>
                    <a:ln>
                      <a:noFill/>
                    </a:ln>
                  </pic:spPr>
                </pic:pic>
              </a:graphicData>
            </a:graphic>
          </wp:inline>
        </w:drawing>
      </w:r>
    </w:p>
    <w:p>
      <w:pPr>
        <w:widowControl w:val="0"/>
        <w:spacing w:line="480" w:lineRule="auto"/>
        <w:jc w:val="both"/>
        <w:rPr>
          <w:rFonts w:ascii="Times New Roman" w:hAnsi="Times New Roman" w:eastAsia="等线" w:cs="Times New Roman"/>
          <w:b w:val="0"/>
          <w:bCs/>
          <w:color w:val="000000" w:themeColor="text1"/>
          <w:kern w:val="2"/>
          <w14:textFill>
            <w14:solidFill>
              <w14:schemeClr w14:val="tx1"/>
            </w14:solidFill>
          </w14:textFill>
          <w14:ligatures w14:val="standardContextual"/>
        </w:rPr>
      </w:pPr>
      <w:r>
        <w:rPr>
          <w:rFonts w:ascii="Times New Roman" w:hAnsi="Times New Roman" w:eastAsia="等线" w:cs="Times New Roman"/>
          <w:b/>
          <w:kern w:val="2"/>
          <w14:ligatures w14:val="standardContextual"/>
        </w:rPr>
        <w:t xml:space="preserve">Fig. S1 </w:t>
      </w:r>
      <w:r>
        <w:rPr>
          <w:rFonts w:ascii="Times New Roman" w:hAnsi="Times New Roman" w:eastAsia="等线" w:cs="Times New Roman"/>
          <w:b w:val="0"/>
          <w:bCs/>
          <w:kern w:val="2"/>
          <w14:ligatures w14:val="standardContextual"/>
        </w:rPr>
        <w:t>Changes in the body weights of the rats in the different groups over time.</w:t>
      </w:r>
      <w:r>
        <w:rPr>
          <w:rFonts w:hint="eastAsia" w:ascii="Times New Roman" w:hAnsi="Times New Roman" w:eastAsia="等线" w:cs="Times New Roman"/>
          <w:b w:val="0"/>
          <w:bCs/>
          <w:kern w:val="2"/>
          <w:lang w:val="en-US" w:eastAsia="zh-CN"/>
          <w14:ligatures w14:val="standardContextual"/>
        </w:rPr>
        <w:t xml:space="preserve"> </w:t>
      </w:r>
      <w:r>
        <w:rPr>
          <w:rFonts w:ascii="Times New Roman" w:hAnsi="Times New Roman" w:eastAsia="等线" w:cs="Times New Roman"/>
          <w:b w:val="0"/>
          <w:bCs/>
          <w:color w:val="000000" w:themeColor="text1"/>
          <w:kern w:val="2"/>
          <w14:textFill>
            <w14:solidFill>
              <w14:schemeClr w14:val="tx1"/>
            </w14:solidFill>
          </w14:textFill>
          <w14:ligatures w14:val="standardContextual"/>
        </w:rPr>
        <w:t>Body weights of rats in the Sham, Model, Solvent, Low-dose, and High-dose groups were recorded from –D3 to D21 at the indicated time points.</w:t>
      </w:r>
      <w:bookmarkStart w:id="1" w:name="OLE_LINK18"/>
    </w:p>
    <w:p>
      <w:pPr>
        <w:widowControl w:val="0"/>
        <w:spacing w:line="360" w:lineRule="auto"/>
        <w:rPr>
          <w:rFonts w:ascii="Times New Roman" w:hAnsi="Times New Roman" w:eastAsia="等线" w:cs="Times New Roman"/>
          <w:color w:val="657D9D" w:themeColor="text2" w:themeTint="BF"/>
          <w:kern w:val="2"/>
          <w14:textFill>
            <w14:solidFill>
              <w14:schemeClr w14:val="tx2">
                <w14:lumMod w14:val="75000"/>
                <w14:lumOff w14:val="25000"/>
              </w14:schemeClr>
            </w14:solidFill>
          </w14:textFill>
          <w14:ligatures w14:val="standardContextual"/>
        </w:rPr>
      </w:pPr>
    </w:p>
    <w:p>
      <w:pPr>
        <w:widowControl w:val="0"/>
        <w:spacing w:line="360" w:lineRule="auto"/>
        <w:rPr>
          <w:rFonts w:ascii="Times New Roman" w:hAnsi="Times New Roman" w:eastAsia="等线" w:cs="Times New Roman"/>
          <w:color w:val="657D9D" w:themeColor="text2" w:themeTint="BF"/>
          <w:kern w:val="2"/>
          <w14:textFill>
            <w14:solidFill>
              <w14:schemeClr w14:val="tx2">
                <w14:lumMod w14:val="75000"/>
                <w14:lumOff w14:val="25000"/>
              </w14:schemeClr>
            </w14:solidFill>
          </w14:textFill>
          <w14:ligatures w14:val="standardContextual"/>
        </w:rPr>
      </w:pPr>
    </w:p>
    <w:p>
      <w:pPr>
        <w:widowControl w:val="0"/>
        <w:spacing w:line="360" w:lineRule="auto"/>
        <w:jc w:val="center"/>
        <w:rPr>
          <w:rFonts w:ascii="Times New Roman" w:hAnsi="Times New Roman" w:eastAsia="等线" w:cs="Times New Roman"/>
          <w:b/>
          <w:kern w:val="2"/>
          <w14:ligatures w14:val="standardContextual"/>
        </w:rPr>
      </w:pPr>
      <w:r>
        <w:rPr>
          <w:rFonts w:ascii="Times New Roman" w:hAnsi="Times New Roman" w:eastAsia="等线" w:cs="Times New Roman"/>
          <w:b/>
          <w:bCs/>
          <w:kern w:val="2"/>
          <w14:ligatures w14:val="standardContextual"/>
        </w:rPr>
        <w:drawing>
          <wp:inline distT="0" distB="0" distL="0" distR="0">
            <wp:extent cx="5340350" cy="249936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40350" cy="2499360"/>
                    </a:xfrm>
                    <a:prstGeom prst="rect">
                      <a:avLst/>
                    </a:prstGeom>
                    <a:noFill/>
                  </pic:spPr>
                </pic:pic>
              </a:graphicData>
            </a:graphic>
          </wp:inline>
        </w:drawing>
      </w:r>
    </w:p>
    <w:p>
      <w:pPr>
        <w:widowControl w:val="0"/>
        <w:spacing w:line="480" w:lineRule="auto"/>
        <w:jc w:val="both"/>
        <w:rPr>
          <w:rFonts w:ascii="Times New Roman" w:hAnsi="Times New Roman" w:eastAsia="等线" w:cs="Times New Roman"/>
          <w:b/>
          <w:bCs/>
          <w:color w:val="657D9D" w:themeColor="text2" w:themeTint="BF"/>
          <w:kern w:val="2"/>
          <w14:textFill>
            <w14:solidFill>
              <w14:schemeClr w14:val="tx2">
                <w14:lumMod w14:val="75000"/>
                <w14:lumOff w14:val="25000"/>
              </w14:schemeClr>
            </w14:solidFill>
          </w14:textFill>
          <w14:ligatures w14:val="standardContextual"/>
        </w:rPr>
      </w:pPr>
      <w:r>
        <w:rPr>
          <w:rFonts w:ascii="Times New Roman" w:hAnsi="Times New Roman" w:eastAsia="等线" w:cs="Times New Roman"/>
          <w:b/>
          <w:kern w:val="2"/>
          <w14:ligatures w14:val="standardContextual"/>
        </w:rPr>
        <w:t xml:space="preserve">Fig. </w:t>
      </w:r>
      <w:bookmarkEnd w:id="1"/>
      <w:r>
        <w:rPr>
          <w:rFonts w:ascii="Times New Roman" w:hAnsi="Times New Roman" w:eastAsia="等线" w:cs="Times New Roman"/>
          <w:b/>
          <w:kern w:val="2"/>
          <w14:ligatures w14:val="standardContextual"/>
        </w:rPr>
        <w:t>S2</w:t>
      </w:r>
      <w:r>
        <w:rPr>
          <w:rFonts w:ascii="Times New Roman" w:hAnsi="Times New Roman" w:eastAsia="等线" w:cs="Times New Roman"/>
          <w:b w:val="0"/>
          <w:bCs w:val="0"/>
          <w:color w:val="000000" w:themeColor="text1"/>
          <w:kern w:val="2"/>
          <w14:textFill>
            <w14:solidFill>
              <w14:schemeClr w14:val="tx1"/>
            </w14:solidFill>
          </w14:textFill>
          <w14:ligatures w14:val="standardContextual"/>
        </w:rPr>
        <w:t xml:space="preserve"> Immunohistochemical analysis of GFAP and GAP-43 expression in spinal cord tissues. (A) Immunohistochemical staining was performed to determine the expression levels of GFAP in spinal cord tissues from each group. (B) Immunohistochemical staining was performed to determine the expression levels of GAP-43 in spinal cord tissue sections from different treatment groups.</w:t>
      </w:r>
    </w:p>
    <w:p>
      <w:pPr>
        <w:jc w:val="center"/>
        <w:rPr>
          <w:rFonts w:ascii="Times New Roman" w:hAnsi="Times New Roman" w:eastAsia="等线" w:cs="Times New Roman"/>
          <w:b/>
          <w:kern w:val="2"/>
          <w14:ligatures w14:val="standardContextual"/>
        </w:rPr>
      </w:pPr>
      <w:r>
        <w:rPr>
          <w:rFonts w:ascii="Times New Roman" w:hAnsi="Times New Roman" w:eastAsia="等线" w:cs="Times New Roman"/>
          <w:kern w:val="2"/>
          <w14:ligatures w14:val="standardContextual"/>
        </w:rPr>
        <w:drawing>
          <wp:inline distT="0" distB="0" distL="0" distR="0">
            <wp:extent cx="4977130" cy="23660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001891" cy="2377667"/>
                    </a:xfrm>
                    <a:prstGeom prst="rect">
                      <a:avLst/>
                    </a:prstGeom>
                    <a:noFill/>
                  </pic:spPr>
                </pic:pic>
              </a:graphicData>
            </a:graphic>
          </wp:inline>
        </w:drawing>
      </w:r>
    </w:p>
    <w:p>
      <w:pPr>
        <w:widowControl w:val="0"/>
        <w:spacing w:line="360" w:lineRule="auto"/>
        <w:jc w:val="both"/>
        <w:rPr>
          <w:rFonts w:ascii="Times New Roman" w:hAnsi="Times New Roman" w:eastAsia="等线" w:cs="Times New Roman"/>
          <w:kern w:val="2"/>
          <w14:ligatures w14:val="standardContextual"/>
        </w:rPr>
      </w:pPr>
      <w:r>
        <w:rPr>
          <w:rFonts w:ascii="Times New Roman" w:hAnsi="Times New Roman" w:eastAsia="等线" w:cs="Times New Roman"/>
          <w:b/>
          <w:kern w:val="2"/>
          <w14:ligatures w14:val="standardContextual"/>
        </w:rPr>
        <w:t xml:space="preserve">Fig. S3 </w:t>
      </w:r>
      <w:r>
        <w:rPr>
          <w:rFonts w:ascii="Times New Roman" w:hAnsi="Times New Roman" w:eastAsia="等线" w:cs="Times New Roman"/>
          <w:b w:val="0"/>
          <w:bCs/>
          <w:kern w:val="2"/>
          <w14:ligatures w14:val="standardContextual"/>
        </w:rPr>
        <w:t xml:space="preserve">The dynamic metabolism of UC-MSCs </w:t>
      </w:r>
      <w:r>
        <w:rPr>
          <w:rFonts w:ascii="Times New Roman" w:hAnsi="Times New Roman" w:eastAsia="等线" w:cs="Times New Roman"/>
          <w:b w:val="0"/>
          <w:bCs/>
          <w:i/>
          <w:iCs/>
          <w:kern w:val="2"/>
          <w14:ligatures w14:val="standardContextual"/>
        </w:rPr>
        <w:t>in vivo</w:t>
      </w:r>
      <w:r>
        <w:rPr>
          <w:rFonts w:ascii="Times New Roman" w:hAnsi="Times New Roman" w:eastAsia="等线" w:cs="Times New Roman"/>
          <w:b w:val="0"/>
          <w:bCs/>
          <w:kern w:val="2"/>
          <w14:ligatures w14:val="standardContextual"/>
        </w:rPr>
        <w:t xml:space="preserve">. </w:t>
      </w:r>
      <w:bookmarkStart w:id="2" w:name="OLE_LINK1"/>
      <w:r>
        <w:rPr>
          <w:rFonts w:ascii="Times New Roman" w:hAnsi="Times New Roman" w:eastAsia="等线" w:cs="Times New Roman"/>
          <w:b w:val="0"/>
          <w:bCs/>
          <w:kern w:val="2"/>
          <w14:ligatures w14:val="standardContextual"/>
        </w:rPr>
        <w:t>(</w:t>
      </w:r>
      <w:r>
        <w:rPr>
          <w:rFonts w:ascii="Times New Roman" w:hAnsi="Times New Roman" w:eastAsia="等线" w:cs="Times New Roman"/>
          <w:b/>
          <w:kern w:val="2"/>
          <w14:ligatures w14:val="standardContextual"/>
        </w:rPr>
        <w:t>A</w:t>
      </w:r>
      <w:r>
        <w:rPr>
          <w:rFonts w:ascii="Times New Roman" w:hAnsi="Times New Roman" w:eastAsia="等线" w:cs="Times New Roman"/>
          <w:kern w:val="2"/>
          <w14:ligatures w14:val="standardContextual"/>
        </w:rPr>
        <w:t>) Illustration of the lentivirus-mediated dual-fluorescence reporter construct (pLV-Fluc-eGFP). Fluc and GFP were used for BLI and green fluorescent protein imaging, respectively. (</w:t>
      </w:r>
      <w:r>
        <w:rPr>
          <w:rFonts w:ascii="Times New Roman" w:hAnsi="Times New Roman" w:eastAsia="等线" w:cs="Times New Roman"/>
          <w:b/>
          <w:kern w:val="2"/>
          <w14:ligatures w14:val="standardContextual"/>
        </w:rPr>
        <w:t>B</w:t>
      </w:r>
      <w:r>
        <w:rPr>
          <w:rFonts w:ascii="Times New Roman" w:hAnsi="Times New Roman" w:eastAsia="等线" w:cs="Times New Roman"/>
          <w:kern w:val="2"/>
          <w14:ligatures w14:val="standardContextual"/>
        </w:rPr>
        <w:t>) Flow cytometry analysis of UC-MSCs transduced with the lentivirus. The blue histogram represents the isotype control (IgG1 FITC-), and the red histog</w:t>
      </w:r>
      <w:bookmarkStart w:id="3" w:name="_GoBack"/>
      <w:bookmarkEnd w:id="3"/>
      <w:r>
        <w:rPr>
          <w:rFonts w:ascii="Times New Roman" w:hAnsi="Times New Roman" w:eastAsia="等线" w:cs="Times New Roman"/>
          <w:kern w:val="2"/>
          <w14:ligatures w14:val="standardContextual"/>
        </w:rPr>
        <w:t>ram shows the proportion of cells positive for the relevant marker (IgG1 FITC+), with 95.2% of the cells being positive, indicating efficient transduction. Live images of cultured UC-MSCs with luci (</w:t>
      </w:r>
      <w:r>
        <w:rPr>
          <w:rFonts w:ascii="Times New Roman" w:hAnsi="Times New Roman" w:eastAsia="等线" w:cs="Times New Roman"/>
          <w:b/>
          <w:kern w:val="2"/>
          <w14:ligatures w14:val="standardContextual"/>
        </w:rPr>
        <w:t>C</w:t>
      </w:r>
      <w:r>
        <w:rPr>
          <w:rFonts w:ascii="Times New Roman" w:hAnsi="Times New Roman" w:eastAsia="等线" w:cs="Times New Roman"/>
          <w:kern w:val="2"/>
          <w14:ligatures w14:val="standardContextual"/>
        </w:rPr>
        <w:t xml:space="preserve">) expression at a series of cell density gradients </w:t>
      </w:r>
      <w:r>
        <w:rPr>
          <w:rFonts w:ascii="Times New Roman" w:hAnsi="Times New Roman" w:eastAsia="等线" w:cs="Times New Roman"/>
          <w:i/>
          <w:iCs/>
          <w:kern w:val="2"/>
          <w14:ligatures w14:val="standardContextual"/>
        </w:rPr>
        <w:t>in vitro</w:t>
      </w:r>
      <w:r>
        <w:rPr>
          <w:rFonts w:ascii="Times New Roman" w:hAnsi="Times New Roman" w:eastAsia="等线" w:cs="Times New Roman"/>
          <w:kern w:val="2"/>
          <w14:ligatures w14:val="standardContextual"/>
        </w:rPr>
        <w:t>.</w:t>
      </w:r>
    </w:p>
    <w:p>
      <w:pPr>
        <w:widowControl w:val="0"/>
        <w:spacing w:line="360" w:lineRule="auto"/>
        <w:jc w:val="both"/>
        <w:rPr>
          <w:rFonts w:ascii="Times New Roman" w:hAnsi="Times New Roman" w:eastAsia="等线" w:cs="Times New Roman"/>
          <w:kern w:val="2"/>
          <w14:ligatures w14:val="standardContextual"/>
        </w:rPr>
      </w:pPr>
    </w:p>
    <w:bookmarkEnd w:id="2"/>
    <w:p>
      <w:pPr>
        <w:widowControl w:val="0"/>
        <w:spacing w:line="480" w:lineRule="auto"/>
        <w:jc w:val="center"/>
        <w:rPr>
          <w:rFonts w:ascii="Times New Roman" w:hAnsi="Times New Roman" w:eastAsia="等线" w:cs="Times New Roman"/>
          <w:b/>
          <w:kern w:val="2"/>
          <w14:ligatures w14:val="standardContextual"/>
        </w:rPr>
      </w:pPr>
      <w:r>
        <w:rPr>
          <w:rFonts w:ascii="Times New Roman" w:hAnsi="Times New Roman" w:eastAsia="等线" w:cs="Times New Roman"/>
          <w:kern w:val="2"/>
          <w14:ligatures w14:val="standardContextual"/>
        </w:rPr>
        <w:drawing>
          <wp:inline distT="0" distB="0" distL="114300" distR="114300">
            <wp:extent cx="3625850" cy="2308860"/>
            <wp:effectExtent l="0" t="0" r="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3628407" cy="2310690"/>
                    </a:xfrm>
                    <a:prstGeom prst="rect">
                      <a:avLst/>
                    </a:prstGeom>
                  </pic:spPr>
                </pic:pic>
              </a:graphicData>
            </a:graphic>
          </wp:inline>
        </w:drawing>
      </w:r>
    </w:p>
    <w:p>
      <w:pPr>
        <w:widowControl w:val="0"/>
        <w:spacing w:line="480" w:lineRule="auto"/>
        <w:jc w:val="both"/>
        <w:rPr>
          <w:rFonts w:ascii="Times New Roman" w:hAnsi="Times New Roman" w:eastAsia="等线" w:cs="Times New Roman"/>
          <w:kern w:val="2"/>
          <w14:ligatures w14:val="standardContextual"/>
        </w:rPr>
      </w:pPr>
      <w:r>
        <w:rPr>
          <w:rFonts w:ascii="Times New Roman" w:hAnsi="Times New Roman" w:eastAsia="等线" w:cs="Times New Roman"/>
          <w:b/>
          <w:kern w:val="2"/>
          <w14:ligatures w14:val="standardContextual"/>
        </w:rPr>
        <w:t>Fig. S4</w:t>
      </w:r>
      <w:r>
        <w:rPr>
          <w:rFonts w:ascii="Times New Roman" w:hAnsi="Times New Roman" w:eastAsia="等线" w:cs="Times New Roman"/>
          <w:kern w:val="2"/>
          <w14:ligatures w14:val="standardContextual"/>
        </w:rPr>
        <w:t xml:space="preserve"> </w:t>
      </w:r>
      <w:r>
        <w:rPr>
          <w:rFonts w:ascii="Times New Roman" w:hAnsi="Times New Roman" w:eastAsia="等线" w:cs="Times New Roman"/>
          <w:b w:val="0"/>
          <w:bCs/>
          <w:color w:val="000000" w:themeColor="text1"/>
          <w:kern w:val="2"/>
          <w14:textFill>
            <w14:solidFill>
              <w14:schemeClr w14:val="tx1"/>
            </w14:solidFill>
          </w14:textFill>
          <w14:ligatures w14:val="standardContextual"/>
        </w:rPr>
        <w:t xml:space="preserve">Determination of lung cell retention rate after intravenous injection of UC-MSCs. </w:t>
      </w:r>
      <w:r>
        <w:rPr>
          <w:rFonts w:ascii="Times New Roman" w:hAnsi="Times New Roman" w:eastAsia="等线" w:cs="Times New Roman"/>
          <w:b w:val="0"/>
          <w:bCs/>
          <w:i/>
          <w:iCs/>
          <w:color w:val="000000" w:themeColor="text1"/>
          <w:kern w:val="2"/>
          <w14:textFill>
            <w14:solidFill>
              <w14:schemeClr w14:val="tx1"/>
            </w14:solidFill>
          </w14:textFill>
          <w14:ligatures w14:val="standardContextual"/>
        </w:rPr>
        <w:t>In vivo</w:t>
      </w:r>
      <w:r>
        <w:rPr>
          <w:rFonts w:ascii="Times New Roman" w:hAnsi="Times New Roman" w:eastAsia="等线" w:cs="Times New Roman"/>
          <w:b w:val="0"/>
          <w:bCs/>
          <w:color w:val="000000" w:themeColor="text1"/>
          <w:kern w:val="2"/>
          <w14:textFill>
            <w14:solidFill>
              <w14:schemeClr w14:val="tx1"/>
            </w14:solidFill>
          </w14:textFill>
          <w14:ligatures w14:val="standardContextual"/>
        </w:rPr>
        <w:t xml:space="preserve"> bioluminescence imaging of UC-MSCs in rats at 1 h, 2 h, 4 h, 8 h, D1, and D3 postadministration (left: negative control; right: UC-MSC-treated).</w:t>
      </w:r>
    </w:p>
    <w:sectPr>
      <w:footerReference r:id="rId3" w:type="default"/>
      <w:pgSz w:w="11906" w:h="16838"/>
      <w:pgMar w:top="1440" w:right="1440" w:bottom="1440" w:left="1440" w:header="851" w:footer="7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7240926"/>
      <w:docPartObj>
        <w:docPartGallery w:val="AutoText"/>
      </w:docPartObj>
    </w:sdtPr>
    <w:sdtEndPr>
      <w:rPr>
        <w:rFonts w:ascii="Times New Roman" w:hAnsi="Times New Roman" w:cs="Times New Roman"/>
      </w:rPr>
    </w:sdtEndPr>
    <w:sdtContent>
      <w:p>
        <w:pPr>
          <w:pStyle w:val="2"/>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c3MTe1tDQztzQwNDNW0lEKTi0uzszPAykwrAUA1PdUviwAAAA="/>
  </w:docVars>
  <w:rsids>
    <w:rsidRoot w:val="00B8005C"/>
    <w:rsid w:val="00023693"/>
    <w:rsid w:val="00052CE6"/>
    <w:rsid w:val="000827CF"/>
    <w:rsid w:val="00154E1E"/>
    <w:rsid w:val="00170784"/>
    <w:rsid w:val="00186460"/>
    <w:rsid w:val="001A025A"/>
    <w:rsid w:val="001E0AB6"/>
    <w:rsid w:val="00244982"/>
    <w:rsid w:val="00277A7A"/>
    <w:rsid w:val="002B5EEE"/>
    <w:rsid w:val="002E41F1"/>
    <w:rsid w:val="00320909"/>
    <w:rsid w:val="004325A1"/>
    <w:rsid w:val="00441DA4"/>
    <w:rsid w:val="0045073B"/>
    <w:rsid w:val="00483E4D"/>
    <w:rsid w:val="00487F68"/>
    <w:rsid w:val="004D57A8"/>
    <w:rsid w:val="005106CD"/>
    <w:rsid w:val="00561F59"/>
    <w:rsid w:val="005643AB"/>
    <w:rsid w:val="005723AA"/>
    <w:rsid w:val="00583505"/>
    <w:rsid w:val="00584925"/>
    <w:rsid w:val="00595F9B"/>
    <w:rsid w:val="005A221C"/>
    <w:rsid w:val="005E3315"/>
    <w:rsid w:val="006338CA"/>
    <w:rsid w:val="00640F32"/>
    <w:rsid w:val="0065333B"/>
    <w:rsid w:val="006E5B7D"/>
    <w:rsid w:val="006F1992"/>
    <w:rsid w:val="007176B2"/>
    <w:rsid w:val="00792E2B"/>
    <w:rsid w:val="00854098"/>
    <w:rsid w:val="00884A46"/>
    <w:rsid w:val="009173A5"/>
    <w:rsid w:val="00947F38"/>
    <w:rsid w:val="009A18AB"/>
    <w:rsid w:val="00A52387"/>
    <w:rsid w:val="00A84E1B"/>
    <w:rsid w:val="00A952FE"/>
    <w:rsid w:val="00AA795B"/>
    <w:rsid w:val="00AE3B57"/>
    <w:rsid w:val="00B1058D"/>
    <w:rsid w:val="00B41452"/>
    <w:rsid w:val="00B47347"/>
    <w:rsid w:val="00B8005C"/>
    <w:rsid w:val="00BA15C0"/>
    <w:rsid w:val="00BA3793"/>
    <w:rsid w:val="00C161A0"/>
    <w:rsid w:val="00C233A1"/>
    <w:rsid w:val="00CA7F4D"/>
    <w:rsid w:val="00CE457B"/>
    <w:rsid w:val="00D22DAD"/>
    <w:rsid w:val="00D45023"/>
    <w:rsid w:val="00D71029"/>
    <w:rsid w:val="00D84F9D"/>
    <w:rsid w:val="00D858AC"/>
    <w:rsid w:val="00DA7584"/>
    <w:rsid w:val="00E05F6C"/>
    <w:rsid w:val="00E448F9"/>
    <w:rsid w:val="00EA6AF4"/>
    <w:rsid w:val="00EB13ED"/>
    <w:rsid w:val="00EC50C9"/>
    <w:rsid w:val="35CF7575"/>
    <w:rsid w:val="5B480E39"/>
    <w:rsid w:val="6EFE6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semiHidden/>
    <w:unhideWhenUsed/>
    <w:qFormat/>
    <w:uiPriority w:val="99"/>
    <w:pPr>
      <w:tabs>
        <w:tab w:val="center" w:pos="4680"/>
        <w:tab w:val="right" w:pos="9360"/>
      </w:tabs>
    </w:pPr>
  </w:style>
  <w:style w:type="table" w:styleId="4">
    <w:name w:val="Table Grid"/>
    <w:basedOn w:val="3"/>
    <w:qFormat/>
    <w:uiPriority w:val="39"/>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oter Char"/>
    <w:basedOn w:val="5"/>
    <w:link w:val="2"/>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417</Words>
  <Characters>2371</Characters>
  <Lines>20</Lines>
  <Paragraphs>5</Paragraphs>
  <TotalTime>46</TotalTime>
  <ScaleCrop>false</ScaleCrop>
  <LinksUpToDate>false</LinksUpToDate>
  <CharactersWithSpaces>2714</CharactersWithSpaces>
  <Application>WPS Office_11.1.0.11757_F1E327BC-269C-435d-A152-05C5408002CA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2025-11-13T14:00:00Z</dcterms:created>
  <dc:creator>Microsoft Office User</dc:creator>
  <cp:lastModifiedBy>WPS_1612871277</cp:lastModifiedBy>
  <dcterms:modified xsi:type="dcterms:W3CDTF">2025-11-18T02:48:50Z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2052-11.1.0.11757</vt:lpwstr>
  </property>
  <property fmtid="{D5CDD505-2E9C-101B-9397-08002B2CF9AE}" pid="3" name="ICV">
    <vt:lpwstr>F81F5F11938448FCB233F874D62E43C5</vt:lpwstr>
  </property>
</Properties>
</file>