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97420" w14:textId="373CD46B" w:rsidR="00827CF7" w:rsidRDefault="00827CF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27CF7">
        <w:rPr>
          <w:rFonts w:ascii="Times New Roman" w:hAnsi="Times New Roman" w:cs="Times New Roman"/>
          <w:b/>
          <w:bCs/>
          <w:sz w:val="28"/>
          <w:szCs w:val="28"/>
        </w:rPr>
        <w:t>Supplementary Material</w:t>
      </w:r>
      <w:r w:rsidR="00A80104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</w:t>
      </w:r>
    </w:p>
    <w:p w14:paraId="5686E4F9" w14:textId="77777777" w:rsidR="00827CF7" w:rsidRDefault="00827CF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20210C8" w14:textId="1308E005" w:rsidR="00100D45" w:rsidRDefault="00100D4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00D45">
        <w:rPr>
          <w:rFonts w:ascii="Times New Roman" w:hAnsi="Times New Roman" w:cs="Times New Roman"/>
          <w:b/>
          <w:bCs/>
          <w:sz w:val="28"/>
          <w:szCs w:val="28"/>
        </w:rPr>
        <w:t>Supplementary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F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igure 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1</w:t>
      </w:r>
    </w:p>
    <w:p w14:paraId="0668E2D7" w14:textId="3BE5C727" w:rsidR="00100D45" w:rsidRDefault="00100D4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noProof/>
          <w:sz w:val="28"/>
          <w:szCs w:val="28"/>
        </w:rPr>
        <w:drawing>
          <wp:inline distT="0" distB="0" distL="0" distR="0" wp14:anchorId="7915FCA1" wp14:editId="2C74E2DE">
            <wp:extent cx="5274310" cy="6696710"/>
            <wp:effectExtent l="0" t="0" r="0" b="0"/>
            <wp:docPr id="210293559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2935599" name="图片 210293559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696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76B804" w14:textId="4CC89389" w:rsidR="00100D45" w:rsidRPr="009C0EA8" w:rsidRDefault="00100D45" w:rsidP="00100D45">
      <w:pPr>
        <w:widowControl/>
        <w:rPr>
          <w:rFonts w:ascii="Times New Roman" w:hAnsi="Times New Roman" w:cs="Times New Roman"/>
          <w:sz w:val="20"/>
          <w:szCs w:val="20"/>
        </w:rPr>
      </w:pPr>
      <w:r w:rsidRPr="009C0EA8">
        <w:rPr>
          <w:rFonts w:ascii="Times New Roman" w:hAnsi="Times New Roman" w:cs="Times New Roman"/>
          <w:b/>
          <w:bCs/>
          <w:sz w:val="20"/>
          <w:szCs w:val="20"/>
        </w:rPr>
        <w:t xml:space="preserve">Supplementary Figure 1. </w:t>
      </w:r>
      <w:r>
        <w:rPr>
          <w:rFonts w:ascii="Times New Roman" w:hAnsi="Times New Roman" w:cs="Times New Roman"/>
          <w:b/>
          <w:bCs/>
          <w:sz w:val="20"/>
          <w:szCs w:val="20"/>
        </w:rPr>
        <w:t>DHT</w:t>
      </w:r>
      <w:r w:rsidRPr="009C0EA8">
        <w:rPr>
          <w:rFonts w:ascii="Times New Roman" w:hAnsi="Times New Roman" w:cs="Times New Roman"/>
          <w:b/>
          <w:bCs/>
          <w:sz w:val="20"/>
          <w:szCs w:val="20"/>
        </w:rPr>
        <w:t xml:space="preserve"> significantly </w:t>
      </w:r>
      <w:r w:rsidRPr="009C0EA8">
        <w:rPr>
          <w:rFonts w:ascii="Times New Roman" w:hAnsi="Times New Roman" w:cs="Times New Roman"/>
          <w:b/>
          <w:bCs/>
          <w:color w:val="000000"/>
          <w:sz w:val="20"/>
          <w:szCs w:val="20"/>
        </w:rPr>
        <w:t>inhibit</w:t>
      </w:r>
      <w:r w:rsidR="008E61A6">
        <w:rPr>
          <w:rFonts w:ascii="Times New Roman" w:hAnsi="Times New Roman" w:cs="Times New Roman"/>
          <w:b/>
          <w:bCs/>
          <w:color w:val="000000"/>
          <w:sz w:val="20"/>
          <w:szCs w:val="20"/>
        </w:rPr>
        <w:t>ed</w:t>
      </w:r>
      <w:r w:rsidRPr="009C0EA8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the tumorigenic activity of glioma cells.</w:t>
      </w:r>
      <w:r w:rsidRPr="009C0EA8">
        <w:rPr>
          <w:rFonts w:ascii="Times New Roman" w:hAnsi="Times New Roman" w:cs="Times New Roman"/>
          <w:sz w:val="20"/>
          <w:szCs w:val="20"/>
        </w:rPr>
        <w:t xml:space="preserve"> (A) </w:t>
      </w:r>
      <w:proofErr w:type="spellStart"/>
      <w:r w:rsidRPr="009C0EA8">
        <w:rPr>
          <w:rFonts w:ascii="Times New Roman" w:hAnsi="Times New Roman" w:cs="Times New Roman"/>
          <w:sz w:val="20"/>
          <w:szCs w:val="20"/>
        </w:rPr>
        <w:t>Transwell</w:t>
      </w:r>
      <w:proofErr w:type="spellEnd"/>
      <w:r w:rsidRPr="009C0EA8">
        <w:rPr>
          <w:rFonts w:ascii="Times New Roman" w:hAnsi="Times New Roman" w:cs="Times New Roman"/>
          <w:sz w:val="20"/>
          <w:szCs w:val="20"/>
        </w:rPr>
        <w:t xml:space="preserve"> assay revealed that </w:t>
      </w:r>
      <w:r>
        <w:rPr>
          <w:rFonts w:ascii="Times New Roman" w:hAnsi="Times New Roman" w:cs="Times New Roman"/>
          <w:sz w:val="20"/>
          <w:szCs w:val="20"/>
        </w:rPr>
        <w:t>DHT</w:t>
      </w:r>
      <w:r w:rsidRPr="009C0EA8">
        <w:rPr>
          <w:rFonts w:ascii="Times New Roman" w:hAnsi="Times New Roman" w:cs="Times New Roman"/>
          <w:sz w:val="20"/>
          <w:szCs w:val="20"/>
        </w:rPr>
        <w:t xml:space="preserve"> markedly inhibited glioma cell invasion in a dose-dependent manner. Representative images of whole </w:t>
      </w:r>
      <w:proofErr w:type="spellStart"/>
      <w:r w:rsidRPr="009C0EA8">
        <w:rPr>
          <w:rFonts w:ascii="Times New Roman" w:hAnsi="Times New Roman" w:cs="Times New Roman"/>
          <w:sz w:val="20"/>
          <w:szCs w:val="20"/>
        </w:rPr>
        <w:t>Transwell</w:t>
      </w:r>
      <w:proofErr w:type="spellEnd"/>
      <w:r w:rsidRPr="009C0EA8">
        <w:rPr>
          <w:rFonts w:ascii="Times New Roman" w:hAnsi="Times New Roman" w:cs="Times New Roman"/>
          <w:sz w:val="20"/>
          <w:szCs w:val="20"/>
        </w:rPr>
        <w:t xml:space="preserve"> fields are shown. (B) The IC₅₀ values </w:t>
      </w:r>
      <w:r w:rsidRPr="009C0EA8">
        <w:rPr>
          <w:rFonts w:ascii="Times New Roman" w:hAnsi="Times New Roman" w:cs="Times New Roman"/>
          <w:color w:val="000000"/>
          <w:sz w:val="20"/>
          <w:szCs w:val="20"/>
        </w:rPr>
        <w:t>of</w:t>
      </w:r>
      <w:r w:rsidRPr="009C0EA8">
        <w:rPr>
          <w:rStyle w:val="apple-converted-space"/>
          <w:rFonts w:ascii="Times New Roman" w:hAnsi="Times New Roman" w:cs="Times New Roman"/>
          <w:color w:val="000000"/>
          <w:sz w:val="20"/>
          <w:szCs w:val="20"/>
        </w:rPr>
        <w:t> </w:t>
      </w:r>
      <w:r w:rsidRPr="009C0EA8">
        <w:rPr>
          <w:rStyle w:val="ae"/>
          <w:rFonts w:ascii="Times New Roman" w:hAnsi="Times New Roman" w:cs="Times New Roman"/>
          <w:color w:val="000000"/>
          <w:sz w:val="20"/>
          <w:szCs w:val="20"/>
        </w:rPr>
        <w:t xml:space="preserve">nocodazole </w:t>
      </w:r>
      <w:r w:rsidRPr="009C0EA8">
        <w:rPr>
          <w:rFonts w:ascii="Times New Roman" w:hAnsi="Times New Roman" w:cs="Times New Roman"/>
          <w:sz w:val="20"/>
          <w:szCs w:val="20"/>
        </w:rPr>
        <w:t xml:space="preserve">was 0.0789 </w:t>
      </w:r>
      <w:proofErr w:type="spellStart"/>
      <w:r w:rsidRPr="009C0EA8">
        <w:rPr>
          <w:rFonts w:ascii="Times New Roman" w:hAnsi="Times New Roman" w:cs="Times New Roman"/>
          <w:sz w:val="20"/>
          <w:szCs w:val="20"/>
        </w:rPr>
        <w:t>μM</w:t>
      </w:r>
      <w:proofErr w:type="spellEnd"/>
      <w:r w:rsidRPr="009C0EA8">
        <w:rPr>
          <w:rFonts w:ascii="Times New Roman" w:hAnsi="Times New Roman" w:cs="Times New Roman"/>
          <w:sz w:val="20"/>
          <w:szCs w:val="20"/>
        </w:rPr>
        <w:t xml:space="preserve"> in U251MG, 0.221 </w:t>
      </w:r>
      <w:proofErr w:type="spellStart"/>
      <w:r w:rsidRPr="009C0EA8">
        <w:rPr>
          <w:rFonts w:ascii="Times New Roman" w:hAnsi="Times New Roman" w:cs="Times New Roman"/>
          <w:sz w:val="20"/>
          <w:szCs w:val="20"/>
        </w:rPr>
        <w:t>μM</w:t>
      </w:r>
      <w:proofErr w:type="spellEnd"/>
      <w:r w:rsidRPr="009C0EA8">
        <w:rPr>
          <w:rFonts w:ascii="Times New Roman" w:hAnsi="Times New Roman" w:cs="Times New Roman"/>
          <w:sz w:val="20"/>
          <w:szCs w:val="20"/>
        </w:rPr>
        <w:t xml:space="preserve"> in U87MG, and 0.1247 </w:t>
      </w:r>
      <w:proofErr w:type="spellStart"/>
      <w:r w:rsidRPr="009C0EA8">
        <w:rPr>
          <w:rFonts w:ascii="Times New Roman" w:hAnsi="Times New Roman" w:cs="Times New Roman"/>
          <w:sz w:val="20"/>
          <w:szCs w:val="20"/>
        </w:rPr>
        <w:t>μM</w:t>
      </w:r>
      <w:proofErr w:type="spellEnd"/>
      <w:r w:rsidRPr="009C0EA8">
        <w:rPr>
          <w:rFonts w:ascii="Times New Roman" w:hAnsi="Times New Roman" w:cs="Times New Roman"/>
          <w:sz w:val="20"/>
          <w:szCs w:val="20"/>
        </w:rPr>
        <w:t xml:space="preserve"> in T98G cells, respectively.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C0EA8">
        <w:rPr>
          <w:rFonts w:ascii="Times New Roman" w:hAnsi="Times New Roman" w:cs="Times New Roman"/>
          <w:sz w:val="20"/>
          <w:szCs w:val="20"/>
        </w:rPr>
        <w:t xml:space="preserve">(C) Cell cycle </w:t>
      </w:r>
      <w:r w:rsidRPr="009C0EA8">
        <w:rPr>
          <w:rFonts w:ascii="Times New Roman" w:hAnsi="Times New Roman" w:cs="Times New Roman"/>
          <w:sz w:val="20"/>
          <w:szCs w:val="20"/>
        </w:rPr>
        <w:lastRenderedPageBreak/>
        <w:t xml:space="preserve">distribution analysis </w:t>
      </w:r>
      <w:r>
        <w:rPr>
          <w:rFonts w:ascii="Times New Roman" w:hAnsi="Times New Roman" w:cs="Times New Roman" w:hint="eastAsia"/>
          <w:sz w:val="20"/>
          <w:szCs w:val="20"/>
        </w:rPr>
        <w:t>using</w:t>
      </w:r>
      <w:r w:rsidRPr="009C0EA8">
        <w:rPr>
          <w:rFonts w:ascii="Times New Roman" w:hAnsi="Times New Roman" w:cs="Times New Roman"/>
          <w:sz w:val="20"/>
          <w:szCs w:val="20"/>
        </w:rPr>
        <w:t xml:space="preserve"> flow cytometry. Serum starvation (DMEM only) and nocodazole treatment were employed to synchronize cells at the G0/G1 and G2/M phases, respectively. The </w:t>
      </w:r>
      <w:r>
        <w:rPr>
          <w:rFonts w:ascii="Times New Roman" w:hAnsi="Times New Roman" w:cs="Times New Roman"/>
          <w:sz w:val="20"/>
          <w:szCs w:val="20"/>
        </w:rPr>
        <w:t>DHT</w:t>
      </w:r>
      <w:r w:rsidRPr="009C0EA8">
        <w:rPr>
          <w:rFonts w:ascii="Times New Roman" w:hAnsi="Times New Roman" w:cs="Times New Roman"/>
          <w:sz w:val="20"/>
          <w:szCs w:val="20"/>
        </w:rPr>
        <w:t xml:space="preserve"> treatment demonstrated a marked increase in the percentage of cells in the S phase in comparison to </w:t>
      </w:r>
      <w:r>
        <w:rPr>
          <w:rFonts w:ascii="Times New Roman" w:hAnsi="Times New Roman" w:cs="Times New Roman" w:hint="eastAsia"/>
          <w:sz w:val="20"/>
          <w:szCs w:val="20"/>
        </w:rPr>
        <w:t>that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sz w:val="20"/>
          <w:szCs w:val="20"/>
        </w:rPr>
        <w:t>of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C0EA8">
        <w:rPr>
          <w:rFonts w:ascii="Times New Roman" w:hAnsi="Times New Roman" w:cs="Times New Roman"/>
          <w:sz w:val="20"/>
          <w:szCs w:val="20"/>
        </w:rPr>
        <w:t>the control group.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C0EA8">
        <w:rPr>
          <w:rFonts w:ascii="Times New Roman" w:hAnsi="Times New Roman" w:cs="Times New Roman"/>
          <w:sz w:val="20"/>
          <w:szCs w:val="20"/>
        </w:rPr>
        <w:t xml:space="preserve">(D) Immunofluorescence analysis of DSBs in glioma cells following </w:t>
      </w:r>
      <w:r>
        <w:rPr>
          <w:rFonts w:ascii="Times New Roman" w:hAnsi="Times New Roman" w:cs="Times New Roman"/>
          <w:sz w:val="20"/>
          <w:szCs w:val="20"/>
        </w:rPr>
        <w:t>DHT</w:t>
      </w:r>
      <w:r w:rsidRPr="009C0EA8">
        <w:rPr>
          <w:rFonts w:ascii="Times New Roman" w:hAnsi="Times New Roman" w:cs="Times New Roman"/>
          <w:sz w:val="20"/>
          <w:szCs w:val="20"/>
        </w:rPr>
        <w:t xml:space="preserve"> treatment. Nuclei were counterstained with DAPI (blue), and DSB foci were visualized via labeling of the γH2AX subunit (red). Scale bar =100 µm. (E) Proliferative activity was assessed by </w:t>
      </w:r>
      <w:proofErr w:type="spellStart"/>
      <w:r w:rsidRPr="009C0EA8">
        <w:rPr>
          <w:rFonts w:ascii="Times New Roman" w:hAnsi="Times New Roman" w:cs="Times New Roman"/>
          <w:sz w:val="20"/>
          <w:szCs w:val="20"/>
        </w:rPr>
        <w:t>EdU</w:t>
      </w:r>
      <w:proofErr w:type="spellEnd"/>
      <w:r w:rsidRPr="009C0EA8">
        <w:rPr>
          <w:rFonts w:ascii="Times New Roman" w:hAnsi="Times New Roman" w:cs="Times New Roman"/>
          <w:sz w:val="20"/>
          <w:szCs w:val="20"/>
        </w:rPr>
        <w:t xml:space="preserve"> incorporation assay. Red fluorescence is indicative of </w:t>
      </w:r>
      <w:proofErr w:type="spellStart"/>
      <w:r w:rsidRPr="009C0EA8">
        <w:rPr>
          <w:rFonts w:ascii="Times New Roman" w:hAnsi="Times New Roman" w:cs="Times New Roman"/>
          <w:sz w:val="20"/>
          <w:szCs w:val="20"/>
        </w:rPr>
        <w:t>EdU</w:t>
      </w:r>
      <w:proofErr w:type="spellEnd"/>
      <w:r w:rsidRPr="009C0EA8">
        <w:rPr>
          <w:rFonts w:ascii="Times New Roman" w:hAnsi="Times New Roman" w:cs="Times New Roman"/>
          <w:sz w:val="20"/>
          <w:szCs w:val="20"/>
        </w:rPr>
        <w:t>-positive proliferating cells, while DAPI stains all nuclei. Scale bar =100 µm.</w:t>
      </w:r>
    </w:p>
    <w:p w14:paraId="6684CE2B" w14:textId="77777777" w:rsidR="00100D45" w:rsidRDefault="00100D4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9038274" w14:textId="00BB2A06" w:rsidR="00100D45" w:rsidRDefault="00100D45" w:rsidP="00100D4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00D45">
        <w:rPr>
          <w:rFonts w:ascii="Times New Roman" w:hAnsi="Times New Roman" w:cs="Times New Roman"/>
          <w:b/>
          <w:bCs/>
          <w:sz w:val="28"/>
          <w:szCs w:val="28"/>
        </w:rPr>
        <w:t>Supplementary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F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igure 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2</w:t>
      </w:r>
    </w:p>
    <w:p w14:paraId="0EE38EF3" w14:textId="0AA5CF00" w:rsidR="00100D45" w:rsidRDefault="00100D4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noProof/>
          <w:sz w:val="28"/>
          <w:szCs w:val="28"/>
        </w:rPr>
        <w:drawing>
          <wp:inline distT="0" distB="0" distL="0" distR="0" wp14:anchorId="1602F461" wp14:editId="4FAC9FA2">
            <wp:extent cx="5274310" cy="3064510"/>
            <wp:effectExtent l="0" t="0" r="0" b="0"/>
            <wp:docPr id="81383404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3834042" name="图片 81383404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6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719C1D" w14:textId="74E098E8" w:rsidR="00100D45" w:rsidRPr="009C0EA8" w:rsidRDefault="00100D45" w:rsidP="00100D45">
      <w:pPr>
        <w:widowControl/>
        <w:rPr>
          <w:rFonts w:ascii="Times New Roman" w:hAnsi="Times New Roman" w:cs="Times New Roman"/>
          <w:sz w:val="20"/>
          <w:szCs w:val="20"/>
        </w:rPr>
      </w:pPr>
      <w:r w:rsidRPr="009C0EA8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Supplementary Figure 2. Pharmacokinetics of </w:t>
      </w:r>
      <w:r w:rsidR="008E61A6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DHT </w:t>
      </w:r>
      <w:r w:rsidRPr="009C0EA8">
        <w:rPr>
          <w:rFonts w:ascii="Times New Roman" w:hAnsi="Times New Roman" w:cs="Times New Roman" w:hint="eastAsia"/>
          <w:b/>
          <w:bCs/>
          <w:sz w:val="20"/>
          <w:szCs w:val="20"/>
        </w:rPr>
        <w:t>in rats</w:t>
      </w:r>
      <w:r w:rsidRPr="009C0EA8">
        <w:rPr>
          <w:rFonts w:ascii="Times New Roman" w:hAnsi="Times New Roman" w:cs="Times New Roman" w:hint="eastAsia"/>
          <w:sz w:val="20"/>
          <w:szCs w:val="20"/>
        </w:rPr>
        <w:t>.</w:t>
      </w:r>
      <w:bookmarkStart w:id="0" w:name="OLE_LINK1"/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9C0EA8">
        <w:rPr>
          <w:rFonts w:ascii="Times New Roman" w:hAnsi="Times New Roman" w:cs="Times New Roman" w:hint="eastAsia"/>
          <w:sz w:val="20"/>
          <w:szCs w:val="20"/>
        </w:rPr>
        <w:t xml:space="preserve">(A) Blank plasma; (B) Blank plasma spiked with the internal standard (loratadine); (C) Medium quality control sample spiked with </w:t>
      </w:r>
      <w:r>
        <w:rPr>
          <w:rFonts w:ascii="Times New Roman" w:hAnsi="Times New Roman" w:cs="Times New Roman" w:hint="eastAsia"/>
          <w:sz w:val="20"/>
          <w:szCs w:val="20"/>
        </w:rPr>
        <w:t>DHT</w:t>
      </w:r>
      <w:r w:rsidRPr="009C0EA8">
        <w:rPr>
          <w:rFonts w:ascii="Times New Roman" w:hAnsi="Times New Roman" w:cs="Times New Roman" w:hint="eastAsia"/>
          <w:sz w:val="20"/>
          <w:szCs w:val="20"/>
        </w:rPr>
        <w:t xml:space="preserve"> and internal standard; (D) Representative MRM chromatogram of a rat plasma sample collected 1 hour after oral administration of </w:t>
      </w:r>
      <w:r>
        <w:rPr>
          <w:rFonts w:ascii="Times New Roman" w:hAnsi="Times New Roman" w:cs="Times New Roman" w:hint="eastAsia"/>
          <w:sz w:val="20"/>
          <w:szCs w:val="20"/>
        </w:rPr>
        <w:t>DHT</w:t>
      </w:r>
      <w:r w:rsidRPr="009C0EA8">
        <w:rPr>
          <w:rFonts w:ascii="Times New Roman" w:hAnsi="Times New Roman" w:cs="Times New Roman" w:hint="eastAsia"/>
          <w:sz w:val="20"/>
          <w:szCs w:val="20"/>
        </w:rPr>
        <w:t>.</w:t>
      </w:r>
      <w:bookmarkEnd w:id="0"/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C0EA8">
        <w:rPr>
          <w:rFonts w:ascii="Times New Roman" w:hAnsi="Times New Roman" w:cs="Times New Roman" w:hint="eastAsia"/>
          <w:sz w:val="20"/>
          <w:szCs w:val="20"/>
        </w:rPr>
        <w:t>(</w:t>
      </w:r>
      <w:r w:rsidRPr="009C0EA8">
        <w:rPr>
          <w:rFonts w:ascii="Times New Roman" w:hAnsi="Times New Roman" w:cs="Times New Roman"/>
          <w:sz w:val="20"/>
          <w:szCs w:val="20"/>
        </w:rPr>
        <w:t>E</w:t>
      </w:r>
      <w:r w:rsidRPr="009C0EA8">
        <w:rPr>
          <w:rFonts w:ascii="Times New Roman" w:hAnsi="Times New Roman" w:cs="Times New Roman" w:hint="eastAsia"/>
          <w:sz w:val="20"/>
          <w:szCs w:val="20"/>
        </w:rPr>
        <w:t xml:space="preserve">) Detection of </w:t>
      </w:r>
      <w:r>
        <w:rPr>
          <w:rFonts w:ascii="Times New Roman" w:hAnsi="Times New Roman" w:cs="Times New Roman" w:hint="eastAsia"/>
          <w:sz w:val="20"/>
          <w:szCs w:val="20"/>
        </w:rPr>
        <w:t>DHT</w:t>
      </w:r>
      <w:r w:rsidRPr="009C0EA8">
        <w:rPr>
          <w:rFonts w:ascii="Times New Roman" w:hAnsi="Times New Roman" w:cs="Times New Roman" w:hint="eastAsia"/>
          <w:sz w:val="20"/>
          <w:szCs w:val="20"/>
        </w:rPr>
        <w:t xml:space="preserve"> in rat brain tissue 1 h after oral gavage administration.</w:t>
      </w:r>
    </w:p>
    <w:p w14:paraId="76527298" w14:textId="77777777" w:rsidR="00100D45" w:rsidRDefault="00100D4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328D345" w14:textId="77777777" w:rsidR="002D12E9" w:rsidRDefault="002D12E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DADDDAF" w14:textId="77777777" w:rsidR="002D12E9" w:rsidRDefault="002D12E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0A40D80" w14:textId="77777777" w:rsidR="002D12E9" w:rsidRDefault="002D12E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8A194C9" w14:textId="77777777" w:rsidR="002D12E9" w:rsidRDefault="002D12E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0A3E505" w14:textId="77777777" w:rsidR="002D12E9" w:rsidRPr="002D12E9" w:rsidRDefault="002D12E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A58C824" w14:textId="246B1035" w:rsidR="00100D45" w:rsidRDefault="00100D45" w:rsidP="00100D4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00D45">
        <w:rPr>
          <w:rFonts w:ascii="Times New Roman" w:hAnsi="Times New Roman" w:cs="Times New Roman"/>
          <w:b/>
          <w:bCs/>
          <w:sz w:val="28"/>
          <w:szCs w:val="28"/>
        </w:rPr>
        <w:lastRenderedPageBreak/>
        <w:t>Supplementary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F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igure 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3</w:t>
      </w:r>
    </w:p>
    <w:p w14:paraId="626F1B96" w14:textId="1791DC92" w:rsidR="00100D45" w:rsidRDefault="00100D4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noProof/>
          <w:sz w:val="28"/>
          <w:szCs w:val="28"/>
        </w:rPr>
        <w:drawing>
          <wp:inline distT="0" distB="0" distL="0" distR="0" wp14:anchorId="51C78875" wp14:editId="6921C5C2">
            <wp:extent cx="5274310" cy="6494780"/>
            <wp:effectExtent l="0" t="0" r="0" b="0"/>
            <wp:docPr id="113672803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6728033" name="图片 113672803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49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135A8" w14:textId="3BFF9470" w:rsidR="00100D45" w:rsidRPr="00211F8E" w:rsidRDefault="00100D45" w:rsidP="00100D45">
      <w:pPr>
        <w:widowControl/>
        <w:rPr>
          <w:rFonts w:ascii="Times New Roman" w:hAnsi="Times New Roman" w:cs="Times New Roman"/>
          <w:b/>
          <w:bCs/>
          <w:sz w:val="20"/>
          <w:szCs w:val="20"/>
        </w:rPr>
      </w:pPr>
      <w:r w:rsidRPr="009C0EA8">
        <w:rPr>
          <w:rFonts w:ascii="Times New Roman" w:hAnsi="Times New Roman" w:cs="Times New Roman" w:hint="eastAsia"/>
          <w:b/>
          <w:bCs/>
          <w:sz w:val="20"/>
          <w:szCs w:val="20"/>
        </w:rPr>
        <w:t>Supplementary Figure 3</w:t>
      </w:r>
      <w:r w:rsidRPr="009C0EA8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DHT </w:t>
      </w:r>
      <w:r w:rsidRPr="009C0EA8">
        <w:rPr>
          <w:rFonts w:ascii="Times New Roman" w:hAnsi="Times New Roman" w:cs="Times New Roman" w:hint="eastAsia"/>
          <w:b/>
          <w:bCs/>
          <w:sz w:val="20"/>
          <w:szCs w:val="20"/>
        </w:rPr>
        <w:t>s</w:t>
      </w:r>
      <w:r w:rsidRPr="009C0EA8">
        <w:rPr>
          <w:rFonts w:ascii="Times New Roman" w:hAnsi="Times New Roman" w:cs="Times New Roman"/>
          <w:b/>
          <w:bCs/>
          <w:sz w:val="20"/>
          <w:szCs w:val="20"/>
        </w:rPr>
        <w:t>uppresse</w:t>
      </w:r>
      <w:r w:rsidR="008E61A6">
        <w:rPr>
          <w:rFonts w:ascii="Times New Roman" w:hAnsi="Times New Roman" w:cs="Times New Roman" w:hint="eastAsia"/>
          <w:b/>
          <w:bCs/>
          <w:sz w:val="20"/>
          <w:szCs w:val="20"/>
        </w:rPr>
        <w:t>d</w:t>
      </w:r>
      <w:r w:rsidRPr="009C0EA8">
        <w:rPr>
          <w:rFonts w:ascii="Times New Roman" w:hAnsi="Times New Roman" w:cs="Times New Roman"/>
          <w:b/>
          <w:bCs/>
          <w:sz w:val="20"/>
          <w:szCs w:val="20"/>
        </w:rPr>
        <w:t xml:space="preserve"> glioma progression </w:t>
      </w:r>
      <w:r w:rsidRPr="008E61A6">
        <w:rPr>
          <w:rFonts w:ascii="Times New Roman" w:hAnsi="Times New Roman" w:cs="Times New Roman"/>
          <w:b/>
          <w:bCs/>
          <w:i/>
          <w:iCs/>
          <w:sz w:val="20"/>
          <w:szCs w:val="20"/>
        </w:rPr>
        <w:t>in vivo</w:t>
      </w:r>
      <w:r w:rsidRPr="009C0EA8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r w:rsidRPr="009C0EA8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>A-</w:t>
      </w:r>
      <w:r>
        <w:rPr>
          <w:rFonts w:ascii="Times New Roman" w:hAnsi="Times New Roman" w:cs="Times New Roman" w:hint="eastAsia"/>
          <w:sz w:val="20"/>
          <w:szCs w:val="20"/>
        </w:rPr>
        <w:t>C</w:t>
      </w:r>
      <w:r w:rsidRPr="009C0EA8">
        <w:rPr>
          <w:rFonts w:ascii="Times New Roman" w:hAnsi="Times New Roman" w:cs="Times New Roman" w:hint="eastAsia"/>
          <w:sz w:val="20"/>
          <w:szCs w:val="20"/>
        </w:rPr>
        <w:t>)</w:t>
      </w:r>
      <w:r w:rsidRPr="009C0EA8">
        <w:rPr>
          <w:rFonts w:ascii="Times New Roman" w:hAnsi="Times New Roman" w:cs="Times New Roman"/>
          <w:sz w:val="20"/>
          <w:szCs w:val="20"/>
        </w:rPr>
        <w:t xml:space="preserve"> Oral administration of </w:t>
      </w:r>
      <w:r>
        <w:rPr>
          <w:rFonts w:ascii="Times New Roman" w:hAnsi="Times New Roman" w:cs="Times New Roman"/>
          <w:sz w:val="20"/>
          <w:szCs w:val="20"/>
        </w:rPr>
        <w:t>DHT</w:t>
      </w:r>
      <w:r w:rsidRPr="009C0EA8">
        <w:rPr>
          <w:rFonts w:ascii="Times New Roman" w:hAnsi="Times New Roman" w:cs="Times New Roman"/>
          <w:sz w:val="20"/>
          <w:szCs w:val="20"/>
        </w:rPr>
        <w:t xml:space="preserve"> significantly inhibited glioma growth in U251MG xenograft-bearing nude mice, with </w:t>
      </w:r>
      <w:r>
        <w:rPr>
          <w:rFonts w:ascii="Times New Roman" w:hAnsi="Times New Roman" w:cs="Times New Roman"/>
          <w:sz w:val="20"/>
          <w:szCs w:val="20"/>
        </w:rPr>
        <w:t>DHT</w:t>
      </w:r>
      <w:r w:rsidRPr="009C0EA8">
        <w:rPr>
          <w:rFonts w:ascii="Times New Roman" w:hAnsi="Times New Roman" w:cs="Times New Roman"/>
          <w:sz w:val="20"/>
          <w:szCs w:val="20"/>
        </w:rPr>
        <w:t xml:space="preserve"> (60 mg/kg) exerting stronger inhibitory effects compared with </w:t>
      </w:r>
      <w:r>
        <w:rPr>
          <w:rFonts w:ascii="Times New Roman" w:hAnsi="Times New Roman" w:cs="Times New Roman"/>
          <w:sz w:val="20"/>
          <w:szCs w:val="20"/>
        </w:rPr>
        <w:t>DHT</w:t>
      </w:r>
      <w:r w:rsidRPr="009C0EA8">
        <w:rPr>
          <w:rFonts w:ascii="Times New Roman" w:hAnsi="Times New Roman" w:cs="Times New Roman"/>
          <w:sz w:val="20"/>
          <w:szCs w:val="20"/>
        </w:rPr>
        <w:t xml:space="preserve"> (30 mg/kg)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47B0C">
        <w:rPr>
          <w:rFonts w:ascii="Times New Roman" w:hAnsi="Times New Roman" w:cs="Times New Roman"/>
          <w:sz w:val="20"/>
          <w:szCs w:val="20"/>
        </w:rPr>
        <w:t>(n=6). **</w:t>
      </w:r>
      <w:r w:rsidRPr="008E61A6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847B0C">
        <w:rPr>
          <w:rFonts w:ascii="Times New Roman" w:hAnsi="Times New Roman" w:cs="Times New Roman"/>
          <w:sz w:val="20"/>
          <w:szCs w:val="20"/>
        </w:rPr>
        <w:t>&lt;0.01 (NC vs DHT 30 mg/kg), #</w:t>
      </w:r>
      <w:r w:rsidRPr="008E61A6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847B0C">
        <w:rPr>
          <w:rFonts w:ascii="Times New Roman" w:hAnsi="Times New Roman" w:cs="Times New Roman"/>
          <w:sz w:val="20"/>
          <w:szCs w:val="20"/>
        </w:rPr>
        <w:t>&lt;0.0</w:t>
      </w:r>
      <w:r>
        <w:rPr>
          <w:rFonts w:ascii="Times New Roman" w:hAnsi="Times New Roman" w:cs="Times New Roman"/>
          <w:sz w:val="20"/>
          <w:szCs w:val="20"/>
        </w:rPr>
        <w:t>5</w:t>
      </w:r>
      <w:r w:rsidRPr="00847B0C">
        <w:rPr>
          <w:rFonts w:ascii="Times New Roman" w:hAnsi="Times New Roman" w:cs="Times New Roman"/>
          <w:sz w:val="20"/>
          <w:szCs w:val="20"/>
        </w:rPr>
        <w:t xml:space="preserve"> (DHT 30 mg/kg vs DHT 60 mg/kg). </w:t>
      </w:r>
      <w:r w:rsidRPr="009C0EA8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 w:hint="eastAsia"/>
          <w:sz w:val="20"/>
          <w:szCs w:val="20"/>
        </w:rPr>
        <w:t>D</w:t>
      </w:r>
      <w:r w:rsidRPr="009C0EA8">
        <w:rPr>
          <w:rFonts w:ascii="Times New Roman" w:hAnsi="Times New Roman" w:cs="Times New Roman"/>
          <w:sz w:val="20"/>
          <w:szCs w:val="20"/>
        </w:rPr>
        <w:t>) H</w:t>
      </w:r>
      <w:r w:rsidR="008E61A6">
        <w:rPr>
          <w:rFonts w:ascii="Times New Roman" w:hAnsi="Times New Roman" w:cs="Times New Roman" w:hint="eastAsia"/>
          <w:sz w:val="20"/>
          <w:szCs w:val="20"/>
        </w:rPr>
        <w:t>&amp;</w:t>
      </w:r>
      <w:r w:rsidRPr="009C0EA8">
        <w:rPr>
          <w:rFonts w:ascii="Times New Roman" w:hAnsi="Times New Roman" w:cs="Times New Roman"/>
          <w:sz w:val="20"/>
          <w:szCs w:val="20"/>
        </w:rPr>
        <w:t xml:space="preserve">E staining of xenograft tumor sections demonstrated that </w:t>
      </w:r>
      <w:r>
        <w:rPr>
          <w:rFonts w:ascii="Times New Roman" w:hAnsi="Times New Roman" w:cs="Times New Roman"/>
          <w:sz w:val="20"/>
          <w:szCs w:val="20"/>
        </w:rPr>
        <w:t>DHT</w:t>
      </w:r>
      <w:r w:rsidRPr="009C0EA8">
        <w:rPr>
          <w:rFonts w:ascii="Times New Roman" w:hAnsi="Times New Roman" w:cs="Times New Roman"/>
          <w:sz w:val="20"/>
          <w:szCs w:val="20"/>
        </w:rPr>
        <w:t xml:space="preserve"> treatment significantly promoted tumor cell necrosis and apoptosis. Scale bars: 50 </w:t>
      </w:r>
      <w:proofErr w:type="spellStart"/>
      <w:r w:rsidRPr="009C0EA8">
        <w:rPr>
          <w:rFonts w:ascii="Times New Roman" w:hAnsi="Times New Roman" w:cs="Times New Roman"/>
          <w:sz w:val="20"/>
          <w:szCs w:val="20"/>
        </w:rPr>
        <w:t>μM</w:t>
      </w:r>
      <w:proofErr w:type="spellEnd"/>
      <w:r w:rsidRPr="009C0EA8">
        <w:rPr>
          <w:rFonts w:ascii="Times New Roman" w:hAnsi="Times New Roman" w:cs="Times New Roman"/>
          <w:sz w:val="20"/>
          <w:szCs w:val="20"/>
        </w:rPr>
        <w:t xml:space="preserve"> or 100 </w:t>
      </w:r>
      <w:proofErr w:type="spellStart"/>
      <w:r w:rsidRPr="009C0EA8">
        <w:rPr>
          <w:rFonts w:ascii="Times New Roman" w:hAnsi="Times New Roman" w:cs="Times New Roman"/>
          <w:sz w:val="20"/>
          <w:szCs w:val="20"/>
        </w:rPr>
        <w:t>μM</w:t>
      </w:r>
      <w:proofErr w:type="spellEnd"/>
      <w:r w:rsidRPr="009C0EA8">
        <w:rPr>
          <w:rFonts w:ascii="Times New Roman" w:hAnsi="Times New Roman" w:cs="Times New Roman"/>
          <w:sz w:val="20"/>
          <w:szCs w:val="20"/>
        </w:rPr>
        <w:t xml:space="preserve">. </w:t>
      </w:r>
      <w:r>
        <w:rPr>
          <w:rFonts w:ascii="Times New Roman" w:hAnsi="Times New Roman" w:cs="Times New Roman" w:hint="eastAsia"/>
          <w:sz w:val="20"/>
          <w:szCs w:val="20"/>
        </w:rPr>
        <w:t>(E</w:t>
      </w:r>
      <w:r>
        <w:rPr>
          <w:rFonts w:ascii="Times New Roman" w:hAnsi="Times New Roman" w:cs="Times New Roman"/>
          <w:sz w:val="20"/>
          <w:szCs w:val="20"/>
        </w:rPr>
        <w:t>-F</w:t>
      </w:r>
      <w:r>
        <w:rPr>
          <w:rFonts w:ascii="Times New Roman" w:hAnsi="Times New Roman" w:cs="Times New Roman" w:hint="eastAsia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C0EA8">
        <w:rPr>
          <w:rFonts w:ascii="Times New Roman" w:hAnsi="Times New Roman" w:cs="Times New Roman"/>
          <w:sz w:val="20"/>
          <w:szCs w:val="20"/>
        </w:rPr>
        <w:t>Representative bioluminescence images and quantitative analysis of U251MG-LUC tumor-bearing mice on days 19 and 26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B2364">
        <w:rPr>
          <w:rFonts w:ascii="Times New Roman" w:hAnsi="Times New Roman" w:cs="Times New Roman"/>
          <w:sz w:val="20"/>
          <w:szCs w:val="20"/>
        </w:rPr>
        <w:t xml:space="preserve">(NC, n=6; TMZ, n=4; </w:t>
      </w:r>
      <w:r>
        <w:rPr>
          <w:rFonts w:ascii="Times New Roman" w:hAnsi="Times New Roman" w:cs="Times New Roman"/>
          <w:sz w:val="20"/>
          <w:szCs w:val="20"/>
        </w:rPr>
        <w:t>DHT</w:t>
      </w:r>
      <w:r w:rsidRPr="00AB2364">
        <w:rPr>
          <w:rFonts w:ascii="Times New Roman" w:hAnsi="Times New Roman" w:cs="Times New Roman"/>
          <w:sz w:val="20"/>
          <w:szCs w:val="20"/>
        </w:rPr>
        <w:t xml:space="preserve"> 30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B2364">
        <w:rPr>
          <w:rFonts w:ascii="Times New Roman" w:hAnsi="Times New Roman" w:cs="Times New Roman"/>
          <w:sz w:val="20"/>
          <w:szCs w:val="20"/>
        </w:rPr>
        <w:t xml:space="preserve">mg/kg, n=6; </w:t>
      </w:r>
      <w:r>
        <w:rPr>
          <w:rFonts w:ascii="Times New Roman" w:hAnsi="Times New Roman" w:cs="Times New Roman"/>
          <w:sz w:val="20"/>
          <w:szCs w:val="20"/>
        </w:rPr>
        <w:t>DHT</w:t>
      </w:r>
      <w:r w:rsidRPr="00AB2364">
        <w:rPr>
          <w:rFonts w:ascii="Times New Roman" w:hAnsi="Times New Roman" w:cs="Times New Roman"/>
          <w:sz w:val="20"/>
          <w:szCs w:val="20"/>
        </w:rPr>
        <w:t xml:space="preserve"> 60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B2364">
        <w:rPr>
          <w:rFonts w:ascii="Times New Roman" w:hAnsi="Times New Roman" w:cs="Times New Roman"/>
          <w:sz w:val="20"/>
          <w:szCs w:val="20"/>
        </w:rPr>
        <w:t>mg/kg, n=6)</w:t>
      </w:r>
      <w:r w:rsidRPr="009C0EA8">
        <w:rPr>
          <w:rFonts w:ascii="Times New Roman" w:hAnsi="Times New Roman" w:cs="Times New Roman"/>
          <w:sz w:val="20"/>
          <w:szCs w:val="20"/>
        </w:rPr>
        <w:t>.</w:t>
      </w:r>
      <w:r w:rsidRPr="00847B0C">
        <w:rPr>
          <w:rFonts w:ascii="Times New Roman" w:hAnsi="Times New Roman" w:cs="Times New Roman"/>
          <w:sz w:val="20"/>
          <w:szCs w:val="20"/>
        </w:rPr>
        <w:t xml:space="preserve"> **</w:t>
      </w:r>
      <w:r w:rsidRPr="008E61A6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847B0C">
        <w:rPr>
          <w:rFonts w:ascii="Times New Roman" w:hAnsi="Times New Roman" w:cs="Times New Roman"/>
          <w:sz w:val="20"/>
          <w:szCs w:val="20"/>
        </w:rPr>
        <w:t>&lt;0.01 (NC vs DHT 30 mg/kg), #</w:t>
      </w:r>
      <w:r w:rsidRPr="008E61A6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847B0C">
        <w:rPr>
          <w:rFonts w:ascii="Times New Roman" w:hAnsi="Times New Roman" w:cs="Times New Roman"/>
          <w:sz w:val="20"/>
          <w:szCs w:val="20"/>
        </w:rPr>
        <w:t>&lt;0.0</w:t>
      </w:r>
      <w:r>
        <w:rPr>
          <w:rFonts w:ascii="Times New Roman" w:hAnsi="Times New Roman" w:cs="Times New Roman"/>
          <w:sz w:val="20"/>
          <w:szCs w:val="20"/>
        </w:rPr>
        <w:t>5</w:t>
      </w:r>
      <w:r w:rsidRPr="00847B0C">
        <w:rPr>
          <w:rFonts w:ascii="Times New Roman" w:hAnsi="Times New Roman" w:cs="Times New Roman"/>
          <w:sz w:val="20"/>
          <w:szCs w:val="20"/>
        </w:rPr>
        <w:t xml:space="preserve"> (DHT 30 mg/kg vs DHT 60 mg/kg)</w:t>
      </w:r>
      <w:r>
        <w:rPr>
          <w:rFonts w:ascii="Times New Roman" w:hAnsi="Times New Roman" w:cs="Times New Roman" w:hint="eastAsia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 w:hint="eastAsia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>G</w:t>
      </w:r>
      <w:r>
        <w:rPr>
          <w:rFonts w:ascii="Times New Roman" w:hAnsi="Times New Roman" w:cs="Times New Roman" w:hint="eastAsia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C0EA8">
        <w:rPr>
          <w:rFonts w:ascii="Times New Roman" w:hAnsi="Times New Roman" w:cs="Times New Roman"/>
          <w:sz w:val="20"/>
          <w:szCs w:val="20"/>
        </w:rPr>
        <w:t>Body weight curves of U251MG-LUC tumor-bearing mice during the 25-day treatment period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B2364">
        <w:rPr>
          <w:rFonts w:ascii="Times New Roman" w:hAnsi="Times New Roman" w:cs="Times New Roman"/>
          <w:sz w:val="20"/>
          <w:szCs w:val="20"/>
        </w:rPr>
        <w:t xml:space="preserve">(NC, </w:t>
      </w:r>
      <w:r w:rsidRPr="00AB2364">
        <w:rPr>
          <w:rFonts w:ascii="Times New Roman" w:hAnsi="Times New Roman" w:cs="Times New Roman"/>
          <w:sz w:val="20"/>
          <w:szCs w:val="20"/>
        </w:rPr>
        <w:lastRenderedPageBreak/>
        <w:t xml:space="preserve">n=6; TMZ, n=4; </w:t>
      </w:r>
      <w:r>
        <w:rPr>
          <w:rFonts w:ascii="Times New Roman" w:hAnsi="Times New Roman" w:cs="Times New Roman"/>
          <w:sz w:val="20"/>
          <w:szCs w:val="20"/>
        </w:rPr>
        <w:t>DHT</w:t>
      </w:r>
      <w:r w:rsidRPr="00AB2364">
        <w:rPr>
          <w:rFonts w:ascii="Times New Roman" w:hAnsi="Times New Roman" w:cs="Times New Roman"/>
          <w:sz w:val="20"/>
          <w:szCs w:val="20"/>
        </w:rPr>
        <w:t xml:space="preserve"> 30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B2364">
        <w:rPr>
          <w:rFonts w:ascii="Times New Roman" w:hAnsi="Times New Roman" w:cs="Times New Roman"/>
          <w:sz w:val="20"/>
          <w:szCs w:val="20"/>
        </w:rPr>
        <w:t xml:space="preserve">mg/kg, n=6; </w:t>
      </w:r>
      <w:r>
        <w:rPr>
          <w:rFonts w:ascii="Times New Roman" w:hAnsi="Times New Roman" w:cs="Times New Roman"/>
          <w:sz w:val="20"/>
          <w:szCs w:val="20"/>
        </w:rPr>
        <w:t>DHT</w:t>
      </w:r>
      <w:r w:rsidRPr="00AB2364">
        <w:rPr>
          <w:rFonts w:ascii="Times New Roman" w:hAnsi="Times New Roman" w:cs="Times New Roman"/>
          <w:sz w:val="20"/>
          <w:szCs w:val="20"/>
        </w:rPr>
        <w:t xml:space="preserve"> 60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AB2364">
        <w:rPr>
          <w:rFonts w:ascii="Times New Roman" w:hAnsi="Times New Roman" w:cs="Times New Roman"/>
          <w:sz w:val="20"/>
          <w:szCs w:val="20"/>
        </w:rPr>
        <w:t>mg/kg, n=6)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847B0C">
        <w:rPr>
          <w:rFonts w:ascii="Times New Roman" w:hAnsi="Times New Roman" w:cs="Times New Roman"/>
          <w:sz w:val="20"/>
          <w:szCs w:val="20"/>
        </w:rPr>
        <w:t xml:space="preserve"> #</w:t>
      </w:r>
      <w:r w:rsidRPr="008E61A6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847B0C">
        <w:rPr>
          <w:rFonts w:ascii="Times New Roman" w:hAnsi="Times New Roman" w:cs="Times New Roman"/>
          <w:sz w:val="20"/>
          <w:szCs w:val="20"/>
        </w:rPr>
        <w:t>&lt;0.0</w:t>
      </w:r>
      <w:r>
        <w:rPr>
          <w:rFonts w:ascii="Times New Roman" w:hAnsi="Times New Roman" w:cs="Times New Roman"/>
          <w:sz w:val="20"/>
          <w:szCs w:val="20"/>
        </w:rPr>
        <w:t>5</w:t>
      </w:r>
      <w:r w:rsidRPr="00847B0C">
        <w:rPr>
          <w:rFonts w:ascii="Times New Roman" w:hAnsi="Times New Roman" w:cs="Times New Roman"/>
          <w:sz w:val="20"/>
          <w:szCs w:val="20"/>
        </w:rPr>
        <w:t xml:space="preserve"> (DHT 30 mg/kg vs DHT 60 mg/kg)</w:t>
      </w:r>
      <w:r>
        <w:t xml:space="preserve">, </w:t>
      </w:r>
      <w:r w:rsidRPr="00847B0C">
        <w:rPr>
          <w:rFonts w:ascii="Times New Roman" w:hAnsi="Times New Roman" w:cs="Times New Roman"/>
          <w:sz w:val="20"/>
          <w:szCs w:val="20"/>
        </w:rPr>
        <w:t>ns = not significant</w:t>
      </w:r>
      <w:r w:rsidRPr="009C0EA8">
        <w:rPr>
          <w:rFonts w:ascii="Times New Roman" w:hAnsi="Times New Roman" w:cs="Times New Roman"/>
          <w:sz w:val="20"/>
          <w:szCs w:val="20"/>
        </w:rPr>
        <w:t>. (</w:t>
      </w:r>
      <w:r>
        <w:rPr>
          <w:rFonts w:ascii="Times New Roman" w:hAnsi="Times New Roman" w:cs="Times New Roman"/>
          <w:sz w:val="20"/>
          <w:szCs w:val="20"/>
        </w:rPr>
        <w:t>H</w:t>
      </w:r>
      <w:r w:rsidRPr="009C0EA8">
        <w:rPr>
          <w:rFonts w:ascii="Times New Roman" w:hAnsi="Times New Roman" w:cs="Times New Roman"/>
          <w:sz w:val="20"/>
          <w:szCs w:val="20"/>
        </w:rPr>
        <w:t>) Serum biochemical profiles of U251MG-LUC tumor-bearing mice, including hepatic, renal, and myocardial function markers. (</w:t>
      </w:r>
      <w:r>
        <w:rPr>
          <w:rFonts w:ascii="Times New Roman" w:hAnsi="Times New Roman" w:cs="Times New Roman"/>
          <w:sz w:val="20"/>
          <w:szCs w:val="20"/>
        </w:rPr>
        <w:t>I</w:t>
      </w:r>
      <w:r w:rsidRPr="009C0EA8">
        <w:rPr>
          <w:rFonts w:ascii="Times New Roman" w:hAnsi="Times New Roman" w:cs="Times New Roman"/>
          <w:sz w:val="20"/>
          <w:szCs w:val="20"/>
        </w:rPr>
        <w:t xml:space="preserve">) </w:t>
      </w:r>
      <w:r w:rsidRPr="009C0EA8">
        <w:rPr>
          <w:rStyle w:val="ae"/>
          <w:rFonts w:ascii="Times New Roman" w:hAnsi="Times New Roman" w:cs="Times New Roman"/>
          <w:b w:val="0"/>
          <w:bCs w:val="0"/>
          <w:color w:val="0D0D0D"/>
          <w:sz w:val="20"/>
          <w:szCs w:val="20"/>
        </w:rPr>
        <w:t>Macroscopic view of brain tissue sections.</w:t>
      </w:r>
      <w:r>
        <w:rPr>
          <w:rStyle w:val="ae"/>
          <w:rFonts w:ascii="Times New Roman" w:hAnsi="Times New Roman" w:cs="Times New Roman"/>
          <w:b w:val="0"/>
          <w:bCs w:val="0"/>
          <w:color w:val="0D0D0D"/>
          <w:sz w:val="20"/>
          <w:szCs w:val="20"/>
        </w:rPr>
        <w:t xml:space="preserve"> </w:t>
      </w:r>
      <w:r w:rsidRPr="009C0EA8">
        <w:rPr>
          <w:rFonts w:ascii="Times New Roman" w:hAnsi="Times New Roman" w:cs="Times New Roman"/>
          <w:color w:val="000000"/>
          <w:sz w:val="20"/>
          <w:szCs w:val="20"/>
        </w:rPr>
        <w:t>The red dashed lines indicate the intracranial tumor region. Tumors were tightly adhered to the meninges and were easily detached together with the meninges during dissection.</w:t>
      </w:r>
      <w:r w:rsidRPr="009C0EA8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BC7DD0D" w14:textId="77777777" w:rsidR="00100D45" w:rsidRDefault="00100D4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198DC4F" w14:textId="4E705772" w:rsidR="00100D45" w:rsidRDefault="00100D45" w:rsidP="00100D4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00D45">
        <w:rPr>
          <w:rFonts w:ascii="Times New Roman" w:hAnsi="Times New Roman" w:cs="Times New Roman"/>
          <w:b/>
          <w:bCs/>
          <w:sz w:val="28"/>
          <w:szCs w:val="28"/>
        </w:rPr>
        <w:t>Supplementary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F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igure 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>4</w:t>
      </w:r>
    </w:p>
    <w:p w14:paraId="4501D507" w14:textId="57020439" w:rsidR="00100D45" w:rsidRDefault="00100D4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 w:hint="eastAsia"/>
          <w:b/>
          <w:bCs/>
          <w:noProof/>
          <w:sz w:val="28"/>
          <w:szCs w:val="28"/>
        </w:rPr>
        <w:drawing>
          <wp:inline distT="0" distB="0" distL="0" distR="0" wp14:anchorId="0368DDDF" wp14:editId="2AC0D16F">
            <wp:extent cx="4887884" cy="6942255"/>
            <wp:effectExtent l="0" t="0" r="1905" b="5080"/>
            <wp:docPr id="62891288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912882" name="图片 62891288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3697" cy="6950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7AE8E" w14:textId="0DCFDD43" w:rsidR="00100D45" w:rsidRPr="009C4DC6" w:rsidRDefault="00100D45" w:rsidP="00100D45">
      <w:pPr>
        <w:rPr>
          <w:rFonts w:ascii="Times New Roman" w:hAnsi="Times New Roman" w:cs="Times New Roman"/>
          <w:sz w:val="20"/>
          <w:szCs w:val="20"/>
        </w:rPr>
      </w:pPr>
      <w:r w:rsidRPr="009C4DC6">
        <w:rPr>
          <w:rFonts w:ascii="Times New Roman" w:hAnsi="Times New Roman" w:cs="Times New Roman" w:hint="eastAsia"/>
          <w:b/>
          <w:bCs/>
          <w:sz w:val="20"/>
          <w:szCs w:val="20"/>
        </w:rPr>
        <w:lastRenderedPageBreak/>
        <w:t>Supplementary Figure 4</w:t>
      </w:r>
      <w:r w:rsidRPr="009C4DC6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9C4DC6">
        <w:rPr>
          <w:rFonts w:ascii="Times New Roman" w:hAnsi="Times New Roman" w:cs="Times New Roman"/>
          <w:sz w:val="20"/>
          <w:szCs w:val="20"/>
        </w:rPr>
        <w:t xml:space="preserve"> </w:t>
      </w:r>
      <w:r w:rsidRPr="009C4DC6">
        <w:rPr>
          <w:rFonts w:ascii="Times New Roman" w:hAnsi="Times New Roman" w:cs="Times New Roman"/>
          <w:b/>
          <w:bCs/>
          <w:sz w:val="20"/>
          <w:szCs w:val="20"/>
        </w:rPr>
        <w:t xml:space="preserve">Network pharmacology-based prediction of </w:t>
      </w:r>
      <w:r>
        <w:rPr>
          <w:rFonts w:ascii="Times New Roman" w:hAnsi="Times New Roman" w:cs="Times New Roman"/>
          <w:b/>
          <w:bCs/>
          <w:sz w:val="20"/>
          <w:szCs w:val="20"/>
        </w:rPr>
        <w:t>DHT</w:t>
      </w:r>
      <w:r w:rsidRPr="009C4DC6">
        <w:rPr>
          <w:rFonts w:ascii="Times New Roman" w:hAnsi="Times New Roman" w:cs="Times New Roman"/>
          <w:b/>
          <w:bCs/>
          <w:sz w:val="20"/>
          <w:szCs w:val="20"/>
        </w:rPr>
        <w:t xml:space="preserve"> targets in glioma</w:t>
      </w:r>
      <w:r w:rsidRPr="009C4DC6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9C4DC6">
        <w:rPr>
          <w:rFonts w:ascii="Times New Roman" w:hAnsi="Times New Roman" w:cs="Times New Roman"/>
          <w:sz w:val="20"/>
          <w:szCs w:val="20"/>
        </w:rPr>
        <w:t xml:space="preserve">(A) A total of 109 putative targets of </w:t>
      </w:r>
      <w:r>
        <w:rPr>
          <w:rFonts w:ascii="Times New Roman" w:hAnsi="Times New Roman" w:cs="Times New Roman"/>
          <w:sz w:val="20"/>
          <w:szCs w:val="20"/>
        </w:rPr>
        <w:t>DHT</w:t>
      </w:r>
      <w:r w:rsidRPr="009C4DC6">
        <w:rPr>
          <w:rFonts w:ascii="Times New Roman" w:hAnsi="Times New Roman" w:cs="Times New Roman"/>
          <w:sz w:val="20"/>
          <w:szCs w:val="20"/>
        </w:rPr>
        <w:t xml:space="preserve"> were predicted using online databases.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C4DC6">
        <w:rPr>
          <w:rFonts w:ascii="Times New Roman" w:hAnsi="Times New Roman" w:cs="Times New Roman"/>
          <w:sz w:val="20"/>
          <w:szCs w:val="20"/>
        </w:rPr>
        <w:t>(B) Online database analyses identified 8,044 glioma-associated targets.</w:t>
      </w:r>
      <w:r>
        <w:rPr>
          <w:rFonts w:ascii="Times New Roman" w:hAnsi="Times New Roman" w:cs="Times New Roman"/>
          <w:sz w:val="20"/>
          <w:szCs w:val="20"/>
        </w:rPr>
        <w:t xml:space="preserve"> (</w:t>
      </w:r>
      <w:r w:rsidRPr="009C4DC6">
        <w:rPr>
          <w:rFonts w:ascii="Times New Roman" w:hAnsi="Times New Roman" w:cs="Times New Roman"/>
          <w:sz w:val="20"/>
          <w:szCs w:val="20"/>
        </w:rPr>
        <w:t xml:space="preserve">C) Intersecting analysis revealed 109 overlapping targets between </w:t>
      </w:r>
      <w:r>
        <w:rPr>
          <w:rFonts w:ascii="Times New Roman" w:hAnsi="Times New Roman" w:cs="Times New Roman"/>
          <w:sz w:val="20"/>
          <w:szCs w:val="20"/>
        </w:rPr>
        <w:t>DHT</w:t>
      </w:r>
      <w:r w:rsidRPr="009C4DC6">
        <w:rPr>
          <w:rFonts w:ascii="Times New Roman" w:hAnsi="Times New Roman" w:cs="Times New Roman"/>
          <w:sz w:val="20"/>
          <w:szCs w:val="20"/>
        </w:rPr>
        <w:t xml:space="preserve"> and glioma.</w:t>
      </w:r>
      <w:r w:rsidRPr="009C4DC6">
        <w:rPr>
          <w:rFonts w:hint="eastAsia"/>
          <w:sz w:val="20"/>
          <w:szCs w:val="20"/>
        </w:rPr>
        <w:t xml:space="preserve"> </w:t>
      </w:r>
      <w:r w:rsidRPr="009C4DC6">
        <w:rPr>
          <w:rFonts w:ascii="Times New Roman" w:hAnsi="Times New Roman" w:cs="Times New Roman" w:hint="eastAsia"/>
          <w:sz w:val="20"/>
          <w:szCs w:val="20"/>
        </w:rPr>
        <w:t>(D) KEGG pathway enrichment analysis of the 109 targets, presented according to secondary classification of signaling pathways.</w:t>
      </w:r>
      <w:r w:rsidRPr="009C4DC6">
        <w:rPr>
          <w:rFonts w:ascii="Times New Roman" w:hAnsi="Times New Roman" w:cs="Times New Roman"/>
          <w:sz w:val="20"/>
          <w:szCs w:val="20"/>
        </w:rPr>
        <w:t xml:space="preserve"> (</w:t>
      </w:r>
      <w:r w:rsidRPr="009C4DC6">
        <w:rPr>
          <w:rFonts w:ascii="Times New Roman" w:hAnsi="Times New Roman" w:cs="Times New Roman" w:hint="eastAsia"/>
          <w:sz w:val="20"/>
          <w:szCs w:val="20"/>
        </w:rPr>
        <w:t>E</w:t>
      </w:r>
      <w:r w:rsidRPr="009C4DC6">
        <w:rPr>
          <w:rFonts w:ascii="Times New Roman" w:hAnsi="Times New Roman" w:cs="Times New Roman"/>
          <w:sz w:val="20"/>
          <w:szCs w:val="20"/>
        </w:rPr>
        <w:t>) PPI network of the 109 shared targets was constructed using the STRING database.</w:t>
      </w:r>
    </w:p>
    <w:p w14:paraId="7B1071CC" w14:textId="77777777" w:rsidR="00100D45" w:rsidRPr="008E61A6" w:rsidRDefault="00100D45" w:rsidP="00100D45"/>
    <w:p w14:paraId="647F38E2" w14:textId="77777777" w:rsidR="00100D45" w:rsidRPr="00100D45" w:rsidRDefault="00100D45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100D45" w:rsidRPr="00100D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45"/>
    <w:rsid w:val="00100D45"/>
    <w:rsid w:val="00246C60"/>
    <w:rsid w:val="002B1EDD"/>
    <w:rsid w:val="002D12E9"/>
    <w:rsid w:val="00521FBA"/>
    <w:rsid w:val="00622D5B"/>
    <w:rsid w:val="007E38DA"/>
    <w:rsid w:val="00827CF7"/>
    <w:rsid w:val="008E61A6"/>
    <w:rsid w:val="00A80104"/>
    <w:rsid w:val="00DB541E"/>
    <w:rsid w:val="00E16D77"/>
    <w:rsid w:val="00F05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53B0FA"/>
  <w15:chartTrackingRefBased/>
  <w15:docId w15:val="{A040DF1C-0BD6-4A45-9196-23B6B17DD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00D4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00D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0D4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00D45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00D45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0D45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00D4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00D45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00D4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00D4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00D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00D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00D4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00D45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00D4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00D4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00D4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00D4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00D4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00D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00D4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00D4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00D4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00D4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00D4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00D4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00D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00D4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00D45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a0"/>
    <w:rsid w:val="00100D45"/>
  </w:style>
  <w:style w:type="character" w:styleId="ae">
    <w:name w:val="Strong"/>
    <w:basedOn w:val="a0"/>
    <w:uiPriority w:val="22"/>
    <w:qFormat/>
    <w:rsid w:val="00100D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522</Words>
  <Characters>2977</Characters>
  <Application>Microsoft Office Word</Application>
  <DocSecurity>0</DocSecurity>
  <Lines>24</Lines>
  <Paragraphs>6</Paragraphs>
  <ScaleCrop>false</ScaleCrop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恺雯 程</dc:creator>
  <cp:keywords/>
  <dc:description/>
  <cp:lastModifiedBy>恺雯 程</cp:lastModifiedBy>
  <cp:revision>5</cp:revision>
  <dcterms:created xsi:type="dcterms:W3CDTF">2026-04-30T09:51:00Z</dcterms:created>
  <dcterms:modified xsi:type="dcterms:W3CDTF">2026-06-08T07:49:00Z</dcterms:modified>
</cp:coreProperties>
</file>