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65DC7">
      <w:pPr>
        <w:rPr>
          <w:rFonts w:hint="default"/>
          <w:b/>
          <w:bCs/>
          <w:color w:val="auto"/>
          <w:lang w:val="en-US" w:eastAsia="zh-CN"/>
        </w:rPr>
      </w:pPr>
      <w:r>
        <w:rPr>
          <w:rFonts w:hint="default"/>
          <w:b/>
          <w:bCs/>
          <w:color w:val="auto"/>
          <w:lang w:val="en-US" w:eastAsia="zh-CN"/>
        </w:rPr>
        <w:t>Supplementary Figure S1. Schematic Representation of the Bispecific CD19/CD22 CAR2219 Construct.</w:t>
      </w:r>
    </w:p>
    <w:p w14:paraId="52A03CFA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The domains of CAR2219 comprise the following: 1. Anti-CD22 scFv and anti-CD19 scFv, which mediate the specific recognition of CD22 and CD19 antigens on the surface of tumor cells; 2. CD8α hinge and transmembrane domains, which enhance the stability and membrane localization of the CAR molecule; 3. 4-1BB costimulatory domain, which promotes the proliferation and survival of CAR-T cells and mitigates their exhaustion; 4. CD3ζ signaling domain, which triggers the cytotoxic activity of CAR-T cells; 5. tEGFR, a reporter gene used for the detection of CAR expression efficiency.</w:t>
      </w:r>
    </w:p>
    <w:p w14:paraId="4EABB311">
      <w:pPr>
        <w:rPr>
          <w:rFonts w:hint="default"/>
          <w:color w:val="auto"/>
          <w:lang w:val="en-US" w:eastAsia="zh-CN"/>
        </w:rPr>
      </w:pPr>
    </w:p>
    <w:p w14:paraId="77F8B746">
      <w:pPr>
        <w:snapToGrid w:val="0"/>
        <w:ind w:left="0" w:leftChars="0" w:right="0" w:rightChars="0" w:firstLine="0" w:firstLineChars="0"/>
        <w:jc w:val="left"/>
        <w:rPr>
          <w:rFonts w:hint="default" w:eastAsia="宋体"/>
          <w:b/>
          <w:bCs w:val="0"/>
          <w:color w:val="auto"/>
          <w:vertAlign w:val="baseline"/>
          <w:lang w:val="en-US" w:eastAsia="zh-CN"/>
        </w:rPr>
      </w:pPr>
      <w:r>
        <w:rPr>
          <w:rFonts w:hint="default" w:eastAsia="宋体"/>
          <w:b/>
          <w:bCs w:val="0"/>
          <w:color w:val="auto"/>
          <w:vertAlign w:val="baseline"/>
          <w:lang w:val="en-US" w:eastAsia="zh-CN"/>
        </w:rPr>
        <w:t>Supplemental Table 1. Comparison of Baseline Clinical Characteristics Between Low-Expansion and High-Expansion Groups</w:t>
      </w:r>
    </w:p>
    <w:tbl>
      <w:tblPr>
        <w:tblStyle w:val="3"/>
        <w:tblW w:w="852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9"/>
        <w:gridCol w:w="1734"/>
        <w:gridCol w:w="1734"/>
        <w:gridCol w:w="1734"/>
      </w:tblGrid>
      <w:tr w14:paraId="4AD06F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19" w:type="dxa"/>
            <w:tcBorders>
              <w:bottom w:val="single" w:color="auto" w:sz="4" w:space="0"/>
            </w:tcBorders>
            <w:noWrap w:val="0"/>
            <w:vAlign w:val="center"/>
          </w:tcPr>
          <w:p w14:paraId="3BDA046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b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34" w:type="dxa"/>
            <w:tcBorders>
              <w:bottom w:val="single" w:color="auto" w:sz="4" w:space="0"/>
            </w:tcBorders>
            <w:noWrap w:val="0"/>
            <w:vAlign w:val="center"/>
          </w:tcPr>
          <w:p w14:paraId="17A6549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b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color w:val="auto"/>
                <w:vertAlign w:val="baseline"/>
                <w:lang w:val="en-US" w:eastAsia="zh-CN"/>
              </w:rPr>
              <w:t>Group 1 (Low Expansion, n=18)</w:t>
            </w:r>
          </w:p>
        </w:tc>
        <w:tc>
          <w:tcPr>
            <w:tcW w:w="1734" w:type="dxa"/>
            <w:tcBorders>
              <w:bottom w:val="single" w:color="auto" w:sz="4" w:space="0"/>
            </w:tcBorders>
            <w:noWrap w:val="0"/>
            <w:vAlign w:val="center"/>
          </w:tcPr>
          <w:p w14:paraId="779585D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b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color w:val="auto"/>
                <w:vertAlign w:val="baseline"/>
                <w:lang w:val="en-US" w:eastAsia="zh-CN"/>
              </w:rPr>
              <w:t>Group 2 (High Expansion, n=15)</w:t>
            </w:r>
          </w:p>
        </w:tc>
        <w:tc>
          <w:tcPr>
            <w:tcW w:w="1734" w:type="dxa"/>
            <w:tcBorders>
              <w:bottom w:val="single" w:color="auto" w:sz="4" w:space="0"/>
            </w:tcBorders>
            <w:noWrap w:val="0"/>
            <w:vAlign w:val="center"/>
          </w:tcPr>
          <w:p w14:paraId="758B144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b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i/>
                <w:iCs/>
                <w:color w:val="auto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/>
                <w:color w:val="auto"/>
                <w:vertAlign w:val="baseline"/>
                <w:lang w:val="en-US" w:eastAsia="zh-CN"/>
              </w:rPr>
              <w:t xml:space="preserve"> value</w:t>
            </w:r>
          </w:p>
        </w:tc>
      </w:tr>
      <w:tr w14:paraId="59E76C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tcBorders>
              <w:top w:val="single" w:color="auto" w:sz="4" w:space="0"/>
            </w:tcBorders>
            <w:noWrap w:val="0"/>
            <w:vAlign w:val="center"/>
          </w:tcPr>
          <w:p w14:paraId="062C43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color w:val="auto"/>
                <w:vertAlign w:val="baseline"/>
                <w:lang w:val="en-US" w:eastAsia="zh-CN"/>
              </w:rPr>
              <w:t>Age, median (range), y</w:t>
            </w:r>
          </w:p>
        </w:tc>
        <w:tc>
          <w:tcPr>
            <w:tcW w:w="1734" w:type="dxa"/>
            <w:tcBorders>
              <w:top w:val="single" w:color="auto" w:sz="4" w:space="0"/>
            </w:tcBorders>
            <w:noWrap w:val="0"/>
            <w:vAlign w:val="center"/>
          </w:tcPr>
          <w:p w14:paraId="20B7A20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61 (37-78)</w:t>
            </w:r>
          </w:p>
        </w:tc>
        <w:tc>
          <w:tcPr>
            <w:tcW w:w="1734" w:type="dxa"/>
            <w:tcBorders>
              <w:top w:val="single" w:color="auto" w:sz="4" w:space="0"/>
            </w:tcBorders>
            <w:noWrap w:val="0"/>
            <w:vAlign w:val="center"/>
          </w:tcPr>
          <w:p w14:paraId="5EC48E7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65 (16-81)</w:t>
            </w:r>
          </w:p>
        </w:tc>
        <w:tc>
          <w:tcPr>
            <w:tcW w:w="1734" w:type="dxa"/>
            <w:tcBorders>
              <w:top w:val="single" w:color="auto" w:sz="4" w:space="0"/>
            </w:tcBorders>
            <w:noWrap w:val="0"/>
            <w:vAlign w:val="center"/>
          </w:tcPr>
          <w:p w14:paraId="33FF46E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0.28</w:t>
            </w:r>
          </w:p>
        </w:tc>
      </w:tr>
      <w:tr w14:paraId="11B04F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2A774C0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color w:val="auto"/>
                <w:vertAlign w:val="baseline"/>
                <w:lang w:val="en-US" w:eastAsia="zh-CN"/>
              </w:rPr>
              <w:t>Age ≥60 years</w:t>
            </w:r>
            <w:r>
              <w:rPr>
                <w:rFonts w:hint="eastAsia" w:eastAsia="宋体"/>
                <w:color w:val="auto"/>
                <w:vertAlign w:val="baseline"/>
                <w:lang w:val="en-US" w:eastAsia="zh-CN"/>
              </w:rPr>
              <w:t>, n (%)</w:t>
            </w:r>
          </w:p>
        </w:tc>
        <w:tc>
          <w:tcPr>
            <w:tcW w:w="1734" w:type="dxa"/>
            <w:noWrap w:val="0"/>
            <w:vAlign w:val="center"/>
          </w:tcPr>
          <w:p w14:paraId="3B1505E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 (55.6)</w:t>
            </w:r>
          </w:p>
        </w:tc>
        <w:tc>
          <w:tcPr>
            <w:tcW w:w="1734" w:type="dxa"/>
            <w:noWrap w:val="0"/>
            <w:vAlign w:val="center"/>
          </w:tcPr>
          <w:p w14:paraId="6A2EA2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 (53.3)</w:t>
            </w:r>
          </w:p>
        </w:tc>
        <w:tc>
          <w:tcPr>
            <w:tcW w:w="1734" w:type="dxa"/>
            <w:noWrap w:val="0"/>
            <w:vAlign w:val="center"/>
          </w:tcPr>
          <w:p w14:paraId="2368B0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0.89</w:t>
            </w:r>
          </w:p>
        </w:tc>
      </w:tr>
      <w:tr w14:paraId="043EE8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0E3AF3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Male</w:t>
            </w:r>
            <w:r>
              <w:rPr>
                <w:rFonts w:hint="eastAsia" w:eastAsia="宋体"/>
                <w:color w:val="auto"/>
                <w:vertAlign w:val="baseline"/>
                <w:lang w:val="en-US" w:eastAsia="zh-CN"/>
              </w:rPr>
              <w:t>, n (%)</w:t>
            </w:r>
          </w:p>
        </w:tc>
        <w:tc>
          <w:tcPr>
            <w:tcW w:w="1734" w:type="dxa"/>
            <w:noWrap w:val="0"/>
            <w:vAlign w:val="center"/>
          </w:tcPr>
          <w:p w14:paraId="419563D6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9 (50)</w:t>
            </w:r>
          </w:p>
        </w:tc>
        <w:tc>
          <w:tcPr>
            <w:tcW w:w="1734" w:type="dxa"/>
            <w:noWrap w:val="0"/>
            <w:vAlign w:val="center"/>
          </w:tcPr>
          <w:p w14:paraId="5857E23B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 (53.3)</w:t>
            </w:r>
          </w:p>
        </w:tc>
        <w:tc>
          <w:tcPr>
            <w:tcW w:w="1734" w:type="dxa"/>
            <w:noWrap w:val="0"/>
            <w:vAlign w:val="center"/>
          </w:tcPr>
          <w:p w14:paraId="4625D982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0.85</w:t>
            </w:r>
          </w:p>
        </w:tc>
      </w:tr>
      <w:tr w14:paraId="437E35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2868805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Ann Arbor stage III-IV, n (%)</w:t>
            </w:r>
          </w:p>
        </w:tc>
        <w:tc>
          <w:tcPr>
            <w:tcW w:w="1734" w:type="dxa"/>
            <w:noWrap w:val="0"/>
            <w:vAlign w:val="center"/>
          </w:tcPr>
          <w:p w14:paraId="2921B5A5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13 (72.2)</w:t>
            </w:r>
          </w:p>
        </w:tc>
        <w:tc>
          <w:tcPr>
            <w:tcW w:w="1734" w:type="dxa"/>
            <w:noWrap w:val="0"/>
            <w:vAlign w:val="center"/>
          </w:tcPr>
          <w:p w14:paraId="0C8512E6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13 (86.7)</w:t>
            </w:r>
          </w:p>
        </w:tc>
        <w:tc>
          <w:tcPr>
            <w:tcW w:w="1734" w:type="dxa"/>
            <w:noWrap w:val="0"/>
            <w:vAlign w:val="center"/>
          </w:tcPr>
          <w:p w14:paraId="5699E58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0.41</w:t>
            </w:r>
          </w:p>
        </w:tc>
      </w:tr>
      <w:tr w14:paraId="007BC0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3319" w:type="dxa"/>
            <w:noWrap w:val="0"/>
            <w:vAlign w:val="center"/>
          </w:tcPr>
          <w:p w14:paraId="203DC3F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B symptoms (Present), n (%)</w:t>
            </w:r>
          </w:p>
        </w:tc>
        <w:tc>
          <w:tcPr>
            <w:tcW w:w="1734" w:type="dxa"/>
            <w:noWrap w:val="0"/>
            <w:vAlign w:val="center"/>
          </w:tcPr>
          <w:p w14:paraId="230E5B1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 (44.4)</w:t>
            </w:r>
          </w:p>
        </w:tc>
        <w:tc>
          <w:tcPr>
            <w:tcW w:w="1734" w:type="dxa"/>
            <w:noWrap w:val="0"/>
            <w:vAlign w:val="center"/>
          </w:tcPr>
          <w:p w14:paraId="7A665E4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 (53.3)</w:t>
            </w:r>
          </w:p>
        </w:tc>
        <w:tc>
          <w:tcPr>
            <w:tcW w:w="1734" w:type="dxa"/>
            <w:noWrap w:val="0"/>
            <w:vAlign w:val="center"/>
          </w:tcPr>
          <w:p w14:paraId="34D9F90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0.61</w:t>
            </w:r>
          </w:p>
        </w:tc>
      </w:tr>
      <w:tr w14:paraId="36E077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57F3F36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IPI score 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≥3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, n (%)</w:t>
            </w:r>
          </w:p>
        </w:tc>
        <w:tc>
          <w:tcPr>
            <w:tcW w:w="1734" w:type="dxa"/>
            <w:noWrap w:val="0"/>
            <w:vAlign w:val="center"/>
          </w:tcPr>
          <w:p w14:paraId="161FD5C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 (66.7)</w:t>
            </w:r>
          </w:p>
        </w:tc>
        <w:tc>
          <w:tcPr>
            <w:tcW w:w="1734" w:type="dxa"/>
            <w:noWrap w:val="0"/>
            <w:vAlign w:val="center"/>
          </w:tcPr>
          <w:p w14:paraId="64CC74E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11 (73.3)</w:t>
            </w:r>
          </w:p>
        </w:tc>
        <w:tc>
          <w:tcPr>
            <w:tcW w:w="1734" w:type="dxa"/>
            <w:noWrap w:val="0"/>
            <w:vAlign w:val="center"/>
          </w:tcPr>
          <w:p w14:paraId="0FF95CD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0.68</w:t>
            </w:r>
          </w:p>
        </w:tc>
      </w:tr>
      <w:tr w14:paraId="6941DC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3E1F1986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vertAlign w:val="baseline"/>
                <w:lang w:val="en-US" w:eastAsia="zh-CN"/>
              </w:rPr>
              <w:t xml:space="preserve">ECOG PS </w:t>
            </w:r>
            <w:r>
              <w:rPr>
                <w:rFonts w:hint="default" w:ascii="Calibri" w:hAnsi="Calibri" w:cs="Calibri"/>
                <w:color w:val="auto"/>
                <w:vertAlign w:val="baseline"/>
                <w:lang w:val="en-US" w:eastAsia="zh-CN"/>
              </w:rPr>
              <w:t>≥2</w:t>
            </w:r>
            <w:r>
              <w:rPr>
                <w:rFonts w:hint="eastAsia" w:ascii="Calibri" w:hAnsi="Calibri" w:cs="Calibri"/>
                <w:color w:val="auto"/>
                <w:vertAlign w:val="baseline"/>
                <w:lang w:val="en-US" w:eastAsia="zh-CN"/>
              </w:rPr>
              <w:t>, n (%)</w:t>
            </w:r>
          </w:p>
        </w:tc>
        <w:tc>
          <w:tcPr>
            <w:tcW w:w="1734" w:type="dxa"/>
            <w:noWrap w:val="0"/>
            <w:vAlign w:val="center"/>
          </w:tcPr>
          <w:p w14:paraId="531A5D3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8 (44.4)</w:t>
            </w:r>
          </w:p>
        </w:tc>
        <w:tc>
          <w:tcPr>
            <w:tcW w:w="1734" w:type="dxa"/>
            <w:noWrap w:val="0"/>
            <w:vAlign w:val="center"/>
          </w:tcPr>
          <w:p w14:paraId="13AE308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4 (26.7)</w:t>
            </w:r>
          </w:p>
        </w:tc>
        <w:tc>
          <w:tcPr>
            <w:tcW w:w="1734" w:type="dxa"/>
            <w:noWrap w:val="0"/>
            <w:vAlign w:val="center"/>
          </w:tcPr>
          <w:p w14:paraId="7027CD7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0.29</w:t>
            </w:r>
          </w:p>
        </w:tc>
      </w:tr>
      <w:tr w14:paraId="2E8A90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49E0BC5F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  <w:lang w:val="en-US" w:eastAsia="zh-CN"/>
              </w:rPr>
              <w:t>Bulky disease (≥5 cm), n (%)</w:t>
            </w:r>
          </w:p>
        </w:tc>
        <w:tc>
          <w:tcPr>
            <w:tcW w:w="1734" w:type="dxa"/>
            <w:noWrap w:val="0"/>
            <w:vAlign w:val="center"/>
          </w:tcPr>
          <w:p w14:paraId="76B218C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6 (33.3)</w:t>
            </w:r>
          </w:p>
        </w:tc>
        <w:tc>
          <w:tcPr>
            <w:tcW w:w="1734" w:type="dxa"/>
            <w:noWrap w:val="0"/>
            <w:vAlign w:val="center"/>
          </w:tcPr>
          <w:p w14:paraId="335C7CA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 (20.0)</w:t>
            </w:r>
          </w:p>
        </w:tc>
        <w:tc>
          <w:tcPr>
            <w:tcW w:w="1734" w:type="dxa"/>
            <w:noWrap w:val="0"/>
            <w:vAlign w:val="center"/>
          </w:tcPr>
          <w:p w14:paraId="155C9AD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0.46</w:t>
            </w:r>
          </w:p>
        </w:tc>
      </w:tr>
      <w:tr w14:paraId="1D9055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5BDBD167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  <w:lang w:val="en-US" w:eastAsia="zh-CN"/>
              </w:rPr>
              <w:t>Prior lines of therapy</w:t>
            </w:r>
            <w:r>
              <w:rPr>
                <w:rFonts w:hint="eastAsia" w:ascii="Calibri" w:hAnsi="Calibri" w:cs="Calibri"/>
                <w:color w:val="auto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color w:val="auto"/>
                <w:vertAlign w:val="baseline"/>
                <w:lang w:val="en-US" w:eastAsia="zh-CN"/>
              </w:rPr>
              <w:t>≥3, n (%)</w:t>
            </w:r>
          </w:p>
        </w:tc>
        <w:tc>
          <w:tcPr>
            <w:tcW w:w="1734" w:type="dxa"/>
            <w:noWrap w:val="0"/>
            <w:vAlign w:val="center"/>
          </w:tcPr>
          <w:p w14:paraId="5E2AA690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5 (27.8)</w:t>
            </w:r>
          </w:p>
        </w:tc>
        <w:tc>
          <w:tcPr>
            <w:tcW w:w="1734" w:type="dxa"/>
            <w:noWrap w:val="0"/>
            <w:vAlign w:val="center"/>
          </w:tcPr>
          <w:p w14:paraId="3F9AA5B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3 (20.0)</w:t>
            </w:r>
          </w:p>
        </w:tc>
        <w:tc>
          <w:tcPr>
            <w:tcW w:w="1734" w:type="dxa"/>
            <w:noWrap w:val="0"/>
            <w:vAlign w:val="center"/>
          </w:tcPr>
          <w:p w14:paraId="513204F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0.70</w:t>
            </w:r>
          </w:p>
        </w:tc>
      </w:tr>
      <w:tr w14:paraId="600C52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9" w:type="dxa"/>
            <w:noWrap w:val="0"/>
            <w:vAlign w:val="center"/>
          </w:tcPr>
          <w:p w14:paraId="536971A1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  <w:lang w:val="en-US" w:eastAsia="zh-CN"/>
              </w:rPr>
              <w:t xml:space="preserve">PD-1 inhibitor </w:t>
            </w:r>
            <w:r>
              <w:rPr>
                <w:rFonts w:hint="eastAsia" w:ascii="Calibri" w:hAnsi="Calibri" w:cs="Calibri"/>
                <w:color w:val="auto"/>
                <w:vertAlign w:val="baseline"/>
                <w:lang w:val="en-US" w:eastAsia="zh-CN"/>
              </w:rPr>
              <w:t>maintenance</w:t>
            </w:r>
            <w:r>
              <w:rPr>
                <w:rFonts w:hint="default" w:ascii="Calibri" w:hAnsi="Calibri" w:cs="Calibri"/>
                <w:color w:val="auto"/>
                <w:vertAlign w:val="baseline"/>
                <w:lang w:val="en-US" w:eastAsia="zh-CN"/>
              </w:rPr>
              <w:t>, n (%)</w:t>
            </w:r>
          </w:p>
        </w:tc>
        <w:tc>
          <w:tcPr>
            <w:tcW w:w="1734" w:type="dxa"/>
            <w:noWrap w:val="0"/>
            <w:vAlign w:val="center"/>
          </w:tcPr>
          <w:p w14:paraId="2DD5E0C8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12 (66.7)</w:t>
            </w:r>
          </w:p>
        </w:tc>
        <w:tc>
          <w:tcPr>
            <w:tcW w:w="1734" w:type="dxa"/>
            <w:noWrap w:val="0"/>
            <w:vAlign w:val="center"/>
          </w:tcPr>
          <w:p w14:paraId="0A968E27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10 (66.7)</w:t>
            </w:r>
          </w:p>
        </w:tc>
        <w:tc>
          <w:tcPr>
            <w:tcW w:w="1734" w:type="dxa"/>
            <w:noWrap w:val="0"/>
            <w:vAlign w:val="center"/>
          </w:tcPr>
          <w:p w14:paraId="56ED561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1</w:t>
            </w:r>
          </w:p>
        </w:tc>
      </w:tr>
    </w:tbl>
    <w:p w14:paraId="4086580A">
      <w:pPr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</w:rPr>
        <w:t>Continuous variables were compared using the Mann-Whitney U test, and categorical variables were compared using Fisher's exact test or the chi-square test. All P values are two-sided</w:t>
      </w:r>
      <w:r>
        <w:rPr>
          <w:rFonts w:hint="eastAsia"/>
          <w:color w:val="auto"/>
          <w:lang w:val="en-US" w:eastAsia="zh-CN"/>
        </w:rPr>
        <w:t>.</w:t>
      </w:r>
    </w:p>
    <w:p w14:paraId="73369B62">
      <w:pPr>
        <w:rPr>
          <w:rFonts w:hint="eastAsia"/>
          <w:color w:val="auto"/>
        </w:rPr>
      </w:pPr>
      <w:r>
        <w:rPr>
          <w:rFonts w:hint="eastAsia"/>
          <w:color w:val="auto"/>
        </w:rPr>
        <w:t>Abbreviations: IPI, International Prognostic Index</w:t>
      </w:r>
      <w:r>
        <w:rPr>
          <w:rFonts w:hint="eastAsia"/>
          <w:color w:val="auto"/>
          <w:lang w:val="en-US" w:eastAsia="zh-CN"/>
        </w:rPr>
        <w:t xml:space="preserve">; </w:t>
      </w:r>
      <w:r>
        <w:rPr>
          <w:rFonts w:hint="eastAsia"/>
          <w:color w:val="auto"/>
        </w:rPr>
        <w:t>ECOG, Eastern Cooperative Oncology Group</w:t>
      </w:r>
      <w:r>
        <w:rPr>
          <w:rFonts w:hint="eastAsia"/>
          <w:color w:val="auto"/>
          <w:lang w:val="en-US" w:eastAsia="zh-CN"/>
        </w:rPr>
        <w:t xml:space="preserve">; </w:t>
      </w:r>
      <w:r>
        <w:rPr>
          <w:rFonts w:hint="eastAsia"/>
          <w:color w:val="auto"/>
        </w:rPr>
        <w:t>PD-1, programmed cell death protein 1.</w:t>
      </w:r>
    </w:p>
    <w:p w14:paraId="1B8142D4">
      <w:pPr>
        <w:rPr>
          <w:rFonts w:hint="eastAsia"/>
          <w:color w:val="auto"/>
        </w:rPr>
      </w:pPr>
    </w:p>
    <w:p w14:paraId="1666415C">
      <w:pPr>
        <w:rPr>
          <w:rFonts w:hint="eastAsia"/>
          <w:b/>
          <w:bCs/>
          <w:color w:val="auto"/>
          <w:vertAlign w:val="baseline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Supplemental Table 2</w:t>
      </w:r>
      <w:r>
        <w:rPr>
          <w:rFonts w:hint="eastAsia"/>
          <w:b/>
          <w:bCs/>
          <w:color w:val="auto"/>
          <w:vertAlign w:val="baseline"/>
          <w:lang w:val="en-US" w:eastAsia="zh-CN"/>
        </w:rPr>
        <w:t>. Exploratory Limited Multivariable Cox Regression Analysis of Immune Subsets in Association with PFS (Adjusted for IPI Score)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5"/>
        <w:gridCol w:w="1631"/>
        <w:gridCol w:w="956"/>
        <w:gridCol w:w="1869"/>
        <w:gridCol w:w="951"/>
      </w:tblGrid>
      <w:tr w14:paraId="0D9EF6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tcBorders>
              <w:bottom w:val="single" w:color="auto" w:sz="4" w:space="0"/>
            </w:tcBorders>
            <w:noWrap w:val="0"/>
            <w:vAlign w:val="top"/>
          </w:tcPr>
          <w:p w14:paraId="27A7CF23"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Variable</w:t>
            </w:r>
          </w:p>
        </w:tc>
        <w:tc>
          <w:tcPr>
            <w:tcW w:w="1631" w:type="dxa"/>
            <w:tcBorders>
              <w:bottom w:val="single" w:color="auto" w:sz="4" w:space="0"/>
            </w:tcBorders>
            <w:noWrap w:val="0"/>
            <w:vAlign w:val="top"/>
          </w:tcPr>
          <w:p w14:paraId="190DA567"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Univariate Analysis</w:t>
            </w:r>
          </w:p>
        </w:tc>
        <w:tc>
          <w:tcPr>
            <w:tcW w:w="956" w:type="dxa"/>
            <w:tcBorders>
              <w:bottom w:val="single" w:color="auto" w:sz="4" w:space="0"/>
            </w:tcBorders>
            <w:noWrap w:val="0"/>
            <w:vAlign w:val="top"/>
          </w:tcPr>
          <w:p w14:paraId="3B8B0B00">
            <w:pP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69" w:type="dxa"/>
            <w:tcBorders>
              <w:bottom w:val="single" w:color="auto" w:sz="4" w:space="0"/>
            </w:tcBorders>
            <w:noWrap w:val="0"/>
            <w:vAlign w:val="top"/>
          </w:tcPr>
          <w:p w14:paraId="02302EDF">
            <w:pP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iCs w:val="0"/>
                <w:color w:val="auto"/>
                <w:vertAlign w:val="baseline"/>
                <w:lang w:val="en-US" w:eastAsia="zh-CN"/>
              </w:rPr>
              <w:t>Limited Multivariable Analysis (Adjusted for IPI Score)</w:t>
            </w:r>
          </w:p>
        </w:tc>
        <w:tc>
          <w:tcPr>
            <w:tcW w:w="951" w:type="dxa"/>
            <w:tcBorders>
              <w:bottom w:val="single" w:color="auto" w:sz="4" w:space="0"/>
            </w:tcBorders>
            <w:noWrap w:val="0"/>
            <w:vAlign w:val="top"/>
          </w:tcPr>
          <w:p w14:paraId="6B4355A1">
            <w:pP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</w:pPr>
          </w:p>
        </w:tc>
      </w:tr>
      <w:tr w14:paraId="6B9569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tcBorders>
              <w:top w:val="single" w:color="auto" w:sz="4" w:space="0"/>
            </w:tcBorders>
            <w:noWrap w:val="0"/>
            <w:vAlign w:val="top"/>
          </w:tcPr>
          <w:p w14:paraId="1C08B023">
            <w:pPr>
              <w:rPr>
                <w:b/>
                <w:bCs/>
                <w:color w:val="auto"/>
                <w:vertAlign w:val="baseline"/>
              </w:rPr>
            </w:pPr>
          </w:p>
        </w:tc>
        <w:tc>
          <w:tcPr>
            <w:tcW w:w="1631" w:type="dxa"/>
            <w:tcBorders>
              <w:top w:val="single" w:color="auto" w:sz="4" w:space="0"/>
            </w:tcBorders>
            <w:noWrap w:val="0"/>
            <w:vAlign w:val="top"/>
          </w:tcPr>
          <w:p w14:paraId="7137937E">
            <w:pPr>
              <w:rPr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HR (95% CI)</w:t>
            </w:r>
          </w:p>
        </w:tc>
        <w:tc>
          <w:tcPr>
            <w:tcW w:w="956" w:type="dxa"/>
            <w:tcBorders>
              <w:top w:val="single" w:color="auto" w:sz="4" w:space="0"/>
            </w:tcBorders>
            <w:noWrap w:val="0"/>
            <w:vAlign w:val="top"/>
          </w:tcPr>
          <w:p w14:paraId="7B3ADE19">
            <w:pPr>
              <w:rPr>
                <w:rFonts w:hint="default" w:eastAsia="宋体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 xml:space="preserve"> value</w:t>
            </w:r>
          </w:p>
        </w:tc>
        <w:tc>
          <w:tcPr>
            <w:tcW w:w="1869" w:type="dxa"/>
            <w:tcBorders>
              <w:top w:val="single" w:color="auto" w:sz="4" w:space="0"/>
            </w:tcBorders>
            <w:noWrap w:val="0"/>
            <w:vAlign w:val="top"/>
          </w:tcPr>
          <w:p w14:paraId="7B6E3835">
            <w:pPr>
              <w:rPr>
                <w:rFonts w:hint="eastAsia" w:ascii="Calibri" w:hAnsi="Calibri" w:eastAsia="宋体" w:cs="Times New Roman"/>
                <w:b/>
                <w:bCs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HR (95% CI)</w:t>
            </w:r>
          </w:p>
        </w:tc>
        <w:tc>
          <w:tcPr>
            <w:tcW w:w="951" w:type="dxa"/>
            <w:tcBorders>
              <w:top w:val="single" w:color="auto" w:sz="4" w:space="0"/>
            </w:tcBorders>
            <w:noWrap w:val="0"/>
            <w:vAlign w:val="top"/>
          </w:tcPr>
          <w:p w14:paraId="7A376255">
            <w:pPr>
              <w:rPr>
                <w:rFonts w:hint="eastAsia" w:ascii="Calibri" w:hAnsi="Calibri" w:eastAsia="宋体" w:cs="Times New Roman"/>
                <w:b/>
                <w:bCs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i/>
                <w:iCs/>
                <w:color w:val="auto"/>
                <w:vertAlign w:val="baseline"/>
                <w:lang w:val="en-US" w:eastAsia="zh-CN"/>
              </w:rPr>
              <w:t>P</w:t>
            </w: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 xml:space="preserve"> value</w:t>
            </w:r>
          </w:p>
        </w:tc>
      </w:tr>
      <w:tr w14:paraId="2F3602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noWrap w:val="0"/>
            <w:vAlign w:val="top"/>
          </w:tcPr>
          <w:p w14:paraId="4A7756A9">
            <w:pPr>
              <w:rPr>
                <w:rFonts w:hint="eastAsia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color w:val="auto"/>
                <w:vertAlign w:val="baseline"/>
                <w:lang w:val="en-US" w:eastAsia="zh-CN"/>
              </w:rPr>
              <w:t>Immune Cell Subsets</w:t>
            </w:r>
          </w:p>
        </w:tc>
        <w:tc>
          <w:tcPr>
            <w:tcW w:w="1631" w:type="dxa"/>
            <w:noWrap w:val="0"/>
            <w:vAlign w:val="top"/>
          </w:tcPr>
          <w:p w14:paraId="4915AC76">
            <w:pPr>
              <w:rPr>
                <w:rFonts w:hint="default" w:ascii="Calibri" w:hAnsi="Calibri" w:cs="Calibri"/>
                <w:color w:val="auto"/>
                <w:vertAlign w:val="baseline"/>
              </w:rPr>
            </w:pPr>
          </w:p>
        </w:tc>
        <w:tc>
          <w:tcPr>
            <w:tcW w:w="956" w:type="dxa"/>
            <w:noWrap w:val="0"/>
            <w:vAlign w:val="top"/>
          </w:tcPr>
          <w:p w14:paraId="31F947E9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869" w:type="dxa"/>
            <w:noWrap w:val="0"/>
            <w:vAlign w:val="top"/>
          </w:tcPr>
          <w:p w14:paraId="4F9F746B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top"/>
          </w:tcPr>
          <w:p w14:paraId="54E5B40E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</w:p>
        </w:tc>
      </w:tr>
      <w:tr w14:paraId="4269AB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noWrap w:val="0"/>
            <w:vAlign w:val="top"/>
          </w:tcPr>
          <w:p w14:paraId="48C81C1F">
            <w:pPr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>CD4/CD8 ratio</w:t>
            </w:r>
          </w:p>
        </w:tc>
        <w:tc>
          <w:tcPr>
            <w:tcW w:w="1631" w:type="dxa"/>
            <w:noWrap w:val="0"/>
            <w:vAlign w:val="top"/>
          </w:tcPr>
          <w:p w14:paraId="2FE47B6C">
            <w:pPr>
              <w:rPr>
                <w:rFonts w:hint="default" w:ascii="Calibri" w:hAnsi="Calibri" w:cs="Calibri"/>
                <w:color w:val="auto"/>
                <w:vertAlign w:val="baseline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</w:rPr>
              <w:t>0.41 (0.17–0.73)</w:t>
            </w:r>
          </w:p>
        </w:tc>
        <w:tc>
          <w:tcPr>
            <w:tcW w:w="956" w:type="dxa"/>
            <w:noWrap w:val="0"/>
            <w:vAlign w:val="top"/>
          </w:tcPr>
          <w:p w14:paraId="75DFEEE1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0.047</w:t>
            </w:r>
          </w:p>
        </w:tc>
        <w:tc>
          <w:tcPr>
            <w:tcW w:w="1869" w:type="dxa"/>
            <w:noWrap w:val="0"/>
            <w:vAlign w:val="top"/>
          </w:tcPr>
          <w:p w14:paraId="7A630F63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color w:val="auto"/>
                <w:vertAlign w:val="baseline"/>
                <w:lang w:val="en-US" w:eastAsia="zh-CN"/>
              </w:rPr>
              <w:t>0.44 (0.19–0.79)</w:t>
            </w:r>
          </w:p>
        </w:tc>
        <w:tc>
          <w:tcPr>
            <w:tcW w:w="951" w:type="dxa"/>
            <w:noWrap w:val="0"/>
            <w:vAlign w:val="top"/>
          </w:tcPr>
          <w:p w14:paraId="0BF21D06">
            <w:pPr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0.047</w:t>
            </w:r>
          </w:p>
        </w:tc>
      </w:tr>
      <w:tr w14:paraId="71F0FD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noWrap w:val="0"/>
            <w:vAlign w:val="top"/>
          </w:tcPr>
          <w:p w14:paraId="69ED3056">
            <w:pPr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>Helper T cells (per 10% increase)</w:t>
            </w:r>
          </w:p>
        </w:tc>
        <w:tc>
          <w:tcPr>
            <w:tcW w:w="1631" w:type="dxa"/>
            <w:noWrap w:val="0"/>
            <w:vAlign w:val="top"/>
          </w:tcPr>
          <w:p w14:paraId="4CAC6BA7">
            <w:pPr>
              <w:rPr>
                <w:rFonts w:hint="default" w:ascii="Calibri" w:hAnsi="Calibri" w:cs="Calibri"/>
                <w:color w:val="auto"/>
                <w:vertAlign w:val="baseline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</w:rPr>
              <w:t>0.67 (0.</w:t>
            </w:r>
            <w:r>
              <w:rPr>
                <w:rFonts w:hint="eastAsia" w:ascii="Calibri" w:hAnsi="Calibri" w:cs="Calibri"/>
                <w:color w:val="auto"/>
                <w:vertAlign w:val="baseline"/>
                <w:lang w:val="en-US" w:eastAsia="zh-CN"/>
              </w:rPr>
              <w:t>45-0.99</w:t>
            </w:r>
            <w:r>
              <w:rPr>
                <w:rFonts w:hint="default" w:ascii="Calibri" w:hAnsi="Calibri" w:cs="Calibri"/>
                <w:color w:val="auto"/>
                <w:vertAlign w:val="baseline"/>
              </w:rPr>
              <w:t>)</w:t>
            </w:r>
          </w:p>
        </w:tc>
        <w:tc>
          <w:tcPr>
            <w:tcW w:w="956" w:type="dxa"/>
            <w:noWrap w:val="0"/>
            <w:vAlign w:val="top"/>
          </w:tcPr>
          <w:p w14:paraId="662C4CA4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0.054</w:t>
            </w:r>
          </w:p>
        </w:tc>
        <w:tc>
          <w:tcPr>
            <w:tcW w:w="1869" w:type="dxa"/>
            <w:noWrap w:val="0"/>
            <w:vAlign w:val="top"/>
          </w:tcPr>
          <w:p w14:paraId="5994338C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color w:val="auto"/>
                <w:vertAlign w:val="baseline"/>
                <w:lang w:val="en-US" w:eastAsia="zh-CN"/>
              </w:rPr>
              <w:t>0.69 (0.51–0.97)</w:t>
            </w:r>
          </w:p>
        </w:tc>
        <w:tc>
          <w:tcPr>
            <w:tcW w:w="951" w:type="dxa"/>
            <w:noWrap w:val="0"/>
            <w:vAlign w:val="top"/>
          </w:tcPr>
          <w:p w14:paraId="6ACDB89C">
            <w:pPr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0.054</w:t>
            </w:r>
          </w:p>
        </w:tc>
      </w:tr>
      <w:tr w14:paraId="65F14B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noWrap w:val="0"/>
            <w:vAlign w:val="top"/>
          </w:tcPr>
          <w:p w14:paraId="6E2B8F6E">
            <w:pPr>
              <w:rPr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>Naive T cells (per 10% increase)</w:t>
            </w:r>
          </w:p>
        </w:tc>
        <w:tc>
          <w:tcPr>
            <w:tcW w:w="1631" w:type="dxa"/>
            <w:noWrap w:val="0"/>
            <w:vAlign w:val="top"/>
          </w:tcPr>
          <w:p w14:paraId="3EFA7774">
            <w:pPr>
              <w:rPr>
                <w:rFonts w:hint="default" w:ascii="Calibri" w:hAnsi="Calibri" w:cs="Calibri"/>
                <w:color w:val="auto"/>
                <w:vertAlign w:val="baseline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</w:rPr>
              <w:t>0.78 (0.60–1.01)</w:t>
            </w:r>
          </w:p>
        </w:tc>
        <w:tc>
          <w:tcPr>
            <w:tcW w:w="956" w:type="dxa"/>
            <w:noWrap w:val="0"/>
            <w:vAlign w:val="top"/>
          </w:tcPr>
          <w:p w14:paraId="3F068BBF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0.060</w:t>
            </w:r>
          </w:p>
        </w:tc>
        <w:tc>
          <w:tcPr>
            <w:tcW w:w="1869" w:type="dxa"/>
            <w:noWrap w:val="0"/>
            <w:vAlign w:val="top"/>
          </w:tcPr>
          <w:p w14:paraId="245B17FF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color w:val="auto"/>
                <w:vertAlign w:val="baseline"/>
                <w:lang w:val="en-US" w:eastAsia="zh-CN"/>
              </w:rPr>
              <w:t>0.84 (0.63–1.11)</w:t>
            </w:r>
          </w:p>
        </w:tc>
        <w:tc>
          <w:tcPr>
            <w:tcW w:w="951" w:type="dxa"/>
            <w:noWrap w:val="0"/>
            <w:vAlign w:val="top"/>
          </w:tcPr>
          <w:p w14:paraId="63E23B9C">
            <w:pPr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0.094</w:t>
            </w:r>
          </w:p>
        </w:tc>
      </w:tr>
      <w:tr w14:paraId="17EFF7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5" w:type="dxa"/>
            <w:noWrap w:val="0"/>
            <w:vAlign w:val="top"/>
          </w:tcPr>
          <w:p w14:paraId="7F8A2BF7">
            <w:pPr>
              <w:rPr>
                <w:rFonts w:hint="eastAsia"/>
                <w:color w:val="auto"/>
                <w:vertAlign w:val="baseline"/>
              </w:rPr>
            </w:pPr>
            <w:r>
              <w:rPr>
                <w:rFonts w:hint="eastAsia"/>
                <w:color w:val="auto"/>
                <w:vertAlign w:val="baseline"/>
              </w:rPr>
              <w:t xml:space="preserve">Activated 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Tregs</w:t>
            </w:r>
            <w:r>
              <w:rPr>
                <w:rFonts w:hint="eastAsia"/>
                <w:color w:val="auto"/>
                <w:vertAlign w:val="baseline"/>
              </w:rPr>
              <w:t xml:space="preserve"> (per 5% increase)</w:t>
            </w:r>
          </w:p>
        </w:tc>
        <w:tc>
          <w:tcPr>
            <w:tcW w:w="1631" w:type="dxa"/>
            <w:noWrap w:val="0"/>
            <w:vAlign w:val="top"/>
          </w:tcPr>
          <w:p w14:paraId="25A7E738">
            <w:pPr>
              <w:rPr>
                <w:rFonts w:hint="default" w:ascii="Calibri" w:hAnsi="Calibri" w:cs="Calibri"/>
                <w:color w:val="auto"/>
                <w:vertAlign w:val="baseline"/>
              </w:rPr>
            </w:pPr>
            <w:r>
              <w:rPr>
                <w:rFonts w:hint="default" w:ascii="Calibri" w:hAnsi="Calibri" w:cs="Calibri"/>
                <w:color w:val="auto"/>
                <w:vertAlign w:val="baseline"/>
              </w:rPr>
              <w:t>1.32 (1.00–1.74)</w:t>
            </w:r>
          </w:p>
        </w:tc>
        <w:tc>
          <w:tcPr>
            <w:tcW w:w="956" w:type="dxa"/>
            <w:noWrap w:val="0"/>
            <w:vAlign w:val="top"/>
          </w:tcPr>
          <w:p w14:paraId="4AAAAAD3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0.057</w:t>
            </w:r>
          </w:p>
        </w:tc>
        <w:tc>
          <w:tcPr>
            <w:tcW w:w="1869" w:type="dxa"/>
            <w:noWrap w:val="0"/>
            <w:vAlign w:val="top"/>
          </w:tcPr>
          <w:p w14:paraId="19ED584A">
            <w:pPr>
              <w:rPr>
                <w:rFonts w:hint="default" w:eastAsia="宋体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eastAsia="宋体"/>
                <w:color w:val="auto"/>
                <w:vertAlign w:val="baseline"/>
                <w:lang w:val="en-US" w:eastAsia="zh-CN"/>
              </w:rPr>
              <w:t>1.26 (1.00–1.59)</w:t>
            </w:r>
          </w:p>
        </w:tc>
        <w:tc>
          <w:tcPr>
            <w:tcW w:w="951" w:type="dxa"/>
            <w:noWrap w:val="0"/>
            <w:vAlign w:val="top"/>
          </w:tcPr>
          <w:p w14:paraId="689A5015">
            <w:pPr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0.071</w:t>
            </w:r>
          </w:p>
        </w:tc>
      </w:tr>
    </w:tbl>
    <w:p w14:paraId="67B66EE9">
      <w:pPr>
        <w:rPr>
          <w:rFonts w:hint="eastAsia"/>
          <w:color w:val="auto"/>
        </w:rPr>
      </w:pPr>
      <w:r>
        <w:rPr>
          <w:rFonts w:hint="eastAsia"/>
          <w:color w:val="auto"/>
        </w:rPr>
        <w:t>This analysis was performed as an exploratory attempt to illustrate directional trends, given the small sample size and low number of events. The model included only IPI score as a covariate; no other clinical variables were adjusted. Results should not be interpreted as definitive evidence of confounding adjustment and require validation in larger cohorts.</w:t>
      </w:r>
    </w:p>
    <w:p w14:paraId="59B64AC5">
      <w:pPr>
        <w:rPr>
          <w:rFonts w:hint="default"/>
          <w:color w:val="auto"/>
          <w:lang w:val="en-US"/>
        </w:rPr>
      </w:pPr>
      <w:r>
        <w:rPr>
          <w:rFonts w:hint="eastAsia"/>
          <w:color w:val="auto"/>
        </w:rPr>
        <w:t>Abbreviations: CI, confidence interval; HR, hazard ratio;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</w:rPr>
        <w:t>IPI, International Prognostic Index</w:t>
      </w:r>
      <w:r>
        <w:rPr>
          <w:rFonts w:hint="eastAsia"/>
          <w:color w:val="auto"/>
          <w:lang w:val="en-US" w:eastAsia="zh-CN"/>
        </w:rPr>
        <w:t xml:space="preserve">; PFS, </w:t>
      </w:r>
      <w:r>
        <w:rPr>
          <w:rFonts w:hint="eastAsia" w:eastAsia="宋体"/>
          <w:color w:val="auto"/>
          <w:lang w:val="en-US" w:eastAsia="zh-CN"/>
        </w:rPr>
        <w:t>progression-free survival</w:t>
      </w:r>
      <w:r>
        <w:rPr>
          <w:rFonts w:hint="eastAsia"/>
          <w:color w:val="auto"/>
          <w:lang w:val="en-US" w:eastAsia="zh-CN"/>
        </w:rPr>
        <w:t>; Tregs, regulatory T cells.</w:t>
      </w:r>
    </w:p>
    <w:p w14:paraId="3D9A2DFC">
      <w:pPr>
        <w:rPr>
          <w:rFonts w:hint="default" w:ascii="Calibri" w:hAnsi="Calibri" w:cs="Calibri"/>
          <w:b/>
          <w:bCs/>
          <w:color w:val="auto"/>
          <w:lang w:eastAsia="zh-CN"/>
        </w:rPr>
      </w:pPr>
      <w:bookmarkStart w:id="0" w:name="_GoBack"/>
      <w:bookmarkEnd w:id="0"/>
    </w:p>
    <w:p w14:paraId="42AD0640">
      <w:pPr>
        <w:rPr>
          <w:rFonts w:hint="eastAsia" w:cs="Calibri"/>
          <w:b/>
          <w:bCs/>
          <w:color w:val="auto"/>
          <w:lang w:val="en-US" w:eastAsia="zh-CN"/>
        </w:rPr>
      </w:pPr>
      <w:r>
        <w:rPr>
          <w:rFonts w:hint="default" w:ascii="Calibri" w:hAnsi="Calibri" w:cs="Calibri"/>
          <w:b/>
          <w:bCs/>
          <w:color w:val="auto"/>
          <w:lang w:eastAsia="zh-CN"/>
        </w:rPr>
        <w:t>Supplemental Methods</w:t>
      </w:r>
      <w:r>
        <w:rPr>
          <w:rFonts w:hint="eastAsia" w:cs="Calibri"/>
          <w:b/>
          <w:bCs/>
          <w:color w:val="auto"/>
          <w:lang w:val="en-US" w:eastAsia="zh-CN"/>
        </w:rPr>
        <w:t xml:space="preserve">: </w:t>
      </w:r>
    </w:p>
    <w:p w14:paraId="072A3FA2">
      <w:pPr>
        <w:rPr>
          <w:rFonts w:hint="default" w:ascii="Calibri" w:hAnsi="Calibri" w:cs="Calibri"/>
          <w:b/>
          <w:bCs/>
          <w:color w:val="auto"/>
          <w:lang w:val="en-US" w:eastAsia="zh-CN"/>
        </w:rPr>
      </w:pPr>
      <w:r>
        <w:rPr>
          <w:rFonts w:hint="default" w:ascii="Calibri" w:hAnsi="Calibri" w:cs="Calibri"/>
          <w:b/>
          <w:bCs/>
          <w:color w:val="auto"/>
          <w:lang w:val="en-US" w:eastAsia="zh-CN"/>
        </w:rPr>
        <w:t>Detailed gating strategies for immune cell subsets:</w:t>
      </w:r>
    </w:p>
    <w:p w14:paraId="53C20431">
      <w:pPr>
        <w:rPr>
          <w:rFonts w:hint="default" w:ascii="Calibri" w:hAnsi="Calibri" w:cs="Calibri"/>
          <w:b w:val="0"/>
          <w:bCs w:val="0"/>
          <w:color w:val="auto"/>
          <w:lang w:val="en-US" w:eastAsia="zh-CN"/>
        </w:rPr>
      </w:pPr>
      <w:r>
        <w:rPr>
          <w:rFonts w:hint="default" w:ascii="Calibri" w:hAnsi="Calibri" w:cs="Calibri"/>
          <w:b w:val="0"/>
          <w:bCs w:val="0"/>
          <w:color w:val="auto"/>
          <w:lang w:val="en-US" w:eastAsia="zh-CN"/>
        </w:rPr>
        <w:t>Lymphocytes were first gated based on forward scatter (FSC-A) and side scatter (SSC-A) characteristics, followed by doublet exclusion using FSC-H vs. FSC-A. CD3+ T lymphocytes were identified using CD3 expression. For CD4+ and CD8+ T cell subsets, cells were gated on CD3+ lymphocytes and then separated by CD4 vs. CD8 expression.</w:t>
      </w:r>
    </w:p>
    <w:p w14:paraId="1B6D96B9">
      <w:pPr>
        <w:rPr>
          <w:rFonts w:hint="default" w:ascii="Calibri" w:hAnsi="Calibri" w:cs="Calibri"/>
          <w:b w:val="0"/>
          <w:bCs w:val="0"/>
          <w:color w:val="auto"/>
          <w:lang w:val="en-US" w:eastAsia="zh-CN"/>
        </w:rPr>
      </w:pPr>
      <w:r>
        <w:rPr>
          <w:rFonts w:hint="default" w:ascii="Calibri" w:hAnsi="Calibri" w:cs="Calibri"/>
          <w:b w:val="0"/>
          <w:bCs w:val="0"/>
          <w:color w:val="auto"/>
          <w:lang w:val="en-US" w:eastAsia="zh-CN"/>
        </w:rPr>
        <w:t>Naive T cells were defined as CD3+CD45RA+CD62L+. Central memory T cells (Tcm) were defined as CD3+CD45RA−CD62L+. Effector memory T cells (Tem) were defined as CD3+CD45RA−CD62L−.</w:t>
      </w:r>
    </w:p>
    <w:p w14:paraId="6F969303">
      <w:pPr>
        <w:rPr>
          <w:rFonts w:hint="default" w:ascii="Calibri" w:hAnsi="Calibri" w:cs="Calibri"/>
          <w:b w:val="0"/>
          <w:bCs w:val="0"/>
          <w:color w:val="auto"/>
          <w:lang w:val="en-US" w:eastAsia="zh-CN"/>
        </w:rPr>
      </w:pPr>
      <w:r>
        <w:rPr>
          <w:rFonts w:hint="default" w:ascii="Calibri" w:hAnsi="Calibri" w:cs="Calibri"/>
          <w:b w:val="0"/>
          <w:bCs w:val="0"/>
          <w:color w:val="auto"/>
          <w:lang w:val="en-US" w:eastAsia="zh-CN"/>
        </w:rPr>
        <w:t>Regulatory T cells (Tregs) were identified as CD4+CD25+FoxP3+ within the CD4+ T cell gate. Activated Tregs were further defined as CD4+CD25+FoxP3+CD45RA− within the Treg gate.</w:t>
      </w:r>
    </w:p>
    <w:p w14:paraId="5D47454D">
      <w:pPr>
        <w:rPr>
          <w:rFonts w:hint="default" w:ascii="Calibri" w:hAnsi="Calibri" w:cs="Calibri"/>
          <w:b w:val="0"/>
          <w:bCs w:val="0"/>
          <w:color w:val="auto"/>
          <w:lang w:val="en-US" w:eastAsia="zh-CN"/>
        </w:rPr>
      </w:pPr>
      <w:r>
        <w:rPr>
          <w:rFonts w:hint="default" w:ascii="Calibri" w:hAnsi="Calibri" w:cs="Calibri"/>
          <w:b w:val="0"/>
          <w:bCs w:val="0"/>
          <w:color w:val="auto"/>
          <w:lang w:val="en-US" w:eastAsia="zh-CN"/>
        </w:rPr>
        <w:t>PD-1 expression was assessed on CD3+ T lymphocytes.</w:t>
      </w:r>
    </w:p>
    <w:p w14:paraId="005CC178">
      <w:pPr>
        <w:rPr>
          <w:rFonts w:hint="default" w:ascii="Calibri" w:hAnsi="Calibri" w:cs="Calibri"/>
          <w:b w:val="0"/>
          <w:bCs w:val="0"/>
          <w:color w:val="auto"/>
          <w:lang w:val="en-US" w:eastAsia="zh-CN"/>
        </w:rPr>
      </w:pPr>
      <w:r>
        <w:rPr>
          <w:rFonts w:hint="default" w:ascii="Calibri" w:hAnsi="Calibri" w:cs="Calibri"/>
          <w:b w:val="0"/>
          <w:bCs w:val="0"/>
          <w:color w:val="auto"/>
          <w:lang w:val="en-US" w:eastAsia="zh-CN"/>
        </w:rPr>
        <w:t>All flow cytometry analyses were performed using standardized clinical protocols on a Beckman CytoFLEX analyzer. Absolute counts were determined using a two-platform method involving a hematology analyzer and flow cytometry.</w:t>
      </w:r>
    </w:p>
    <w:p w14:paraId="3E613715">
      <w:pPr>
        <w:rPr>
          <w:rFonts w:hint="default"/>
          <w:color w:val="auto"/>
          <w:lang w:val="en-US" w:eastAsia="zh-CN"/>
        </w:rPr>
      </w:pPr>
    </w:p>
    <w:p w14:paraId="400BB0F3">
      <w:pPr>
        <w:rPr>
          <w:rFonts w:hint="default"/>
          <w:b/>
          <w:bCs/>
          <w:color w:val="auto"/>
          <w:lang w:val="en-US" w:eastAsia="zh-CN"/>
        </w:rPr>
      </w:pPr>
      <w:r>
        <w:rPr>
          <w:rFonts w:hint="default"/>
          <w:b/>
          <w:bCs/>
          <w:color w:val="auto"/>
          <w:lang w:val="en-US" w:eastAsia="zh-CN"/>
        </w:rPr>
        <w:t>Validation of bispecific CAR functionality</w:t>
      </w:r>
      <w:r>
        <w:rPr>
          <w:rFonts w:hint="eastAsia"/>
          <w:b/>
          <w:bCs/>
          <w:color w:val="auto"/>
          <w:lang w:val="en-US" w:eastAsia="zh-CN"/>
        </w:rPr>
        <w:t>:</w:t>
      </w:r>
    </w:p>
    <w:p w14:paraId="151FDAD1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 xml:space="preserve">To confirm that the CD22 scFv in the tandem CAR2219 construct retains binding activity, we performed co-culture assays using CD19-knockout Raji cells (generated via CRISPR-Cas9). CAR2219-T cells, CD19 CAR-T cells, and mock T cells were co-cultured with target cells at an E:T ratio of 1:1 </w:t>
      </w:r>
      <w:r>
        <w:rPr>
          <w:rFonts w:hint="eastAsia"/>
          <w:color w:val="auto"/>
          <w:lang w:val="en-US" w:eastAsia="zh-CN"/>
        </w:rPr>
        <w:t xml:space="preserve">and 2:1 </w:t>
      </w:r>
      <w:r>
        <w:rPr>
          <w:rFonts w:hint="default"/>
          <w:color w:val="auto"/>
          <w:lang w:val="en-US" w:eastAsia="zh-CN"/>
        </w:rPr>
        <w:t>for 24 hours. CAR2219 demonstrated cytotoxicity against CD19-knockout Raji cells, confirming functional CD22 recognition. Detailed data are available upon request.</w:t>
      </w:r>
    </w:p>
    <w:p w14:paraId="11F99A33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C5C17"/>
    <w:rsid w:val="6A366DF1"/>
    <w:rsid w:val="73FC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220</Words>
  <Characters>1321</Characters>
  <Lines>0</Lines>
  <Paragraphs>0</Paragraphs>
  <TotalTime>0</TotalTime>
  <ScaleCrop>false</ScaleCrop>
  <LinksUpToDate>false</LinksUpToDate>
  <CharactersWithSpaces>1533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2026-05-19T07:49:00Z</dcterms:created>
  <dc:creator>LXD</dc:creator>
  <cp:lastModifiedBy>LXD</cp:lastModifiedBy>
  <dcterms:modified xsi:type="dcterms:W3CDTF">2026-05-20T07:27:03Z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E20BF084A3244032B572D9896CE4E22E_11</vt:lpwstr>
  </property>
  <property fmtid="{D5CDD505-2E9C-101B-9397-08002B2CF9AE}" pid="4" name="KSOTemplateDocerSaveRecord">
    <vt:lpwstr>eyJoZGlkIjoiZGIwYTMxYzhkNTdlOTU0YTQ2YTQ4ZjNjYzFiN2ZjYjMiLCJ1c2VySWQiOiIzNTY5OTU0MTQifQ==</vt:lpwstr>
  </property>
</Properties>
</file>