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21FA" w:rsidRDefault="00A921FA" w:rsidP="00A921FA">
      <w:pPr>
        <w:pStyle w:val="NormalWeb"/>
        <w:widowControl/>
        <w:spacing w:line="480" w:lineRule="auto"/>
        <w:jc w:val="both"/>
        <w:rPr>
          <w:rFonts w:ascii="Times New Roman" w:hAnsi="Times New Roman"/>
          <w:b/>
          <w:bCs/>
        </w:rPr>
      </w:pPr>
      <w:r>
        <w:rPr>
          <w:rFonts w:ascii="Times New Roman" w:hAnsi="Times New Roman"/>
          <w:b/>
          <w:bCs/>
        </w:rPr>
        <w:t xml:space="preserve">Figure S1. Data preprocessing and quality control (QC) metrics for the </w:t>
      </w:r>
      <w:proofErr w:type="spellStart"/>
      <w:r>
        <w:rPr>
          <w:rFonts w:ascii="Times New Roman" w:hAnsi="Times New Roman"/>
          <w:b/>
          <w:bCs/>
        </w:rPr>
        <w:t>scRNA-seq</w:t>
      </w:r>
      <w:proofErr w:type="spellEnd"/>
      <w:r>
        <w:rPr>
          <w:rFonts w:ascii="Times New Roman" w:hAnsi="Times New Roman"/>
          <w:b/>
          <w:bCs/>
        </w:rPr>
        <w:t xml:space="preserve"> dataset GSE205013.</w:t>
      </w:r>
    </w:p>
    <w:p w:rsidR="00A921FA" w:rsidRDefault="00A921FA" w:rsidP="00A921FA">
      <w:pPr>
        <w:pStyle w:val="NormalWeb"/>
        <w:widowControl/>
        <w:spacing w:line="480" w:lineRule="auto"/>
        <w:jc w:val="both"/>
        <w:rPr>
          <w:rFonts w:ascii="Times New Roman" w:hAnsi="Times New Roman"/>
        </w:rPr>
      </w:pPr>
      <w:r>
        <w:rPr>
          <w:rFonts w:ascii="Times New Roman" w:hAnsi="Times New Roman"/>
        </w:rPr>
        <w:t>(A–C) Distribution of QC metrics for the GSE205013 dataset, stratified by tissue origin (A), doublet identification status (B), and sample source (C). (D) Comprehensive QC metrics visualized via violin plots, showing stratified results for the number of detected genes (</w:t>
      </w:r>
      <w:proofErr w:type="spellStart"/>
      <w:r>
        <w:rPr>
          <w:rFonts w:ascii="Times New Roman" w:hAnsi="Times New Roman"/>
        </w:rPr>
        <w:t>nFeature_RNA</w:t>
      </w:r>
      <w:proofErr w:type="spellEnd"/>
      <w:r>
        <w:rPr>
          <w:rFonts w:ascii="Times New Roman" w:hAnsi="Times New Roman"/>
        </w:rPr>
        <w:t>), total UMI counts (</w:t>
      </w:r>
      <w:proofErr w:type="spellStart"/>
      <w:r>
        <w:rPr>
          <w:rFonts w:ascii="Times New Roman" w:hAnsi="Times New Roman"/>
        </w:rPr>
        <w:t>nCount_RNA</w:t>
      </w:r>
      <w:proofErr w:type="spellEnd"/>
      <w:r>
        <w:rPr>
          <w:rFonts w:ascii="Times New Roman" w:hAnsi="Times New Roman"/>
        </w:rPr>
        <w:t>), and the percentage of mitochondrial (percent.mt), ribosomal (</w:t>
      </w:r>
      <w:proofErr w:type="spellStart"/>
      <w:r>
        <w:rPr>
          <w:rFonts w:ascii="Times New Roman" w:hAnsi="Times New Roman"/>
        </w:rPr>
        <w:t>percent.rp</w:t>
      </w:r>
      <w:proofErr w:type="spellEnd"/>
      <w:r>
        <w:rPr>
          <w:rFonts w:ascii="Times New Roman" w:hAnsi="Times New Roman"/>
        </w:rPr>
        <w:t>), and hemoglobin (</w:t>
      </w:r>
      <w:proofErr w:type="spellStart"/>
      <w:r>
        <w:rPr>
          <w:rFonts w:ascii="Times New Roman" w:hAnsi="Times New Roman"/>
        </w:rPr>
        <w:t>percent.hb</w:t>
      </w:r>
      <w:proofErr w:type="spellEnd"/>
      <w:r>
        <w:rPr>
          <w:rFonts w:ascii="Times New Roman" w:hAnsi="Times New Roman"/>
        </w:rPr>
        <w:t>) genes.</w:t>
      </w:r>
    </w:p>
    <w:p w:rsidR="00A921FA" w:rsidRDefault="00A921FA" w:rsidP="00A921FA">
      <w:pPr>
        <w:pStyle w:val="NormalWeb"/>
        <w:widowControl/>
        <w:spacing w:line="480" w:lineRule="auto"/>
        <w:jc w:val="both"/>
        <w:rPr>
          <w:rFonts w:ascii="Times New Roman" w:hAnsi="Times New Roman"/>
          <w:b/>
          <w:bCs/>
        </w:rPr>
      </w:pPr>
      <w:r>
        <w:rPr>
          <w:rFonts w:ascii="Times New Roman" w:hAnsi="Times New Roman"/>
          <w:b/>
          <w:bCs/>
        </w:rPr>
        <w:t xml:space="preserve">Figure S2. </w:t>
      </w:r>
      <w:proofErr w:type="gramStart"/>
      <w:r>
        <w:rPr>
          <w:rFonts w:ascii="Times New Roman" w:hAnsi="Times New Roman"/>
          <w:b/>
          <w:bCs/>
        </w:rPr>
        <w:t xml:space="preserve">Heterogeneous distribution and clinical validation of malignant </w:t>
      </w:r>
      <w:proofErr w:type="spellStart"/>
      <w:r>
        <w:rPr>
          <w:rFonts w:ascii="Times New Roman" w:hAnsi="Times New Roman"/>
          <w:b/>
          <w:bCs/>
        </w:rPr>
        <w:t>subclusters</w:t>
      </w:r>
      <w:proofErr w:type="spellEnd"/>
      <w:r>
        <w:rPr>
          <w:rFonts w:ascii="Times New Roman" w:hAnsi="Times New Roman"/>
          <w:b/>
          <w:bCs/>
        </w:rPr>
        <w:t>.</w:t>
      </w:r>
      <w:proofErr w:type="gramEnd"/>
    </w:p>
    <w:p w:rsidR="00A921FA" w:rsidRDefault="00A921FA" w:rsidP="00A921FA">
      <w:pPr>
        <w:pStyle w:val="NormalWeb"/>
        <w:widowControl/>
        <w:spacing w:line="480" w:lineRule="auto"/>
        <w:jc w:val="both"/>
        <w:rPr>
          <w:rFonts w:ascii="Times New Roman" w:hAnsi="Times New Roman"/>
        </w:rPr>
      </w:pPr>
      <w:r>
        <w:rPr>
          <w:rFonts w:ascii="Times New Roman" w:hAnsi="Times New Roman"/>
        </w:rPr>
        <w:t xml:space="preserve">(A) Stacked bar plots quantitatively comparing the proportions of malignant </w:t>
      </w:r>
      <w:proofErr w:type="spellStart"/>
      <w:r>
        <w:rPr>
          <w:rFonts w:ascii="Times New Roman" w:hAnsi="Times New Roman"/>
        </w:rPr>
        <w:t>subclusters</w:t>
      </w:r>
      <w:proofErr w:type="spellEnd"/>
      <w:r>
        <w:rPr>
          <w:rFonts w:ascii="Times New Roman" w:hAnsi="Times New Roman"/>
        </w:rPr>
        <w:t xml:space="preserve"> between primary PDAC and liver metastasis. (B) Correlation matrix </w:t>
      </w:r>
      <w:proofErr w:type="spellStart"/>
      <w:r>
        <w:rPr>
          <w:rFonts w:ascii="Times New Roman" w:hAnsi="Times New Roman"/>
        </w:rPr>
        <w:t>heatmap</w:t>
      </w:r>
      <w:proofErr w:type="spellEnd"/>
      <w:r>
        <w:rPr>
          <w:rFonts w:ascii="Times New Roman" w:hAnsi="Times New Roman"/>
        </w:rPr>
        <w:t xml:space="preserve"> showing the </w:t>
      </w:r>
      <w:proofErr w:type="spellStart"/>
      <w:r>
        <w:rPr>
          <w:rFonts w:ascii="Times New Roman" w:hAnsi="Times New Roman"/>
        </w:rPr>
        <w:t>transcriptomic</w:t>
      </w:r>
      <w:proofErr w:type="spellEnd"/>
      <w:r>
        <w:rPr>
          <w:rFonts w:ascii="Times New Roman" w:hAnsi="Times New Roman"/>
        </w:rPr>
        <w:t xml:space="preserve"> association between signature scores of the four malignant </w:t>
      </w:r>
      <w:proofErr w:type="spellStart"/>
      <w:r>
        <w:rPr>
          <w:rFonts w:ascii="Times New Roman" w:hAnsi="Times New Roman"/>
        </w:rPr>
        <w:t>subclusters</w:t>
      </w:r>
      <w:proofErr w:type="spellEnd"/>
      <w:r>
        <w:rPr>
          <w:rFonts w:ascii="Times New Roman" w:hAnsi="Times New Roman"/>
        </w:rPr>
        <w:t xml:space="preserve"> (SRGN_MC1, TSPAN1_MC2, AKR1C2_MC3, and SERPINA3_MC4). (C) Kaplan-Meier curves assessing the prognostic impact of SRGN_MC1, AKR1C2_MC3, and SERPINA3_MC4 enrichment on overall survival using the TCGA-PAAD dataset. (D) Ridge plots showing the distribution and enrichment differences of these </w:t>
      </w:r>
      <w:proofErr w:type="spellStart"/>
      <w:r>
        <w:rPr>
          <w:rFonts w:ascii="Times New Roman" w:hAnsi="Times New Roman"/>
        </w:rPr>
        <w:t>subclusters</w:t>
      </w:r>
      <w:proofErr w:type="spellEnd"/>
      <w:r>
        <w:rPr>
          <w:rFonts w:ascii="Times New Roman" w:hAnsi="Times New Roman"/>
        </w:rPr>
        <w:t xml:space="preserve"> across different clinical M-stages.</w:t>
      </w:r>
    </w:p>
    <w:p w:rsidR="00A921FA" w:rsidRDefault="00A921FA" w:rsidP="00A921FA">
      <w:pPr>
        <w:pStyle w:val="NormalWeb"/>
        <w:widowControl/>
        <w:spacing w:line="480" w:lineRule="auto"/>
        <w:jc w:val="both"/>
        <w:rPr>
          <w:rFonts w:ascii="Times New Roman" w:hAnsi="Times New Roman"/>
          <w:b/>
          <w:bCs/>
        </w:rPr>
      </w:pPr>
      <w:r>
        <w:rPr>
          <w:rFonts w:ascii="Times New Roman" w:hAnsi="Times New Roman"/>
          <w:b/>
          <w:bCs/>
        </w:rPr>
        <w:t xml:space="preserve">Figure S3. </w:t>
      </w:r>
      <w:proofErr w:type="gramStart"/>
      <w:r>
        <w:rPr>
          <w:rFonts w:ascii="Times New Roman" w:hAnsi="Times New Roman"/>
          <w:b/>
          <w:bCs/>
        </w:rPr>
        <w:t>Functional validation, clinical evolution, and immunotherapy predictive value of LMICs.</w:t>
      </w:r>
      <w:proofErr w:type="gramEnd"/>
    </w:p>
    <w:p w:rsidR="00A921FA" w:rsidRDefault="00A921FA" w:rsidP="00A921FA">
      <w:pPr>
        <w:pStyle w:val="NormalWeb"/>
        <w:widowControl/>
        <w:spacing w:line="480" w:lineRule="auto"/>
        <w:jc w:val="both"/>
        <w:rPr>
          <w:rFonts w:ascii="Times New Roman" w:hAnsi="Times New Roman"/>
        </w:rPr>
      </w:pPr>
      <w:r>
        <w:rPr>
          <w:rFonts w:ascii="Times New Roman" w:hAnsi="Times New Roman"/>
        </w:rPr>
        <w:t xml:space="preserve">(A) Global UMAP projections of the integrated dataset, colored by tissue origin. (B) Global UMAP projections of the integrated dataset, colored by cell clusters. (C-D) UMAP feature plots showing </w:t>
      </w:r>
      <w:proofErr w:type="spellStart"/>
      <w:r>
        <w:rPr>
          <w:rFonts w:ascii="Times New Roman" w:hAnsi="Times New Roman"/>
        </w:rPr>
        <w:t>AUCell</w:t>
      </w:r>
      <w:proofErr w:type="spellEnd"/>
      <w:r>
        <w:rPr>
          <w:rFonts w:ascii="Times New Roman" w:hAnsi="Times New Roman"/>
        </w:rPr>
        <w:t xml:space="preserve"> scores for stem cell development (C) and </w:t>
      </w:r>
      <w:proofErr w:type="spellStart"/>
      <w:r>
        <w:rPr>
          <w:rFonts w:ascii="Times New Roman" w:hAnsi="Times New Roman"/>
        </w:rPr>
        <w:t>scTour</w:t>
      </w:r>
      <w:proofErr w:type="spellEnd"/>
      <w:r>
        <w:rPr>
          <w:rFonts w:ascii="Times New Roman" w:hAnsi="Times New Roman"/>
        </w:rPr>
        <w:t xml:space="preserve"> score (D). Dashed circles indicate the LMIC population. (E) Monocle 2 trajectory of malignant cells, colored by tissue origin, </w:t>
      </w:r>
      <w:proofErr w:type="spellStart"/>
      <w:r>
        <w:rPr>
          <w:rFonts w:ascii="Times New Roman" w:hAnsi="Times New Roman"/>
        </w:rPr>
        <w:t>subcluster</w:t>
      </w:r>
      <w:proofErr w:type="spellEnd"/>
      <w:r>
        <w:rPr>
          <w:rFonts w:ascii="Times New Roman" w:hAnsi="Times New Roman"/>
        </w:rPr>
        <w:t xml:space="preserve">, and </w:t>
      </w:r>
      <w:proofErr w:type="spellStart"/>
      <w:r>
        <w:rPr>
          <w:rFonts w:ascii="Times New Roman" w:hAnsi="Times New Roman"/>
        </w:rPr>
        <w:t>pseudotime</w:t>
      </w:r>
      <w:proofErr w:type="spellEnd"/>
      <w:r>
        <w:rPr>
          <w:rFonts w:ascii="Times New Roman" w:hAnsi="Times New Roman"/>
        </w:rPr>
        <w:t xml:space="preserve">. (F) Ridge plots comparing GSVA scores of LMICs </w:t>
      </w:r>
      <w:r>
        <w:rPr>
          <w:rFonts w:ascii="Times New Roman" w:hAnsi="Times New Roman"/>
        </w:rPr>
        <w:lastRenderedPageBreak/>
        <w:t xml:space="preserve">across histological grades (G1–G3) in the TCGA-PAAD (top) and E-MTAB-6134 (bottom) cohorts. (G) Dot plots showing correlations between LMIC scores and immune checkpoint expression in liver metastasis, primary tumors, and normal pancreas. (H) Correlation of LMIC scores with ESTIMATE scores (left) and immune cell proportions inferred by </w:t>
      </w:r>
      <w:proofErr w:type="spellStart"/>
      <w:r>
        <w:rPr>
          <w:rFonts w:ascii="Times New Roman" w:hAnsi="Times New Roman"/>
        </w:rPr>
        <w:t>quantiseq</w:t>
      </w:r>
      <w:proofErr w:type="spellEnd"/>
      <w:r>
        <w:rPr>
          <w:rFonts w:ascii="Times New Roman" w:hAnsi="Times New Roman"/>
        </w:rPr>
        <w:t xml:space="preserve"> (right). (I) Kaplan-Meier curves validating the predictive power of LMIC scores for immunotherapy response across three independent cohorts (Braun, IMVigor210, and GSE176307). (J) Ridge plots showing LMIC score distribution between responders (R) and non-responders (NR). (K) Lollipop plot showing correlation coefficients between LMIC scores and steps of the cancer-immune cycle. (L) Forest plot summarizing the prognostic significance (Hazard Ratio) of LMIC scores across multiple independent PDAC clinical datasets.</w:t>
      </w:r>
    </w:p>
    <w:p w:rsidR="00A921FA" w:rsidRDefault="00A921FA" w:rsidP="00A921FA">
      <w:pPr>
        <w:pStyle w:val="NormalWeb"/>
        <w:widowControl/>
        <w:spacing w:line="480" w:lineRule="auto"/>
        <w:jc w:val="both"/>
        <w:rPr>
          <w:rFonts w:ascii="Times New Roman" w:hAnsi="Times New Roman"/>
          <w:b/>
          <w:bCs/>
        </w:rPr>
      </w:pPr>
      <w:r>
        <w:rPr>
          <w:rFonts w:ascii="Times New Roman" w:hAnsi="Times New Roman"/>
          <w:b/>
          <w:bCs/>
        </w:rPr>
        <w:t xml:space="preserve">Figure S4. </w:t>
      </w:r>
      <w:proofErr w:type="gramStart"/>
      <w:r>
        <w:rPr>
          <w:rFonts w:ascii="Times New Roman" w:hAnsi="Times New Roman"/>
          <w:b/>
          <w:bCs/>
        </w:rPr>
        <w:t xml:space="preserve">Multi-view spatial dependency modeling and cellular feature predictors via </w:t>
      </w:r>
      <w:proofErr w:type="spellStart"/>
      <w:r>
        <w:rPr>
          <w:rFonts w:ascii="Times New Roman" w:hAnsi="Times New Roman"/>
          <w:b/>
          <w:bCs/>
        </w:rPr>
        <w:t>MISTy</w:t>
      </w:r>
      <w:proofErr w:type="spellEnd"/>
      <w:r>
        <w:rPr>
          <w:rFonts w:ascii="Times New Roman" w:hAnsi="Times New Roman"/>
          <w:b/>
          <w:bCs/>
        </w:rPr>
        <w:t xml:space="preserve"> analysis.</w:t>
      </w:r>
      <w:proofErr w:type="gramEnd"/>
    </w:p>
    <w:p w:rsidR="00A921FA" w:rsidRDefault="00A921FA" w:rsidP="00A921FA">
      <w:pPr>
        <w:pStyle w:val="NormalWeb"/>
        <w:widowControl/>
        <w:spacing w:line="480" w:lineRule="auto"/>
        <w:jc w:val="both"/>
        <w:rPr>
          <w:rFonts w:ascii="Times New Roman" w:hAnsi="Times New Roman"/>
        </w:rPr>
      </w:pPr>
      <w:r>
        <w:rPr>
          <w:rFonts w:ascii="Times New Roman" w:hAnsi="Times New Roman"/>
        </w:rPr>
        <w:t xml:space="preserve">(A-B) Multi-view spatial dependency landscapes inferred using the </w:t>
      </w:r>
      <w:proofErr w:type="spellStart"/>
      <w:r>
        <w:rPr>
          <w:rFonts w:ascii="Times New Roman" w:hAnsi="Times New Roman"/>
        </w:rPr>
        <w:t>MISTy</w:t>
      </w:r>
      <w:proofErr w:type="spellEnd"/>
      <w:r>
        <w:rPr>
          <w:rFonts w:ascii="Times New Roman" w:hAnsi="Times New Roman"/>
        </w:rPr>
        <w:t xml:space="preserve"> algorithmic framework across independent spatial </w:t>
      </w:r>
      <w:proofErr w:type="spellStart"/>
      <w:r>
        <w:rPr>
          <w:rFonts w:ascii="Times New Roman" w:hAnsi="Times New Roman"/>
        </w:rPr>
        <w:t>transcriptomic</w:t>
      </w:r>
      <w:proofErr w:type="spellEnd"/>
      <w:r>
        <w:rPr>
          <w:rFonts w:ascii="Times New Roman" w:hAnsi="Times New Roman"/>
        </w:rPr>
        <w:t xml:space="preserve"> slices from liver metastases (A) and matching primary PDAC tissues (B).</w:t>
      </w:r>
    </w:p>
    <w:p w:rsidR="00A921FA" w:rsidRDefault="00A921FA" w:rsidP="00A921FA">
      <w:pPr>
        <w:pStyle w:val="NormalWeb"/>
        <w:widowControl/>
        <w:spacing w:line="480" w:lineRule="auto"/>
        <w:jc w:val="both"/>
        <w:rPr>
          <w:rFonts w:ascii="Times New Roman" w:hAnsi="Times New Roman"/>
          <w:b/>
          <w:bCs/>
        </w:rPr>
      </w:pPr>
      <w:r>
        <w:rPr>
          <w:rFonts w:ascii="Times New Roman" w:hAnsi="Times New Roman"/>
          <w:b/>
          <w:bCs/>
        </w:rPr>
        <w:t xml:space="preserve">Figure S5. </w:t>
      </w:r>
      <w:proofErr w:type="gramStart"/>
      <w:r>
        <w:rPr>
          <w:rFonts w:ascii="Times New Roman" w:hAnsi="Times New Roman"/>
          <w:b/>
          <w:bCs/>
        </w:rPr>
        <w:t>Multidimensional validation of the SEMA3A-NRP1 axis in CAF-LMIC communication.</w:t>
      </w:r>
      <w:proofErr w:type="gramEnd"/>
    </w:p>
    <w:p w:rsidR="00A921FA" w:rsidRDefault="00A921FA" w:rsidP="00A921FA">
      <w:pPr>
        <w:pStyle w:val="NormalWeb"/>
        <w:widowControl/>
        <w:spacing w:line="480" w:lineRule="auto"/>
        <w:jc w:val="both"/>
        <w:rPr>
          <w:rFonts w:ascii="Times New Roman" w:hAnsi="Times New Roman"/>
        </w:rPr>
      </w:pPr>
      <w:r>
        <w:rPr>
          <w:rFonts w:ascii="Times New Roman" w:hAnsi="Times New Roman"/>
        </w:rPr>
        <w:t xml:space="preserve">(A) Global TME interaction networks inferred by </w:t>
      </w:r>
      <w:proofErr w:type="spellStart"/>
      <w:r>
        <w:rPr>
          <w:rFonts w:ascii="Times New Roman" w:hAnsi="Times New Roman"/>
        </w:rPr>
        <w:t>CellChat</w:t>
      </w:r>
      <w:proofErr w:type="spellEnd"/>
      <w:r>
        <w:rPr>
          <w:rFonts w:ascii="Times New Roman" w:hAnsi="Times New Roman"/>
        </w:rPr>
        <w:t xml:space="preserve">, showing the number of interactions (left) and interaction weights (right). (B) Ligand-receptor networks of the SEMA3A-NRP1 pair. (C) Boxplots validating differential SEMA3A expression in fibroblasts between primary and metastatic sites (GSE197177 and GSE205013). (D) Dot plots showing differential ligand-receptor patterns with endothelial cells (left) or CAFs (right) as senders </w:t>
      </w:r>
      <w:r>
        <w:rPr>
          <w:rFonts w:ascii="Times New Roman" w:hAnsi="Times New Roman"/>
        </w:rPr>
        <w:lastRenderedPageBreak/>
        <w:t xml:space="preserve">and various epithelial </w:t>
      </w:r>
      <w:proofErr w:type="spellStart"/>
      <w:r>
        <w:rPr>
          <w:rFonts w:ascii="Times New Roman" w:hAnsi="Times New Roman"/>
        </w:rPr>
        <w:t>subclusters</w:t>
      </w:r>
      <w:proofErr w:type="spellEnd"/>
      <w:r>
        <w:rPr>
          <w:rFonts w:ascii="Times New Roman" w:hAnsi="Times New Roman"/>
        </w:rPr>
        <w:t xml:space="preserve"> as receivers. (E) Lollipop plot showing co-expression correlations between SEMA3A and stromal remodeling markers. (F) Correlation </w:t>
      </w:r>
      <w:proofErr w:type="spellStart"/>
      <w:r>
        <w:rPr>
          <w:rFonts w:ascii="Times New Roman" w:hAnsi="Times New Roman"/>
        </w:rPr>
        <w:t>heatmap</w:t>
      </w:r>
      <w:proofErr w:type="spellEnd"/>
      <w:r>
        <w:rPr>
          <w:rFonts w:ascii="Times New Roman" w:hAnsi="Times New Roman"/>
        </w:rPr>
        <w:t xml:space="preserve"> assessing SEMA3A levels with stromal scores and CAF infiltration across multiple PDAC cohorts. (G) Violin plot comparing SEMA3A transcript levels between PDAC tumors and normal tissues. (H) Scatter plot revealing the spatial expression correlation between SEMA3A and NRP1 in pan-cancer spatial </w:t>
      </w:r>
      <w:proofErr w:type="spellStart"/>
      <w:r>
        <w:rPr>
          <w:rFonts w:ascii="Times New Roman" w:hAnsi="Times New Roman"/>
        </w:rPr>
        <w:t>transcriptomic</w:t>
      </w:r>
      <w:proofErr w:type="spellEnd"/>
      <w:r>
        <w:rPr>
          <w:rFonts w:ascii="Times New Roman" w:hAnsi="Times New Roman"/>
        </w:rPr>
        <w:t xml:space="preserve"> data. (I–J) </w:t>
      </w:r>
      <w:proofErr w:type="gramStart"/>
      <w:r>
        <w:rPr>
          <w:rFonts w:ascii="Times New Roman" w:hAnsi="Times New Roman"/>
        </w:rPr>
        <w:t>Correlation between ligand (I) or receptor (J) expression and 14 oncogenic functional hallmarks.</w:t>
      </w:r>
      <w:proofErr w:type="gramEnd"/>
    </w:p>
    <w:p w:rsidR="00A921FA" w:rsidRDefault="00A921FA" w:rsidP="00A921FA">
      <w:pPr>
        <w:pStyle w:val="NormalWeb"/>
        <w:widowControl/>
        <w:spacing w:line="480" w:lineRule="auto"/>
        <w:jc w:val="both"/>
        <w:rPr>
          <w:rFonts w:ascii="Times New Roman" w:hAnsi="Times New Roman"/>
          <w:b/>
          <w:bCs/>
        </w:rPr>
      </w:pPr>
      <w:r>
        <w:rPr>
          <w:rFonts w:ascii="Times New Roman" w:hAnsi="Times New Roman"/>
          <w:b/>
          <w:bCs/>
        </w:rPr>
        <w:t xml:space="preserve">Figure S6. </w:t>
      </w:r>
      <w:proofErr w:type="gramStart"/>
      <w:r>
        <w:rPr>
          <w:rFonts w:ascii="Times New Roman" w:hAnsi="Times New Roman"/>
          <w:b/>
          <w:bCs/>
        </w:rPr>
        <w:t>Pan-cancer expression landscape and lineage localization of SEMA3A and NRP1.</w:t>
      </w:r>
      <w:proofErr w:type="gramEnd"/>
    </w:p>
    <w:p w:rsidR="00A921FA" w:rsidRDefault="00A921FA" w:rsidP="00A921FA">
      <w:pPr>
        <w:pStyle w:val="NormalWeb"/>
        <w:widowControl/>
        <w:spacing w:line="480" w:lineRule="auto"/>
        <w:jc w:val="both"/>
        <w:rPr>
          <w:rFonts w:ascii="Times New Roman" w:hAnsi="Times New Roman"/>
        </w:rPr>
      </w:pPr>
      <w:r>
        <w:rPr>
          <w:rFonts w:ascii="Times New Roman" w:hAnsi="Times New Roman"/>
        </w:rPr>
        <w:t xml:space="preserve">(A, C) </w:t>
      </w:r>
      <w:proofErr w:type="gramStart"/>
      <w:r>
        <w:rPr>
          <w:rFonts w:ascii="Times New Roman" w:hAnsi="Times New Roman"/>
        </w:rPr>
        <w:t>Sex-stratified pan-cancer differential expression analysis of SEMA3A (A) and NRP1 (C) between tumor and normal tissues across various organs.</w:t>
      </w:r>
      <w:proofErr w:type="gramEnd"/>
      <w:r>
        <w:rPr>
          <w:rFonts w:ascii="Times New Roman" w:hAnsi="Times New Roman"/>
        </w:rPr>
        <w:t xml:space="preserve"> (B, D) </w:t>
      </w:r>
      <w:proofErr w:type="gramStart"/>
      <w:r>
        <w:rPr>
          <w:rFonts w:ascii="Times New Roman" w:hAnsi="Times New Roman"/>
        </w:rPr>
        <w:t xml:space="preserve">Pan-cancer single-cell </w:t>
      </w:r>
      <w:proofErr w:type="spellStart"/>
      <w:r>
        <w:rPr>
          <w:rFonts w:ascii="Times New Roman" w:hAnsi="Times New Roman"/>
        </w:rPr>
        <w:t>heatmaps</w:t>
      </w:r>
      <w:proofErr w:type="spellEnd"/>
      <w:r>
        <w:rPr>
          <w:rFonts w:ascii="Times New Roman" w:hAnsi="Times New Roman"/>
        </w:rPr>
        <w:t xml:space="preserve"> visualizing the lineage-specific localization of SEMA3A (B) and NRP1 (D) across different malignancies and their microenvironments.</w:t>
      </w:r>
      <w:proofErr w:type="gramEnd"/>
    </w:p>
    <w:p w:rsidR="00A921FA" w:rsidRDefault="00A921FA" w:rsidP="00A921FA">
      <w:pPr>
        <w:pStyle w:val="NormalWeb"/>
        <w:widowControl/>
        <w:spacing w:line="480" w:lineRule="auto"/>
        <w:jc w:val="both"/>
        <w:rPr>
          <w:rFonts w:ascii="Times New Roman" w:hAnsi="Times New Roman"/>
          <w:b/>
          <w:bCs/>
        </w:rPr>
      </w:pPr>
      <w:r>
        <w:rPr>
          <w:rFonts w:ascii="Times New Roman" w:hAnsi="Times New Roman"/>
          <w:b/>
          <w:bCs/>
        </w:rPr>
        <w:t xml:space="preserve">Figure S7. </w:t>
      </w:r>
      <w:proofErr w:type="gramStart"/>
      <w:r>
        <w:rPr>
          <w:rFonts w:ascii="Times New Roman" w:hAnsi="Times New Roman"/>
          <w:b/>
          <w:bCs/>
        </w:rPr>
        <w:t>YY1 regulatory network in LMIC.</w:t>
      </w:r>
      <w:proofErr w:type="gramEnd"/>
    </w:p>
    <w:p w:rsidR="00A921FA" w:rsidRDefault="00A921FA" w:rsidP="00A921FA">
      <w:pPr>
        <w:pStyle w:val="NormalWeb"/>
        <w:widowControl/>
        <w:spacing w:line="480" w:lineRule="auto"/>
        <w:jc w:val="both"/>
        <w:rPr>
          <w:rFonts w:ascii="Times New Roman" w:hAnsi="Times New Roman"/>
        </w:rPr>
      </w:pPr>
      <w:r>
        <w:rPr>
          <w:rFonts w:ascii="Times New Roman" w:hAnsi="Times New Roman"/>
        </w:rPr>
        <w:t xml:space="preserve">(A) Correlation network between YY1 </w:t>
      </w:r>
      <w:proofErr w:type="spellStart"/>
      <w:r>
        <w:rPr>
          <w:rFonts w:ascii="Times New Roman" w:hAnsi="Times New Roman"/>
        </w:rPr>
        <w:t>DoRothEA</w:t>
      </w:r>
      <w:proofErr w:type="spellEnd"/>
      <w:r>
        <w:rPr>
          <w:rFonts w:ascii="Times New Roman" w:hAnsi="Times New Roman"/>
        </w:rPr>
        <w:t xml:space="preserve"> activity scores and oncogenic pathways (PI3K-AKT, EMT, WNT, TGF-β, and </w:t>
      </w:r>
      <w:proofErr w:type="spellStart"/>
      <w:r>
        <w:rPr>
          <w:rFonts w:ascii="Times New Roman" w:hAnsi="Times New Roman"/>
        </w:rPr>
        <w:t>stemness</w:t>
      </w:r>
      <w:proofErr w:type="spellEnd"/>
      <w:r>
        <w:rPr>
          <w:rFonts w:ascii="Times New Roman" w:hAnsi="Times New Roman"/>
        </w:rPr>
        <w:t xml:space="preserve">) in LMIC. (B) Visualization of the YY1 transcription factor binding motif. (C) Correlation network between the expression of NRP1 and the TF </w:t>
      </w:r>
      <w:proofErr w:type="spellStart"/>
      <w:r>
        <w:rPr>
          <w:rFonts w:ascii="Times New Roman" w:hAnsi="Times New Roman"/>
        </w:rPr>
        <w:t>DoRothEA</w:t>
      </w:r>
      <w:proofErr w:type="spellEnd"/>
      <w:r>
        <w:rPr>
          <w:rFonts w:ascii="Times New Roman" w:hAnsi="Times New Roman"/>
        </w:rPr>
        <w:t xml:space="preserve"> activity. (D) Scatter plots of the correlation between the expression levels of NRP1 and YY1 genes in ICGC, TCGA, and CPTAC datasets.</w:t>
      </w:r>
    </w:p>
    <w:p w:rsidR="00A921FA" w:rsidRDefault="00A921FA" w:rsidP="00A921FA">
      <w:pPr>
        <w:pStyle w:val="NormalWeb"/>
        <w:widowControl/>
        <w:spacing w:line="480" w:lineRule="auto"/>
        <w:jc w:val="both"/>
        <w:rPr>
          <w:rFonts w:ascii="Times New Roman" w:hAnsi="Times New Roman"/>
          <w:b/>
          <w:bCs/>
        </w:rPr>
      </w:pPr>
      <w:r>
        <w:rPr>
          <w:rFonts w:ascii="Times New Roman" w:hAnsi="Times New Roman"/>
          <w:b/>
          <w:bCs/>
        </w:rPr>
        <w:t xml:space="preserve">Figure S8. </w:t>
      </w:r>
      <w:proofErr w:type="gramStart"/>
      <w:r>
        <w:rPr>
          <w:rFonts w:ascii="Times New Roman" w:hAnsi="Times New Roman"/>
          <w:b/>
          <w:bCs/>
        </w:rPr>
        <w:t xml:space="preserve">Multidimensional validation of LMIC identity, tissue preferences, and </w:t>
      </w:r>
      <w:proofErr w:type="spellStart"/>
      <w:r>
        <w:rPr>
          <w:rFonts w:ascii="Times New Roman" w:hAnsi="Times New Roman"/>
          <w:b/>
          <w:bCs/>
        </w:rPr>
        <w:t>pharmacogenomic</w:t>
      </w:r>
      <w:proofErr w:type="spellEnd"/>
      <w:r>
        <w:rPr>
          <w:rFonts w:ascii="Times New Roman" w:hAnsi="Times New Roman"/>
          <w:b/>
          <w:bCs/>
        </w:rPr>
        <w:t xml:space="preserve"> vulnerabilities.</w:t>
      </w:r>
      <w:proofErr w:type="gramEnd"/>
    </w:p>
    <w:p w:rsidR="00A921FA" w:rsidRDefault="00A921FA" w:rsidP="00A921FA">
      <w:pPr>
        <w:pStyle w:val="NormalWeb"/>
        <w:widowControl/>
        <w:spacing w:line="480" w:lineRule="auto"/>
        <w:jc w:val="both"/>
        <w:rPr>
          <w:rFonts w:ascii="Times New Roman" w:hAnsi="Times New Roman"/>
        </w:rPr>
      </w:pPr>
      <w:r>
        <w:rPr>
          <w:rFonts w:ascii="Times New Roman" w:hAnsi="Times New Roman"/>
        </w:rPr>
        <w:lastRenderedPageBreak/>
        <w:t xml:space="preserve">(A) UMAP projection showing the clustering of LMIC, TSPAN1_MC2_Metastasis, TSPAN1_MC2_Primary, and normal epithelial cells. (B) Tissue preference analysis confirming the specific enrichment of LMIC in metastatic tissues. (C) In </w:t>
      </w:r>
      <w:proofErr w:type="spellStart"/>
      <w:r>
        <w:rPr>
          <w:rFonts w:ascii="Times New Roman" w:hAnsi="Times New Roman"/>
        </w:rPr>
        <w:t>silico</w:t>
      </w:r>
      <w:proofErr w:type="spellEnd"/>
      <w:r>
        <w:rPr>
          <w:rFonts w:ascii="Times New Roman" w:hAnsi="Times New Roman"/>
        </w:rPr>
        <w:t xml:space="preserve"> functional dependency screening derived from the </w:t>
      </w:r>
      <w:proofErr w:type="spellStart"/>
      <w:r>
        <w:rPr>
          <w:rFonts w:ascii="Times New Roman" w:hAnsi="Times New Roman"/>
        </w:rPr>
        <w:t>DepMap</w:t>
      </w:r>
      <w:proofErr w:type="spellEnd"/>
      <w:r>
        <w:rPr>
          <w:rFonts w:ascii="Times New Roman" w:hAnsi="Times New Roman"/>
        </w:rPr>
        <w:t xml:space="preserve"> portal across a benchmarking panel of human PDAC cell lines, illustrating the computed essentiality scores for key metabolic regulatory master genes (MAT2A, G6PD, PHGDH, GLS, SLC1A5, ACLY, ACACA, and FASN). The color scale maps individual cell line dependencies, with higher values reflecting robust survival reliance. (D) CRISPR-Cas9-mediated gene effect kinetics across corresponding PDAC cell line for the nominated metabolic and </w:t>
      </w:r>
      <w:proofErr w:type="spellStart"/>
      <w:r>
        <w:rPr>
          <w:rFonts w:ascii="Times New Roman" w:hAnsi="Times New Roman"/>
        </w:rPr>
        <w:t>transcriptomic</w:t>
      </w:r>
      <w:proofErr w:type="spellEnd"/>
      <w:r>
        <w:rPr>
          <w:rFonts w:ascii="Times New Roman" w:hAnsi="Times New Roman"/>
        </w:rPr>
        <w:t xml:space="preserve"> features. More negative fractional values (blue spectrum) indicate significant cell growth arrest, viability loss, or biological lethality following specific gene knockout. (E) Multi-center clinical cohort evaluation mapping the spearman rank correlation landscapes between modeled drug sensitivity (IC50) and matching </w:t>
      </w:r>
      <w:proofErr w:type="spellStart"/>
      <w:r>
        <w:rPr>
          <w:rFonts w:ascii="Times New Roman" w:hAnsi="Times New Roman"/>
        </w:rPr>
        <w:t>transcriptomic</w:t>
      </w:r>
      <w:proofErr w:type="spellEnd"/>
      <w:r>
        <w:rPr>
          <w:rFonts w:ascii="Times New Roman" w:hAnsi="Times New Roman"/>
        </w:rPr>
        <w:t xml:space="preserve"> profiles across 13 independent human PDAC validation datasets. Correlation landscapes are partitioned for the consolidated LMICs score, NRP1 and SEMA3A expression.</w:t>
      </w:r>
    </w:p>
    <w:p w:rsidR="00A921FA" w:rsidRDefault="00A921FA" w:rsidP="00A921FA">
      <w:pPr>
        <w:pStyle w:val="NormalWeb"/>
        <w:widowControl/>
        <w:spacing w:line="480" w:lineRule="auto"/>
        <w:jc w:val="both"/>
        <w:rPr>
          <w:rFonts w:ascii="Times New Roman" w:hAnsi="Times New Roman"/>
          <w:b/>
          <w:bCs/>
        </w:rPr>
      </w:pPr>
      <w:r>
        <w:rPr>
          <w:rFonts w:ascii="Times New Roman" w:hAnsi="Times New Roman"/>
          <w:b/>
          <w:bCs/>
        </w:rPr>
        <w:t xml:space="preserve">Figure S9. </w:t>
      </w:r>
      <w:proofErr w:type="gramStart"/>
      <w:r>
        <w:rPr>
          <w:rFonts w:ascii="Times New Roman" w:hAnsi="Times New Roman"/>
          <w:b/>
          <w:bCs/>
        </w:rPr>
        <w:t>Functional impact of the SEMA3A-NRP1 axis on PDAC cell lines.</w:t>
      </w:r>
      <w:proofErr w:type="gramEnd"/>
    </w:p>
    <w:p w:rsidR="00A921FA" w:rsidRDefault="00A921FA" w:rsidP="00A921FA">
      <w:pPr>
        <w:pStyle w:val="NormalWeb"/>
        <w:widowControl/>
        <w:spacing w:line="480" w:lineRule="auto"/>
        <w:jc w:val="both"/>
        <w:rPr>
          <w:rFonts w:ascii="Times New Roman" w:hAnsi="Times New Roman"/>
        </w:rPr>
      </w:pPr>
      <w:r>
        <w:rPr>
          <w:rFonts w:ascii="Times New Roman" w:hAnsi="Times New Roman"/>
        </w:rPr>
        <w:t xml:space="preserve">(A) Representative wound healing images for NC, OE-NRP1, and OE-SEMA3A groups at multiple time points (0–96h). Scale bar, 500 µm. (B) </w:t>
      </w:r>
      <w:proofErr w:type="spellStart"/>
      <w:r>
        <w:rPr>
          <w:rFonts w:ascii="Times New Roman" w:hAnsi="Times New Roman"/>
        </w:rPr>
        <w:t>Transwell</w:t>
      </w:r>
      <w:proofErr w:type="spellEnd"/>
      <w:r>
        <w:rPr>
          <w:rFonts w:ascii="Times New Roman" w:hAnsi="Times New Roman"/>
        </w:rPr>
        <w:t xml:space="preserve"> invasion images for the corresponding groups. Scale bar, 200 µm.</w:t>
      </w:r>
    </w:p>
    <w:p w:rsidR="00A921FA" w:rsidRDefault="00A921FA" w:rsidP="00A921FA">
      <w:pPr>
        <w:pStyle w:val="NormalWeb"/>
        <w:widowControl/>
        <w:spacing w:line="480" w:lineRule="auto"/>
        <w:jc w:val="both"/>
        <w:rPr>
          <w:rFonts w:ascii="Times New Roman" w:hAnsi="Times New Roman"/>
        </w:rPr>
      </w:pPr>
      <w:proofErr w:type="gramStart"/>
      <w:r>
        <w:rPr>
          <w:rFonts w:ascii="Times New Roman" w:hAnsi="Times New Roman"/>
          <w:b/>
          <w:bCs/>
        </w:rPr>
        <w:t>Supplementary Table 1.</w:t>
      </w:r>
      <w:proofErr w:type="gramEnd"/>
      <w:r>
        <w:rPr>
          <w:rFonts w:ascii="Times New Roman" w:hAnsi="Times New Roman"/>
        </w:rPr>
        <w:t xml:space="preserve"> </w:t>
      </w:r>
    </w:p>
    <w:p w:rsidR="00A921FA" w:rsidRDefault="00A921FA" w:rsidP="00A921FA">
      <w:pPr>
        <w:pStyle w:val="NormalWeb"/>
        <w:widowControl/>
        <w:spacing w:line="480" w:lineRule="auto"/>
        <w:jc w:val="both"/>
        <w:rPr>
          <w:rFonts w:ascii="Times New Roman" w:hAnsi="Times New Roman"/>
        </w:rPr>
      </w:pPr>
      <w:proofErr w:type="gramStart"/>
      <w:r>
        <w:rPr>
          <w:rFonts w:ascii="Times New Roman" w:hAnsi="Times New Roman"/>
        </w:rPr>
        <w:t>Summary of multi-</w:t>
      </w:r>
      <w:proofErr w:type="spellStart"/>
      <w:r>
        <w:rPr>
          <w:rFonts w:ascii="Times New Roman" w:hAnsi="Times New Roman"/>
        </w:rPr>
        <w:t>omic</w:t>
      </w:r>
      <w:proofErr w:type="spellEnd"/>
      <w:r>
        <w:rPr>
          <w:rFonts w:ascii="Times New Roman" w:hAnsi="Times New Roman"/>
        </w:rPr>
        <w:t xml:space="preserve"> PDAC datasets utilized in this study.</w:t>
      </w:r>
      <w:proofErr w:type="gramEnd"/>
    </w:p>
    <w:p w:rsidR="00A921FA" w:rsidRDefault="00A921FA" w:rsidP="00A921FA">
      <w:pPr>
        <w:pStyle w:val="NormalWeb"/>
        <w:widowControl/>
        <w:spacing w:line="480" w:lineRule="auto"/>
        <w:jc w:val="both"/>
        <w:rPr>
          <w:rFonts w:ascii="Times New Roman" w:hAnsi="Times New Roman"/>
          <w:b/>
          <w:bCs/>
        </w:rPr>
      </w:pPr>
      <w:bookmarkStart w:id="0" w:name="_GoBack"/>
      <w:proofErr w:type="gramStart"/>
      <w:r>
        <w:rPr>
          <w:rFonts w:ascii="Times New Roman" w:hAnsi="Times New Roman"/>
          <w:b/>
          <w:bCs/>
        </w:rPr>
        <w:t>Supplementary Table 2.</w:t>
      </w:r>
      <w:proofErr w:type="gramEnd"/>
      <w:r>
        <w:rPr>
          <w:rFonts w:ascii="Times New Roman" w:hAnsi="Times New Roman"/>
          <w:b/>
          <w:bCs/>
        </w:rPr>
        <w:t xml:space="preserve"> </w:t>
      </w:r>
    </w:p>
    <w:p w:rsidR="00A921FA" w:rsidRDefault="00A921FA" w:rsidP="00A921FA">
      <w:pPr>
        <w:pStyle w:val="NormalWeb"/>
        <w:widowControl/>
        <w:spacing w:line="480" w:lineRule="auto"/>
        <w:jc w:val="both"/>
        <w:rPr>
          <w:rFonts w:ascii="Times New Roman" w:hAnsi="Times New Roman"/>
        </w:rPr>
      </w:pPr>
      <w:proofErr w:type="gramStart"/>
      <w:r>
        <w:rPr>
          <w:rFonts w:ascii="Times New Roman" w:hAnsi="Times New Roman"/>
        </w:rPr>
        <w:lastRenderedPageBreak/>
        <w:t>List of characteristic marker genes for the four malignant sub-clusters.</w:t>
      </w:r>
      <w:proofErr w:type="gramEnd"/>
    </w:p>
    <w:p w:rsidR="00A921FA" w:rsidRDefault="00A921FA" w:rsidP="00A921FA">
      <w:pPr>
        <w:pStyle w:val="NormalWeb"/>
        <w:widowControl/>
        <w:spacing w:line="480" w:lineRule="auto"/>
        <w:jc w:val="both"/>
        <w:rPr>
          <w:rFonts w:ascii="Times New Roman" w:hAnsi="Times New Roman"/>
          <w:b/>
          <w:bCs/>
        </w:rPr>
      </w:pPr>
      <w:proofErr w:type="gramStart"/>
      <w:r>
        <w:rPr>
          <w:rFonts w:ascii="Times New Roman" w:hAnsi="Times New Roman"/>
          <w:b/>
          <w:bCs/>
        </w:rPr>
        <w:t>Supplementary Table 3.</w:t>
      </w:r>
      <w:proofErr w:type="gramEnd"/>
      <w:r>
        <w:rPr>
          <w:rFonts w:ascii="Times New Roman" w:hAnsi="Times New Roman"/>
          <w:b/>
          <w:bCs/>
        </w:rPr>
        <w:t xml:space="preserve"> </w:t>
      </w:r>
    </w:p>
    <w:p w:rsidR="00A921FA" w:rsidRDefault="00A921FA" w:rsidP="00A921FA">
      <w:pPr>
        <w:pStyle w:val="NormalWeb"/>
        <w:widowControl/>
        <w:spacing w:line="480" w:lineRule="auto"/>
        <w:jc w:val="both"/>
        <w:rPr>
          <w:rFonts w:ascii="Times New Roman" w:hAnsi="Times New Roman"/>
        </w:rPr>
      </w:pPr>
      <w:r>
        <w:rPr>
          <w:rFonts w:ascii="Times New Roman" w:hAnsi="Times New Roman"/>
        </w:rPr>
        <w:t>Core signature gene set for LMIC.</w:t>
      </w:r>
    </w:p>
    <w:p w:rsidR="00A921FA" w:rsidRDefault="00A921FA" w:rsidP="00A921FA">
      <w:pPr>
        <w:pStyle w:val="NormalWeb"/>
        <w:widowControl/>
        <w:spacing w:line="480" w:lineRule="auto"/>
        <w:jc w:val="both"/>
        <w:rPr>
          <w:rFonts w:ascii="Times New Roman" w:hAnsi="Times New Roman"/>
          <w:b/>
          <w:bCs/>
        </w:rPr>
      </w:pPr>
      <w:proofErr w:type="gramStart"/>
      <w:r>
        <w:rPr>
          <w:rFonts w:ascii="Times New Roman" w:hAnsi="Times New Roman"/>
          <w:b/>
          <w:bCs/>
        </w:rPr>
        <w:t>Supplementary Table 4.</w:t>
      </w:r>
      <w:proofErr w:type="gramEnd"/>
      <w:r>
        <w:rPr>
          <w:rFonts w:ascii="Times New Roman" w:hAnsi="Times New Roman"/>
          <w:b/>
          <w:bCs/>
        </w:rPr>
        <w:t xml:space="preserve"> </w:t>
      </w:r>
    </w:p>
    <w:p w:rsidR="00A921FA" w:rsidRDefault="00A921FA" w:rsidP="00A921FA">
      <w:pPr>
        <w:pStyle w:val="NormalWeb"/>
        <w:widowControl/>
        <w:spacing w:line="480" w:lineRule="auto"/>
        <w:jc w:val="both"/>
        <w:rPr>
          <w:rFonts w:ascii="Times New Roman" w:hAnsi="Times New Roman"/>
        </w:rPr>
      </w:pPr>
      <w:proofErr w:type="gramStart"/>
      <w:r>
        <w:rPr>
          <w:rFonts w:ascii="Times New Roman" w:hAnsi="Times New Roman"/>
        </w:rPr>
        <w:t>Robustness validation of the prognostic value of the LMIC signature via multivariate Cox regression analysis across multiple independent bulk cohorts.</w:t>
      </w:r>
      <w:proofErr w:type="gramEnd"/>
    </w:p>
    <w:p w:rsidR="00A921FA" w:rsidRDefault="00A921FA" w:rsidP="00A921FA">
      <w:pPr>
        <w:pStyle w:val="NormalWeb"/>
        <w:widowControl/>
        <w:spacing w:line="480" w:lineRule="auto"/>
        <w:jc w:val="both"/>
        <w:rPr>
          <w:rFonts w:ascii="Times New Roman" w:hAnsi="Times New Roman"/>
          <w:b/>
          <w:bCs/>
        </w:rPr>
      </w:pPr>
      <w:proofErr w:type="gramStart"/>
      <w:r>
        <w:rPr>
          <w:rFonts w:ascii="Times New Roman" w:hAnsi="Times New Roman"/>
          <w:b/>
          <w:bCs/>
        </w:rPr>
        <w:t>Supplementary Table 5.</w:t>
      </w:r>
      <w:proofErr w:type="gramEnd"/>
      <w:r>
        <w:rPr>
          <w:rFonts w:ascii="Times New Roman" w:hAnsi="Times New Roman"/>
          <w:b/>
          <w:bCs/>
        </w:rPr>
        <w:t xml:space="preserve"> </w:t>
      </w:r>
    </w:p>
    <w:p w:rsidR="00A921FA" w:rsidRDefault="00A921FA" w:rsidP="00A921FA">
      <w:pPr>
        <w:pStyle w:val="NormalWeb"/>
        <w:widowControl/>
        <w:spacing w:line="480" w:lineRule="auto"/>
        <w:rPr>
          <w:rFonts w:ascii="Times New Roman" w:hAnsi="Times New Roman"/>
        </w:rPr>
      </w:pPr>
      <w:r>
        <w:rPr>
          <w:rFonts w:ascii="Times New Roman" w:hAnsi="Times New Roman"/>
        </w:rPr>
        <w:t>Spearman correlation analysis between LMICs score and fibroblasts in the blank rotation sections of primary PDAC and liver metastatic PDAC</w:t>
      </w:r>
    </w:p>
    <w:p w:rsidR="00A921FA" w:rsidRDefault="00A921FA" w:rsidP="00A921FA">
      <w:pPr>
        <w:pStyle w:val="NormalWeb"/>
        <w:widowControl/>
        <w:spacing w:line="480" w:lineRule="auto"/>
        <w:jc w:val="both"/>
        <w:rPr>
          <w:rFonts w:ascii="Times New Roman" w:hAnsi="Times New Roman"/>
        </w:rPr>
      </w:pPr>
      <w:proofErr w:type="gramStart"/>
      <w:r>
        <w:rPr>
          <w:rFonts w:ascii="Times New Roman" w:hAnsi="Times New Roman"/>
          <w:b/>
          <w:bCs/>
        </w:rPr>
        <w:t>Supplementary Table 6.</w:t>
      </w:r>
      <w:proofErr w:type="gramEnd"/>
      <w:r>
        <w:rPr>
          <w:rFonts w:ascii="Times New Roman" w:hAnsi="Times New Roman"/>
        </w:rPr>
        <w:t xml:space="preserve"> </w:t>
      </w:r>
    </w:p>
    <w:p w:rsidR="00A921FA" w:rsidRDefault="00A921FA" w:rsidP="00A921FA">
      <w:pPr>
        <w:pStyle w:val="NormalWeb"/>
        <w:widowControl/>
        <w:spacing w:line="480" w:lineRule="auto"/>
        <w:jc w:val="both"/>
        <w:rPr>
          <w:rFonts w:ascii="Times New Roman" w:hAnsi="Times New Roman"/>
        </w:rPr>
      </w:pPr>
      <w:proofErr w:type="gramStart"/>
      <w:r>
        <w:rPr>
          <w:rFonts w:ascii="Times New Roman" w:hAnsi="Times New Roman"/>
        </w:rPr>
        <w:t>Clinical-pathological correlations of SEMA3A expression across multiple PDAC cohorts.</w:t>
      </w:r>
      <w:proofErr w:type="gramEnd"/>
    </w:p>
    <w:p w:rsidR="00A921FA" w:rsidRDefault="00A921FA" w:rsidP="00A921FA">
      <w:pPr>
        <w:pStyle w:val="NormalWeb"/>
        <w:widowControl/>
        <w:spacing w:line="480" w:lineRule="auto"/>
        <w:jc w:val="both"/>
        <w:rPr>
          <w:rFonts w:ascii="Times New Roman" w:hAnsi="Times New Roman"/>
          <w:b/>
          <w:bCs/>
        </w:rPr>
      </w:pPr>
      <w:proofErr w:type="gramStart"/>
      <w:r>
        <w:rPr>
          <w:rFonts w:ascii="Times New Roman" w:hAnsi="Times New Roman"/>
          <w:b/>
          <w:bCs/>
        </w:rPr>
        <w:t>Supplementary Table 7.</w:t>
      </w:r>
      <w:proofErr w:type="gramEnd"/>
      <w:r>
        <w:rPr>
          <w:rFonts w:ascii="Times New Roman" w:hAnsi="Times New Roman"/>
          <w:b/>
          <w:bCs/>
        </w:rPr>
        <w:t xml:space="preserve"> </w:t>
      </w:r>
    </w:p>
    <w:p w:rsidR="00A921FA" w:rsidRDefault="00A921FA" w:rsidP="00A921FA">
      <w:pPr>
        <w:pStyle w:val="NormalWeb"/>
        <w:widowControl/>
        <w:spacing w:line="480" w:lineRule="auto"/>
        <w:jc w:val="both"/>
        <w:rPr>
          <w:rFonts w:ascii="Times New Roman" w:hAnsi="Times New Roman"/>
        </w:rPr>
      </w:pPr>
      <w:proofErr w:type="gramStart"/>
      <w:r>
        <w:rPr>
          <w:rFonts w:ascii="Times New Roman" w:hAnsi="Times New Roman"/>
        </w:rPr>
        <w:t>Clinical-pathological correlations of NRP1 expression across multiple PDAC cohorts.</w:t>
      </w:r>
      <w:proofErr w:type="gramEnd"/>
    </w:p>
    <w:p w:rsidR="00A921FA" w:rsidRDefault="00A921FA" w:rsidP="00A921FA">
      <w:pPr>
        <w:pStyle w:val="NormalWeb"/>
        <w:widowControl/>
        <w:spacing w:line="480" w:lineRule="auto"/>
        <w:jc w:val="both"/>
        <w:rPr>
          <w:rFonts w:ascii="Times New Roman" w:hAnsi="Times New Roman"/>
          <w:b/>
          <w:bCs/>
        </w:rPr>
      </w:pPr>
      <w:proofErr w:type="gramStart"/>
      <w:r>
        <w:rPr>
          <w:rFonts w:ascii="Times New Roman" w:hAnsi="Times New Roman"/>
          <w:b/>
          <w:bCs/>
        </w:rPr>
        <w:t>Supplementary Table 8.</w:t>
      </w:r>
      <w:proofErr w:type="gramEnd"/>
      <w:r>
        <w:rPr>
          <w:rFonts w:ascii="Times New Roman" w:hAnsi="Times New Roman"/>
          <w:b/>
          <w:bCs/>
        </w:rPr>
        <w:t xml:space="preserve"> </w:t>
      </w:r>
    </w:p>
    <w:p w:rsidR="00A921FA" w:rsidRDefault="00A921FA" w:rsidP="00A921FA">
      <w:pPr>
        <w:pStyle w:val="NormalWeb"/>
        <w:widowControl/>
        <w:spacing w:line="480" w:lineRule="auto"/>
        <w:jc w:val="both"/>
        <w:rPr>
          <w:rFonts w:ascii="Times New Roman" w:hAnsi="Times New Roman"/>
        </w:rPr>
      </w:pPr>
      <w:proofErr w:type="gramStart"/>
      <w:r>
        <w:rPr>
          <w:rFonts w:ascii="Times New Roman" w:hAnsi="Times New Roman"/>
        </w:rPr>
        <w:t>JASPAR-based prediction of YY1 binding sites within the NRP1 promoter region.</w:t>
      </w:r>
      <w:proofErr w:type="gramEnd"/>
    </w:p>
    <w:p w:rsidR="00A921FA" w:rsidRDefault="00A921FA" w:rsidP="00A921FA">
      <w:pPr>
        <w:pStyle w:val="NormalWeb"/>
        <w:widowControl/>
        <w:spacing w:line="480" w:lineRule="auto"/>
        <w:jc w:val="both"/>
        <w:rPr>
          <w:rFonts w:ascii="Times New Roman" w:hAnsi="Times New Roman"/>
        </w:rPr>
      </w:pPr>
      <w:proofErr w:type="gramStart"/>
      <w:r>
        <w:rPr>
          <w:rFonts w:ascii="Times New Roman" w:hAnsi="Times New Roman"/>
          <w:b/>
          <w:bCs/>
        </w:rPr>
        <w:t>Supplementary Table 9.</w:t>
      </w:r>
      <w:proofErr w:type="gramEnd"/>
      <w:r>
        <w:rPr>
          <w:rFonts w:ascii="Times New Roman" w:hAnsi="Times New Roman"/>
        </w:rPr>
        <w:t xml:space="preserve"> </w:t>
      </w:r>
    </w:p>
    <w:p w:rsidR="00A921FA" w:rsidRDefault="00A921FA" w:rsidP="00A921FA">
      <w:pPr>
        <w:pStyle w:val="NormalWeb"/>
        <w:widowControl/>
        <w:spacing w:line="480" w:lineRule="auto"/>
        <w:rPr>
          <w:rFonts w:ascii="Times New Roman" w:hAnsi="Times New Roman"/>
        </w:rPr>
      </w:pPr>
      <w:proofErr w:type="gramStart"/>
      <w:r>
        <w:rPr>
          <w:rFonts w:ascii="Times New Roman" w:hAnsi="Times New Roman"/>
        </w:rPr>
        <w:t xml:space="preserve">Priority list of LMIC-specific sensitive drugs predicted by the </w:t>
      </w:r>
      <w:proofErr w:type="spellStart"/>
      <w:r>
        <w:rPr>
          <w:rFonts w:ascii="Times New Roman" w:hAnsi="Times New Roman"/>
        </w:rPr>
        <w:t>BeyondCell</w:t>
      </w:r>
      <w:proofErr w:type="spellEnd"/>
      <w:r>
        <w:rPr>
          <w:rFonts w:ascii="Times New Roman" w:hAnsi="Times New Roman"/>
        </w:rPr>
        <w:t xml:space="preserve"> algorithm.</w:t>
      </w:r>
      <w:proofErr w:type="gramEnd"/>
    </w:p>
    <w:bookmarkEnd w:id="0"/>
    <w:p w:rsidR="00DB00D5" w:rsidRDefault="00DB00D5"/>
    <w:sectPr w:rsidR="00DB00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18D1"/>
    <w:rsid w:val="0000020B"/>
    <w:rsid w:val="000008DE"/>
    <w:rsid w:val="00000B42"/>
    <w:rsid w:val="00001619"/>
    <w:rsid w:val="0000322D"/>
    <w:rsid w:val="00003434"/>
    <w:rsid w:val="000052D7"/>
    <w:rsid w:val="000068A9"/>
    <w:rsid w:val="00007E01"/>
    <w:rsid w:val="00010BEE"/>
    <w:rsid w:val="00011A48"/>
    <w:rsid w:val="00012237"/>
    <w:rsid w:val="00012B8C"/>
    <w:rsid w:val="00012C61"/>
    <w:rsid w:val="000133F7"/>
    <w:rsid w:val="0001480C"/>
    <w:rsid w:val="00014A88"/>
    <w:rsid w:val="0001521C"/>
    <w:rsid w:val="00016B9E"/>
    <w:rsid w:val="00017D4C"/>
    <w:rsid w:val="0002144D"/>
    <w:rsid w:val="000215F9"/>
    <w:rsid w:val="000218B3"/>
    <w:rsid w:val="00021AF0"/>
    <w:rsid w:val="00022077"/>
    <w:rsid w:val="00022CA5"/>
    <w:rsid w:val="00022DDE"/>
    <w:rsid w:val="0002468F"/>
    <w:rsid w:val="000253B8"/>
    <w:rsid w:val="00025E1F"/>
    <w:rsid w:val="00025F19"/>
    <w:rsid w:val="00026FE8"/>
    <w:rsid w:val="0002729A"/>
    <w:rsid w:val="0002734F"/>
    <w:rsid w:val="00030226"/>
    <w:rsid w:val="00030387"/>
    <w:rsid w:val="00032824"/>
    <w:rsid w:val="00032EFA"/>
    <w:rsid w:val="000331E2"/>
    <w:rsid w:val="00034D6A"/>
    <w:rsid w:val="00035349"/>
    <w:rsid w:val="0003573E"/>
    <w:rsid w:val="00035F24"/>
    <w:rsid w:val="00036684"/>
    <w:rsid w:val="00040729"/>
    <w:rsid w:val="000408A0"/>
    <w:rsid w:val="000411B8"/>
    <w:rsid w:val="00041328"/>
    <w:rsid w:val="0004183D"/>
    <w:rsid w:val="00042CD4"/>
    <w:rsid w:val="000439B8"/>
    <w:rsid w:val="000442C8"/>
    <w:rsid w:val="000449E3"/>
    <w:rsid w:val="00045848"/>
    <w:rsid w:val="00045F7A"/>
    <w:rsid w:val="00045FDC"/>
    <w:rsid w:val="000464E6"/>
    <w:rsid w:val="00046952"/>
    <w:rsid w:val="00050978"/>
    <w:rsid w:val="00050CA4"/>
    <w:rsid w:val="0005234C"/>
    <w:rsid w:val="000526F3"/>
    <w:rsid w:val="000533D6"/>
    <w:rsid w:val="00053408"/>
    <w:rsid w:val="00053C56"/>
    <w:rsid w:val="00054237"/>
    <w:rsid w:val="00055E00"/>
    <w:rsid w:val="00055E70"/>
    <w:rsid w:val="00057FE8"/>
    <w:rsid w:val="00061A62"/>
    <w:rsid w:val="00061DF1"/>
    <w:rsid w:val="00061F62"/>
    <w:rsid w:val="000620E2"/>
    <w:rsid w:val="00063422"/>
    <w:rsid w:val="00065A02"/>
    <w:rsid w:val="00065D2E"/>
    <w:rsid w:val="00065E18"/>
    <w:rsid w:val="000662F8"/>
    <w:rsid w:val="000673F2"/>
    <w:rsid w:val="00070108"/>
    <w:rsid w:val="00071C98"/>
    <w:rsid w:val="00073261"/>
    <w:rsid w:val="00073520"/>
    <w:rsid w:val="00073F3B"/>
    <w:rsid w:val="00074E36"/>
    <w:rsid w:val="00074F25"/>
    <w:rsid w:val="000774AA"/>
    <w:rsid w:val="00077880"/>
    <w:rsid w:val="00080DB2"/>
    <w:rsid w:val="00080DEC"/>
    <w:rsid w:val="000813A0"/>
    <w:rsid w:val="00083617"/>
    <w:rsid w:val="000859D5"/>
    <w:rsid w:val="00090399"/>
    <w:rsid w:val="000905F4"/>
    <w:rsid w:val="00090CFE"/>
    <w:rsid w:val="00090E93"/>
    <w:rsid w:val="00093D87"/>
    <w:rsid w:val="000942CE"/>
    <w:rsid w:val="00094380"/>
    <w:rsid w:val="0009465A"/>
    <w:rsid w:val="00095D32"/>
    <w:rsid w:val="00097C0F"/>
    <w:rsid w:val="000A11AA"/>
    <w:rsid w:val="000A13C2"/>
    <w:rsid w:val="000A1BD0"/>
    <w:rsid w:val="000A2B2F"/>
    <w:rsid w:val="000A3EAB"/>
    <w:rsid w:val="000A3FEC"/>
    <w:rsid w:val="000A4BD7"/>
    <w:rsid w:val="000A4D04"/>
    <w:rsid w:val="000A5033"/>
    <w:rsid w:val="000A5234"/>
    <w:rsid w:val="000A54E5"/>
    <w:rsid w:val="000A5946"/>
    <w:rsid w:val="000A693C"/>
    <w:rsid w:val="000B1C1A"/>
    <w:rsid w:val="000B3D3E"/>
    <w:rsid w:val="000B4086"/>
    <w:rsid w:val="000B69BB"/>
    <w:rsid w:val="000B7F43"/>
    <w:rsid w:val="000B7F72"/>
    <w:rsid w:val="000C14D8"/>
    <w:rsid w:val="000C17F2"/>
    <w:rsid w:val="000C18E3"/>
    <w:rsid w:val="000C2827"/>
    <w:rsid w:val="000C2A2F"/>
    <w:rsid w:val="000C2C7C"/>
    <w:rsid w:val="000C2DF9"/>
    <w:rsid w:val="000C3F08"/>
    <w:rsid w:val="000C4F92"/>
    <w:rsid w:val="000C5933"/>
    <w:rsid w:val="000C5B37"/>
    <w:rsid w:val="000C60E9"/>
    <w:rsid w:val="000C76D2"/>
    <w:rsid w:val="000D12C4"/>
    <w:rsid w:val="000D1670"/>
    <w:rsid w:val="000D16AC"/>
    <w:rsid w:val="000D3389"/>
    <w:rsid w:val="000D41CE"/>
    <w:rsid w:val="000D5140"/>
    <w:rsid w:val="000D56E3"/>
    <w:rsid w:val="000D5B19"/>
    <w:rsid w:val="000D5D7C"/>
    <w:rsid w:val="000D7C9C"/>
    <w:rsid w:val="000E00E8"/>
    <w:rsid w:val="000E089A"/>
    <w:rsid w:val="000E08F8"/>
    <w:rsid w:val="000E0BD8"/>
    <w:rsid w:val="000E2207"/>
    <w:rsid w:val="000E231B"/>
    <w:rsid w:val="000E2426"/>
    <w:rsid w:val="000E37CF"/>
    <w:rsid w:val="000E4CBB"/>
    <w:rsid w:val="000F006A"/>
    <w:rsid w:val="000F0344"/>
    <w:rsid w:val="000F0D9A"/>
    <w:rsid w:val="000F0DF0"/>
    <w:rsid w:val="000F217A"/>
    <w:rsid w:val="000F26DC"/>
    <w:rsid w:val="000F2F28"/>
    <w:rsid w:val="000F31CB"/>
    <w:rsid w:val="000F5D5A"/>
    <w:rsid w:val="000F667E"/>
    <w:rsid w:val="000F6FC8"/>
    <w:rsid w:val="000F7609"/>
    <w:rsid w:val="0010183B"/>
    <w:rsid w:val="001020D6"/>
    <w:rsid w:val="00103172"/>
    <w:rsid w:val="0010376E"/>
    <w:rsid w:val="00104466"/>
    <w:rsid w:val="00104D25"/>
    <w:rsid w:val="001050B5"/>
    <w:rsid w:val="00106AAC"/>
    <w:rsid w:val="00107A46"/>
    <w:rsid w:val="00111162"/>
    <w:rsid w:val="00111977"/>
    <w:rsid w:val="001119B6"/>
    <w:rsid w:val="00112C27"/>
    <w:rsid w:val="00112D6E"/>
    <w:rsid w:val="00112DA2"/>
    <w:rsid w:val="0011342C"/>
    <w:rsid w:val="001135DE"/>
    <w:rsid w:val="00114C32"/>
    <w:rsid w:val="00120E26"/>
    <w:rsid w:val="0012265F"/>
    <w:rsid w:val="00122677"/>
    <w:rsid w:val="00123D4D"/>
    <w:rsid w:val="00124313"/>
    <w:rsid w:val="00124BA0"/>
    <w:rsid w:val="0012574B"/>
    <w:rsid w:val="00127425"/>
    <w:rsid w:val="00127B4D"/>
    <w:rsid w:val="001324D8"/>
    <w:rsid w:val="00132A5D"/>
    <w:rsid w:val="00132B9F"/>
    <w:rsid w:val="00135C0B"/>
    <w:rsid w:val="001402A5"/>
    <w:rsid w:val="00140304"/>
    <w:rsid w:val="00142068"/>
    <w:rsid w:val="001424D4"/>
    <w:rsid w:val="001429C8"/>
    <w:rsid w:val="00143BCE"/>
    <w:rsid w:val="00144500"/>
    <w:rsid w:val="00144718"/>
    <w:rsid w:val="0014714E"/>
    <w:rsid w:val="001474EE"/>
    <w:rsid w:val="001505F2"/>
    <w:rsid w:val="00151BCA"/>
    <w:rsid w:val="00152DDB"/>
    <w:rsid w:val="00153FCE"/>
    <w:rsid w:val="001541EC"/>
    <w:rsid w:val="00154BE7"/>
    <w:rsid w:val="0015542E"/>
    <w:rsid w:val="00155632"/>
    <w:rsid w:val="00156C31"/>
    <w:rsid w:val="00156E97"/>
    <w:rsid w:val="00160204"/>
    <w:rsid w:val="00160C50"/>
    <w:rsid w:val="00163698"/>
    <w:rsid w:val="00164567"/>
    <w:rsid w:val="0016522B"/>
    <w:rsid w:val="00165B5E"/>
    <w:rsid w:val="00165CE0"/>
    <w:rsid w:val="0016679C"/>
    <w:rsid w:val="00170B2F"/>
    <w:rsid w:val="00171135"/>
    <w:rsid w:val="00173B20"/>
    <w:rsid w:val="0017400E"/>
    <w:rsid w:val="0017584B"/>
    <w:rsid w:val="00175910"/>
    <w:rsid w:val="00176079"/>
    <w:rsid w:val="0017642E"/>
    <w:rsid w:val="00176EA5"/>
    <w:rsid w:val="00177290"/>
    <w:rsid w:val="0018024F"/>
    <w:rsid w:val="001805C9"/>
    <w:rsid w:val="00180B34"/>
    <w:rsid w:val="00181259"/>
    <w:rsid w:val="0018139B"/>
    <w:rsid w:val="00181492"/>
    <w:rsid w:val="0018185E"/>
    <w:rsid w:val="00182BF3"/>
    <w:rsid w:val="00186626"/>
    <w:rsid w:val="00186CE1"/>
    <w:rsid w:val="001870EA"/>
    <w:rsid w:val="00187C6B"/>
    <w:rsid w:val="00187E83"/>
    <w:rsid w:val="0019124B"/>
    <w:rsid w:val="0019378B"/>
    <w:rsid w:val="001948A1"/>
    <w:rsid w:val="001955F3"/>
    <w:rsid w:val="00195823"/>
    <w:rsid w:val="00195E7B"/>
    <w:rsid w:val="00196139"/>
    <w:rsid w:val="0019643A"/>
    <w:rsid w:val="00196465"/>
    <w:rsid w:val="00196B54"/>
    <w:rsid w:val="001A01AF"/>
    <w:rsid w:val="001A0B54"/>
    <w:rsid w:val="001A2173"/>
    <w:rsid w:val="001A2215"/>
    <w:rsid w:val="001A4144"/>
    <w:rsid w:val="001A4295"/>
    <w:rsid w:val="001A49A8"/>
    <w:rsid w:val="001A4DE8"/>
    <w:rsid w:val="001A5679"/>
    <w:rsid w:val="001B062F"/>
    <w:rsid w:val="001B0A90"/>
    <w:rsid w:val="001B178C"/>
    <w:rsid w:val="001B2187"/>
    <w:rsid w:val="001B71F4"/>
    <w:rsid w:val="001C01BD"/>
    <w:rsid w:val="001C10C3"/>
    <w:rsid w:val="001C1ACF"/>
    <w:rsid w:val="001C1BE1"/>
    <w:rsid w:val="001C3CA7"/>
    <w:rsid w:val="001C48D7"/>
    <w:rsid w:val="001C581A"/>
    <w:rsid w:val="001C5D84"/>
    <w:rsid w:val="001C6FAF"/>
    <w:rsid w:val="001C762F"/>
    <w:rsid w:val="001C7BC8"/>
    <w:rsid w:val="001D0902"/>
    <w:rsid w:val="001D3C86"/>
    <w:rsid w:val="001D4EFE"/>
    <w:rsid w:val="001D5133"/>
    <w:rsid w:val="001D5CF4"/>
    <w:rsid w:val="001D6803"/>
    <w:rsid w:val="001D7A43"/>
    <w:rsid w:val="001E025E"/>
    <w:rsid w:val="001E3599"/>
    <w:rsid w:val="001E404A"/>
    <w:rsid w:val="001E4A0F"/>
    <w:rsid w:val="001E4AE2"/>
    <w:rsid w:val="001E623C"/>
    <w:rsid w:val="001E6377"/>
    <w:rsid w:val="001E76AC"/>
    <w:rsid w:val="001F095E"/>
    <w:rsid w:val="001F22C5"/>
    <w:rsid w:val="001F2811"/>
    <w:rsid w:val="001F2DD7"/>
    <w:rsid w:val="001F3CED"/>
    <w:rsid w:val="001F4E58"/>
    <w:rsid w:val="001F7429"/>
    <w:rsid w:val="001F7A58"/>
    <w:rsid w:val="002008D5"/>
    <w:rsid w:val="00200F35"/>
    <w:rsid w:val="00203E65"/>
    <w:rsid w:val="00203FEC"/>
    <w:rsid w:val="0020404C"/>
    <w:rsid w:val="00204EED"/>
    <w:rsid w:val="00205665"/>
    <w:rsid w:val="002066A4"/>
    <w:rsid w:val="00210545"/>
    <w:rsid w:val="002107EC"/>
    <w:rsid w:val="00210DF8"/>
    <w:rsid w:val="00211DCF"/>
    <w:rsid w:val="002120F5"/>
    <w:rsid w:val="00213080"/>
    <w:rsid w:val="002130ED"/>
    <w:rsid w:val="002143A1"/>
    <w:rsid w:val="002158A0"/>
    <w:rsid w:val="00217011"/>
    <w:rsid w:val="00220F58"/>
    <w:rsid w:val="00222679"/>
    <w:rsid w:val="00222D92"/>
    <w:rsid w:val="0022398B"/>
    <w:rsid w:val="00226FF1"/>
    <w:rsid w:val="002278F1"/>
    <w:rsid w:val="00230941"/>
    <w:rsid w:val="0023178D"/>
    <w:rsid w:val="002333F6"/>
    <w:rsid w:val="002334EE"/>
    <w:rsid w:val="0023360A"/>
    <w:rsid w:val="00235345"/>
    <w:rsid w:val="002361CF"/>
    <w:rsid w:val="0023742F"/>
    <w:rsid w:val="00237740"/>
    <w:rsid w:val="00240000"/>
    <w:rsid w:val="002403D1"/>
    <w:rsid w:val="00240A4C"/>
    <w:rsid w:val="00241045"/>
    <w:rsid w:val="002426E9"/>
    <w:rsid w:val="0024340F"/>
    <w:rsid w:val="0024554F"/>
    <w:rsid w:val="002479FF"/>
    <w:rsid w:val="00247C58"/>
    <w:rsid w:val="0025072D"/>
    <w:rsid w:val="00251701"/>
    <w:rsid w:val="00252043"/>
    <w:rsid w:val="002526F5"/>
    <w:rsid w:val="00252719"/>
    <w:rsid w:val="00254881"/>
    <w:rsid w:val="00254BE4"/>
    <w:rsid w:val="00255797"/>
    <w:rsid w:val="00256A09"/>
    <w:rsid w:val="002571BB"/>
    <w:rsid w:val="002571C9"/>
    <w:rsid w:val="00257353"/>
    <w:rsid w:val="002573CB"/>
    <w:rsid w:val="0025744A"/>
    <w:rsid w:val="00257B9E"/>
    <w:rsid w:val="002615C3"/>
    <w:rsid w:val="00261796"/>
    <w:rsid w:val="00262B6E"/>
    <w:rsid w:val="00262D1E"/>
    <w:rsid w:val="00262E9E"/>
    <w:rsid w:val="00262F99"/>
    <w:rsid w:val="0026413A"/>
    <w:rsid w:val="00264FB0"/>
    <w:rsid w:val="00265729"/>
    <w:rsid w:val="00265F84"/>
    <w:rsid w:val="002661D8"/>
    <w:rsid w:val="002673AA"/>
    <w:rsid w:val="00267750"/>
    <w:rsid w:val="00267D01"/>
    <w:rsid w:val="00270384"/>
    <w:rsid w:val="00272657"/>
    <w:rsid w:val="00273906"/>
    <w:rsid w:val="002758D1"/>
    <w:rsid w:val="00275FDE"/>
    <w:rsid w:val="00276024"/>
    <w:rsid w:val="0027644C"/>
    <w:rsid w:val="00276EDE"/>
    <w:rsid w:val="0027731D"/>
    <w:rsid w:val="002809F2"/>
    <w:rsid w:val="00280A17"/>
    <w:rsid w:val="00281821"/>
    <w:rsid w:val="00281CEC"/>
    <w:rsid w:val="00281D36"/>
    <w:rsid w:val="00286FDD"/>
    <w:rsid w:val="002918F0"/>
    <w:rsid w:val="002926BD"/>
    <w:rsid w:val="002928B8"/>
    <w:rsid w:val="002934ED"/>
    <w:rsid w:val="00293763"/>
    <w:rsid w:val="00293782"/>
    <w:rsid w:val="00293E86"/>
    <w:rsid w:val="00294039"/>
    <w:rsid w:val="00294DA9"/>
    <w:rsid w:val="00295966"/>
    <w:rsid w:val="00295A5D"/>
    <w:rsid w:val="002A0623"/>
    <w:rsid w:val="002A082B"/>
    <w:rsid w:val="002A21A5"/>
    <w:rsid w:val="002A4757"/>
    <w:rsid w:val="002A64E1"/>
    <w:rsid w:val="002B00B8"/>
    <w:rsid w:val="002B01B2"/>
    <w:rsid w:val="002B1589"/>
    <w:rsid w:val="002B1CE2"/>
    <w:rsid w:val="002B1F02"/>
    <w:rsid w:val="002B2333"/>
    <w:rsid w:val="002B25E9"/>
    <w:rsid w:val="002B28C8"/>
    <w:rsid w:val="002B31D7"/>
    <w:rsid w:val="002B44F8"/>
    <w:rsid w:val="002B5817"/>
    <w:rsid w:val="002B5A32"/>
    <w:rsid w:val="002B6443"/>
    <w:rsid w:val="002B69DF"/>
    <w:rsid w:val="002B6A76"/>
    <w:rsid w:val="002B6AE6"/>
    <w:rsid w:val="002B7124"/>
    <w:rsid w:val="002B7CDD"/>
    <w:rsid w:val="002C0B4F"/>
    <w:rsid w:val="002C1070"/>
    <w:rsid w:val="002C1980"/>
    <w:rsid w:val="002C206A"/>
    <w:rsid w:val="002C26D4"/>
    <w:rsid w:val="002C4EC8"/>
    <w:rsid w:val="002C4F1D"/>
    <w:rsid w:val="002C5BD0"/>
    <w:rsid w:val="002C77AB"/>
    <w:rsid w:val="002C7F53"/>
    <w:rsid w:val="002D0B3E"/>
    <w:rsid w:val="002D11B5"/>
    <w:rsid w:val="002D1933"/>
    <w:rsid w:val="002D27E7"/>
    <w:rsid w:val="002D329F"/>
    <w:rsid w:val="002D3624"/>
    <w:rsid w:val="002D3AC7"/>
    <w:rsid w:val="002D427A"/>
    <w:rsid w:val="002D4641"/>
    <w:rsid w:val="002D46C5"/>
    <w:rsid w:val="002D5426"/>
    <w:rsid w:val="002D699E"/>
    <w:rsid w:val="002D6FD5"/>
    <w:rsid w:val="002D7AB3"/>
    <w:rsid w:val="002E0E28"/>
    <w:rsid w:val="002E1CE7"/>
    <w:rsid w:val="002E1DE9"/>
    <w:rsid w:val="002E3EA7"/>
    <w:rsid w:val="002E6BD9"/>
    <w:rsid w:val="002E7159"/>
    <w:rsid w:val="002E7CA3"/>
    <w:rsid w:val="002F118C"/>
    <w:rsid w:val="002F26B0"/>
    <w:rsid w:val="002F31CE"/>
    <w:rsid w:val="002F3493"/>
    <w:rsid w:val="002F371E"/>
    <w:rsid w:val="002F38BE"/>
    <w:rsid w:val="002F5275"/>
    <w:rsid w:val="00301A19"/>
    <w:rsid w:val="00301BCD"/>
    <w:rsid w:val="003021DC"/>
    <w:rsid w:val="00303EC0"/>
    <w:rsid w:val="00304173"/>
    <w:rsid w:val="003044C7"/>
    <w:rsid w:val="00304864"/>
    <w:rsid w:val="00306564"/>
    <w:rsid w:val="003067E0"/>
    <w:rsid w:val="00306F36"/>
    <w:rsid w:val="00307B44"/>
    <w:rsid w:val="003104F9"/>
    <w:rsid w:val="00311CAE"/>
    <w:rsid w:val="00312848"/>
    <w:rsid w:val="0031335C"/>
    <w:rsid w:val="00313E58"/>
    <w:rsid w:val="003147B6"/>
    <w:rsid w:val="0031530C"/>
    <w:rsid w:val="00316057"/>
    <w:rsid w:val="003160D3"/>
    <w:rsid w:val="00320C3A"/>
    <w:rsid w:val="00320FC1"/>
    <w:rsid w:val="0032308A"/>
    <w:rsid w:val="00323A58"/>
    <w:rsid w:val="00324AB6"/>
    <w:rsid w:val="00325887"/>
    <w:rsid w:val="00325FD5"/>
    <w:rsid w:val="0032622C"/>
    <w:rsid w:val="00327AFD"/>
    <w:rsid w:val="003307EC"/>
    <w:rsid w:val="00330C03"/>
    <w:rsid w:val="00331243"/>
    <w:rsid w:val="00331753"/>
    <w:rsid w:val="00331DC1"/>
    <w:rsid w:val="003336D2"/>
    <w:rsid w:val="0033380A"/>
    <w:rsid w:val="00334CBE"/>
    <w:rsid w:val="003351CD"/>
    <w:rsid w:val="00336B03"/>
    <w:rsid w:val="00337041"/>
    <w:rsid w:val="00340542"/>
    <w:rsid w:val="00341D89"/>
    <w:rsid w:val="003427AF"/>
    <w:rsid w:val="0034418C"/>
    <w:rsid w:val="00344644"/>
    <w:rsid w:val="00344AB0"/>
    <w:rsid w:val="003453D1"/>
    <w:rsid w:val="003457D2"/>
    <w:rsid w:val="0034763D"/>
    <w:rsid w:val="00350667"/>
    <w:rsid w:val="00350F8D"/>
    <w:rsid w:val="00351D1C"/>
    <w:rsid w:val="003524FA"/>
    <w:rsid w:val="00353799"/>
    <w:rsid w:val="00353B6D"/>
    <w:rsid w:val="00353FB1"/>
    <w:rsid w:val="00354E48"/>
    <w:rsid w:val="00354F33"/>
    <w:rsid w:val="003556EE"/>
    <w:rsid w:val="003559A4"/>
    <w:rsid w:val="003560B6"/>
    <w:rsid w:val="003568D9"/>
    <w:rsid w:val="003572EA"/>
    <w:rsid w:val="00360218"/>
    <w:rsid w:val="00362A85"/>
    <w:rsid w:val="0036435F"/>
    <w:rsid w:val="00364C97"/>
    <w:rsid w:val="0036618E"/>
    <w:rsid w:val="00366A6E"/>
    <w:rsid w:val="00366B45"/>
    <w:rsid w:val="0036779B"/>
    <w:rsid w:val="00367801"/>
    <w:rsid w:val="003701B0"/>
    <w:rsid w:val="003712E5"/>
    <w:rsid w:val="00371358"/>
    <w:rsid w:val="00372D65"/>
    <w:rsid w:val="0037323D"/>
    <w:rsid w:val="00376DA2"/>
    <w:rsid w:val="00376E6C"/>
    <w:rsid w:val="003810E5"/>
    <w:rsid w:val="0038226C"/>
    <w:rsid w:val="00382DEA"/>
    <w:rsid w:val="00383525"/>
    <w:rsid w:val="0038427E"/>
    <w:rsid w:val="00384D12"/>
    <w:rsid w:val="00384EE8"/>
    <w:rsid w:val="003851DA"/>
    <w:rsid w:val="00385601"/>
    <w:rsid w:val="00386717"/>
    <w:rsid w:val="00386EB5"/>
    <w:rsid w:val="00390814"/>
    <w:rsid w:val="003918A7"/>
    <w:rsid w:val="0039332E"/>
    <w:rsid w:val="00393815"/>
    <w:rsid w:val="00393F51"/>
    <w:rsid w:val="00395EF1"/>
    <w:rsid w:val="0039656D"/>
    <w:rsid w:val="003971A7"/>
    <w:rsid w:val="0039722E"/>
    <w:rsid w:val="003A1691"/>
    <w:rsid w:val="003A2720"/>
    <w:rsid w:val="003A39FE"/>
    <w:rsid w:val="003A4AF9"/>
    <w:rsid w:val="003A4FDD"/>
    <w:rsid w:val="003A53AB"/>
    <w:rsid w:val="003A59C1"/>
    <w:rsid w:val="003A5AE2"/>
    <w:rsid w:val="003A7254"/>
    <w:rsid w:val="003B022C"/>
    <w:rsid w:val="003B0DBF"/>
    <w:rsid w:val="003B0F44"/>
    <w:rsid w:val="003B13DF"/>
    <w:rsid w:val="003B15BE"/>
    <w:rsid w:val="003B22BF"/>
    <w:rsid w:val="003B394F"/>
    <w:rsid w:val="003B3DF8"/>
    <w:rsid w:val="003B4097"/>
    <w:rsid w:val="003B542A"/>
    <w:rsid w:val="003B583E"/>
    <w:rsid w:val="003B7D21"/>
    <w:rsid w:val="003C1CA1"/>
    <w:rsid w:val="003C1FB6"/>
    <w:rsid w:val="003C2056"/>
    <w:rsid w:val="003C4B4C"/>
    <w:rsid w:val="003C52E2"/>
    <w:rsid w:val="003C5B29"/>
    <w:rsid w:val="003C5B62"/>
    <w:rsid w:val="003C67DD"/>
    <w:rsid w:val="003C6FDC"/>
    <w:rsid w:val="003C72CE"/>
    <w:rsid w:val="003D048B"/>
    <w:rsid w:val="003D09C0"/>
    <w:rsid w:val="003D1E27"/>
    <w:rsid w:val="003D3020"/>
    <w:rsid w:val="003D475D"/>
    <w:rsid w:val="003D50AE"/>
    <w:rsid w:val="003D666B"/>
    <w:rsid w:val="003D6A92"/>
    <w:rsid w:val="003D7330"/>
    <w:rsid w:val="003E22E6"/>
    <w:rsid w:val="003E3192"/>
    <w:rsid w:val="003E4AB2"/>
    <w:rsid w:val="003E4BB2"/>
    <w:rsid w:val="003E50E9"/>
    <w:rsid w:val="003E6EFA"/>
    <w:rsid w:val="003F117D"/>
    <w:rsid w:val="003F2A27"/>
    <w:rsid w:val="003F3659"/>
    <w:rsid w:val="003F3702"/>
    <w:rsid w:val="003F377D"/>
    <w:rsid w:val="003F3CCE"/>
    <w:rsid w:val="003F6C7E"/>
    <w:rsid w:val="003F712A"/>
    <w:rsid w:val="003F796D"/>
    <w:rsid w:val="00401259"/>
    <w:rsid w:val="0040312E"/>
    <w:rsid w:val="0040342B"/>
    <w:rsid w:val="00406454"/>
    <w:rsid w:val="0040680B"/>
    <w:rsid w:val="00406D33"/>
    <w:rsid w:val="00407A25"/>
    <w:rsid w:val="00410463"/>
    <w:rsid w:val="00410E1A"/>
    <w:rsid w:val="00411699"/>
    <w:rsid w:val="00411BD7"/>
    <w:rsid w:val="004124F3"/>
    <w:rsid w:val="00412874"/>
    <w:rsid w:val="00413519"/>
    <w:rsid w:val="00413CCD"/>
    <w:rsid w:val="00415408"/>
    <w:rsid w:val="00416EA6"/>
    <w:rsid w:val="00417265"/>
    <w:rsid w:val="00417D39"/>
    <w:rsid w:val="00420577"/>
    <w:rsid w:val="00420D30"/>
    <w:rsid w:val="0042292E"/>
    <w:rsid w:val="00422D3C"/>
    <w:rsid w:val="00422ED8"/>
    <w:rsid w:val="0042348D"/>
    <w:rsid w:val="00424D49"/>
    <w:rsid w:val="004252D4"/>
    <w:rsid w:val="004255D6"/>
    <w:rsid w:val="00426D7F"/>
    <w:rsid w:val="00427921"/>
    <w:rsid w:val="0043097B"/>
    <w:rsid w:val="00431382"/>
    <w:rsid w:val="00431A34"/>
    <w:rsid w:val="004320BB"/>
    <w:rsid w:val="004326D6"/>
    <w:rsid w:val="00433498"/>
    <w:rsid w:val="004335F4"/>
    <w:rsid w:val="00433E6D"/>
    <w:rsid w:val="00434AFA"/>
    <w:rsid w:val="004351DF"/>
    <w:rsid w:val="0043742A"/>
    <w:rsid w:val="00437A78"/>
    <w:rsid w:val="00440398"/>
    <w:rsid w:val="004406A7"/>
    <w:rsid w:val="00440FB4"/>
    <w:rsid w:val="00441E89"/>
    <w:rsid w:val="00441FDD"/>
    <w:rsid w:val="004422D7"/>
    <w:rsid w:val="00442EF5"/>
    <w:rsid w:val="00444B8E"/>
    <w:rsid w:val="00445C36"/>
    <w:rsid w:val="00446848"/>
    <w:rsid w:val="00451F3F"/>
    <w:rsid w:val="00451F5E"/>
    <w:rsid w:val="00452EC3"/>
    <w:rsid w:val="004538B1"/>
    <w:rsid w:val="004538F3"/>
    <w:rsid w:val="00453E49"/>
    <w:rsid w:val="00454319"/>
    <w:rsid w:val="00454892"/>
    <w:rsid w:val="00454AC8"/>
    <w:rsid w:val="004564E3"/>
    <w:rsid w:val="0046000E"/>
    <w:rsid w:val="00460AEE"/>
    <w:rsid w:val="004617BE"/>
    <w:rsid w:val="0046307C"/>
    <w:rsid w:val="00463BB9"/>
    <w:rsid w:val="004640B9"/>
    <w:rsid w:val="00464716"/>
    <w:rsid w:val="004668E0"/>
    <w:rsid w:val="0046715C"/>
    <w:rsid w:val="004724C7"/>
    <w:rsid w:val="00473026"/>
    <w:rsid w:val="004734F0"/>
    <w:rsid w:val="00474A68"/>
    <w:rsid w:val="00475D9B"/>
    <w:rsid w:val="004771F9"/>
    <w:rsid w:val="004773A7"/>
    <w:rsid w:val="0048265B"/>
    <w:rsid w:val="00483E54"/>
    <w:rsid w:val="00484A38"/>
    <w:rsid w:val="00486B15"/>
    <w:rsid w:val="00486C80"/>
    <w:rsid w:val="00486D45"/>
    <w:rsid w:val="004878F6"/>
    <w:rsid w:val="004879B3"/>
    <w:rsid w:val="0049134A"/>
    <w:rsid w:val="00491AB9"/>
    <w:rsid w:val="00491F44"/>
    <w:rsid w:val="0049237D"/>
    <w:rsid w:val="00492C0D"/>
    <w:rsid w:val="0049367D"/>
    <w:rsid w:val="00493873"/>
    <w:rsid w:val="0049483C"/>
    <w:rsid w:val="00494C0E"/>
    <w:rsid w:val="00494ED1"/>
    <w:rsid w:val="0049662D"/>
    <w:rsid w:val="004978F1"/>
    <w:rsid w:val="004A143B"/>
    <w:rsid w:val="004A1911"/>
    <w:rsid w:val="004A1919"/>
    <w:rsid w:val="004A6708"/>
    <w:rsid w:val="004A6B14"/>
    <w:rsid w:val="004A78E0"/>
    <w:rsid w:val="004B0D86"/>
    <w:rsid w:val="004B1C40"/>
    <w:rsid w:val="004B1E93"/>
    <w:rsid w:val="004B29D8"/>
    <w:rsid w:val="004B3622"/>
    <w:rsid w:val="004B4381"/>
    <w:rsid w:val="004B527A"/>
    <w:rsid w:val="004B5A0C"/>
    <w:rsid w:val="004B5F30"/>
    <w:rsid w:val="004B6010"/>
    <w:rsid w:val="004B65F8"/>
    <w:rsid w:val="004B6AAB"/>
    <w:rsid w:val="004C002B"/>
    <w:rsid w:val="004C023F"/>
    <w:rsid w:val="004C1C21"/>
    <w:rsid w:val="004C48E5"/>
    <w:rsid w:val="004C5021"/>
    <w:rsid w:val="004D1346"/>
    <w:rsid w:val="004D15B0"/>
    <w:rsid w:val="004D1C2B"/>
    <w:rsid w:val="004D20F1"/>
    <w:rsid w:val="004D4573"/>
    <w:rsid w:val="004D5079"/>
    <w:rsid w:val="004D60AE"/>
    <w:rsid w:val="004D6479"/>
    <w:rsid w:val="004D64DF"/>
    <w:rsid w:val="004D692F"/>
    <w:rsid w:val="004D7163"/>
    <w:rsid w:val="004D75E7"/>
    <w:rsid w:val="004D7A6F"/>
    <w:rsid w:val="004E0291"/>
    <w:rsid w:val="004E0A96"/>
    <w:rsid w:val="004E164F"/>
    <w:rsid w:val="004E2047"/>
    <w:rsid w:val="004E253F"/>
    <w:rsid w:val="004E519A"/>
    <w:rsid w:val="004E6DF1"/>
    <w:rsid w:val="004E76FC"/>
    <w:rsid w:val="004F02D9"/>
    <w:rsid w:val="004F31C7"/>
    <w:rsid w:val="004F53E4"/>
    <w:rsid w:val="004F5660"/>
    <w:rsid w:val="004F5855"/>
    <w:rsid w:val="004F5E5B"/>
    <w:rsid w:val="004F63BA"/>
    <w:rsid w:val="004F7397"/>
    <w:rsid w:val="004F73D7"/>
    <w:rsid w:val="004F7509"/>
    <w:rsid w:val="00501DA4"/>
    <w:rsid w:val="00502964"/>
    <w:rsid w:val="0050394F"/>
    <w:rsid w:val="005042D3"/>
    <w:rsid w:val="0050533F"/>
    <w:rsid w:val="0050638C"/>
    <w:rsid w:val="005064D6"/>
    <w:rsid w:val="005077E6"/>
    <w:rsid w:val="0051031B"/>
    <w:rsid w:val="005115F6"/>
    <w:rsid w:val="0051175D"/>
    <w:rsid w:val="00512762"/>
    <w:rsid w:val="00514544"/>
    <w:rsid w:val="005152ED"/>
    <w:rsid w:val="00516062"/>
    <w:rsid w:val="00516403"/>
    <w:rsid w:val="005172B2"/>
    <w:rsid w:val="00517ABE"/>
    <w:rsid w:val="00520000"/>
    <w:rsid w:val="005200CD"/>
    <w:rsid w:val="005210CD"/>
    <w:rsid w:val="00521BCF"/>
    <w:rsid w:val="00521E7A"/>
    <w:rsid w:val="00522EE9"/>
    <w:rsid w:val="005230D1"/>
    <w:rsid w:val="00523988"/>
    <w:rsid w:val="00524987"/>
    <w:rsid w:val="00524B22"/>
    <w:rsid w:val="0052561E"/>
    <w:rsid w:val="00526491"/>
    <w:rsid w:val="00527756"/>
    <w:rsid w:val="00530086"/>
    <w:rsid w:val="00530280"/>
    <w:rsid w:val="0053096E"/>
    <w:rsid w:val="005323FD"/>
    <w:rsid w:val="0053314D"/>
    <w:rsid w:val="005332C7"/>
    <w:rsid w:val="00534467"/>
    <w:rsid w:val="00536110"/>
    <w:rsid w:val="00536547"/>
    <w:rsid w:val="00537F70"/>
    <w:rsid w:val="005402E0"/>
    <w:rsid w:val="0054050A"/>
    <w:rsid w:val="00540AFD"/>
    <w:rsid w:val="00541208"/>
    <w:rsid w:val="00541ABF"/>
    <w:rsid w:val="00541C79"/>
    <w:rsid w:val="005438A6"/>
    <w:rsid w:val="0054400A"/>
    <w:rsid w:val="0054402D"/>
    <w:rsid w:val="00544DB2"/>
    <w:rsid w:val="005453D3"/>
    <w:rsid w:val="005468CA"/>
    <w:rsid w:val="00546C0E"/>
    <w:rsid w:val="00552381"/>
    <w:rsid w:val="00553BAE"/>
    <w:rsid w:val="005542AB"/>
    <w:rsid w:val="00554E8B"/>
    <w:rsid w:val="00555527"/>
    <w:rsid w:val="00555669"/>
    <w:rsid w:val="00555C11"/>
    <w:rsid w:val="00556079"/>
    <w:rsid w:val="005605A9"/>
    <w:rsid w:val="00560E90"/>
    <w:rsid w:val="00562D29"/>
    <w:rsid w:val="00563962"/>
    <w:rsid w:val="00563BB1"/>
    <w:rsid w:val="0056483A"/>
    <w:rsid w:val="0056590D"/>
    <w:rsid w:val="00566E31"/>
    <w:rsid w:val="00567AE8"/>
    <w:rsid w:val="00570421"/>
    <w:rsid w:val="00570639"/>
    <w:rsid w:val="005719D9"/>
    <w:rsid w:val="00572E53"/>
    <w:rsid w:val="00573203"/>
    <w:rsid w:val="00573316"/>
    <w:rsid w:val="0057362D"/>
    <w:rsid w:val="00574094"/>
    <w:rsid w:val="00577FAF"/>
    <w:rsid w:val="00580B87"/>
    <w:rsid w:val="00581AB1"/>
    <w:rsid w:val="00581B5B"/>
    <w:rsid w:val="0058200A"/>
    <w:rsid w:val="00583221"/>
    <w:rsid w:val="0058594F"/>
    <w:rsid w:val="00585FC9"/>
    <w:rsid w:val="00586F05"/>
    <w:rsid w:val="00587919"/>
    <w:rsid w:val="00587BF9"/>
    <w:rsid w:val="00590EBD"/>
    <w:rsid w:val="00590FB5"/>
    <w:rsid w:val="00590FBC"/>
    <w:rsid w:val="005921DA"/>
    <w:rsid w:val="005937C6"/>
    <w:rsid w:val="00593ABB"/>
    <w:rsid w:val="00594595"/>
    <w:rsid w:val="00594946"/>
    <w:rsid w:val="005957FC"/>
    <w:rsid w:val="00595C9B"/>
    <w:rsid w:val="00597670"/>
    <w:rsid w:val="00597809"/>
    <w:rsid w:val="005A0AE7"/>
    <w:rsid w:val="005A10F6"/>
    <w:rsid w:val="005A15D9"/>
    <w:rsid w:val="005A2AF8"/>
    <w:rsid w:val="005A2ED6"/>
    <w:rsid w:val="005A310D"/>
    <w:rsid w:val="005A41F1"/>
    <w:rsid w:val="005A420B"/>
    <w:rsid w:val="005A477A"/>
    <w:rsid w:val="005A6746"/>
    <w:rsid w:val="005B00FA"/>
    <w:rsid w:val="005B0A0F"/>
    <w:rsid w:val="005B0E15"/>
    <w:rsid w:val="005B1702"/>
    <w:rsid w:val="005B1DA2"/>
    <w:rsid w:val="005B2280"/>
    <w:rsid w:val="005B3166"/>
    <w:rsid w:val="005B39FE"/>
    <w:rsid w:val="005B3E1A"/>
    <w:rsid w:val="005B4706"/>
    <w:rsid w:val="005B52B3"/>
    <w:rsid w:val="005B5B37"/>
    <w:rsid w:val="005B5F6E"/>
    <w:rsid w:val="005B6FE1"/>
    <w:rsid w:val="005B7E42"/>
    <w:rsid w:val="005B7E77"/>
    <w:rsid w:val="005C0037"/>
    <w:rsid w:val="005C10C9"/>
    <w:rsid w:val="005C24EF"/>
    <w:rsid w:val="005C321E"/>
    <w:rsid w:val="005C3559"/>
    <w:rsid w:val="005C4F0D"/>
    <w:rsid w:val="005C5689"/>
    <w:rsid w:val="005C630B"/>
    <w:rsid w:val="005C70A7"/>
    <w:rsid w:val="005D03DF"/>
    <w:rsid w:val="005D0B59"/>
    <w:rsid w:val="005D1FBC"/>
    <w:rsid w:val="005D2559"/>
    <w:rsid w:val="005D4444"/>
    <w:rsid w:val="005D4838"/>
    <w:rsid w:val="005D6594"/>
    <w:rsid w:val="005D6D3C"/>
    <w:rsid w:val="005E087C"/>
    <w:rsid w:val="005E11C4"/>
    <w:rsid w:val="005E226A"/>
    <w:rsid w:val="005E2F2C"/>
    <w:rsid w:val="005E37DB"/>
    <w:rsid w:val="005E58CD"/>
    <w:rsid w:val="005E6628"/>
    <w:rsid w:val="005E6824"/>
    <w:rsid w:val="005F1B2A"/>
    <w:rsid w:val="005F2ED5"/>
    <w:rsid w:val="005F36D9"/>
    <w:rsid w:val="005F54AB"/>
    <w:rsid w:val="005F6A48"/>
    <w:rsid w:val="005F6A67"/>
    <w:rsid w:val="005F7E7B"/>
    <w:rsid w:val="00600027"/>
    <w:rsid w:val="006007E2"/>
    <w:rsid w:val="00601240"/>
    <w:rsid w:val="0060132F"/>
    <w:rsid w:val="00602D03"/>
    <w:rsid w:val="00602E1E"/>
    <w:rsid w:val="00603151"/>
    <w:rsid w:val="006033D6"/>
    <w:rsid w:val="00603BF0"/>
    <w:rsid w:val="0060564C"/>
    <w:rsid w:val="00605A7B"/>
    <w:rsid w:val="00605FCC"/>
    <w:rsid w:val="00606110"/>
    <w:rsid w:val="006062CE"/>
    <w:rsid w:val="00607CD1"/>
    <w:rsid w:val="00611599"/>
    <w:rsid w:val="00612392"/>
    <w:rsid w:val="00615521"/>
    <w:rsid w:val="006172C2"/>
    <w:rsid w:val="006173CE"/>
    <w:rsid w:val="00617BBB"/>
    <w:rsid w:val="00617E3A"/>
    <w:rsid w:val="00617E7E"/>
    <w:rsid w:val="00620ED9"/>
    <w:rsid w:val="006223B3"/>
    <w:rsid w:val="0062260D"/>
    <w:rsid w:val="00622912"/>
    <w:rsid w:val="00624D52"/>
    <w:rsid w:val="006251D0"/>
    <w:rsid w:val="00625634"/>
    <w:rsid w:val="006262AD"/>
    <w:rsid w:val="006268CF"/>
    <w:rsid w:val="00630AF8"/>
    <w:rsid w:val="00630F0C"/>
    <w:rsid w:val="00631B04"/>
    <w:rsid w:val="006326F1"/>
    <w:rsid w:val="00633140"/>
    <w:rsid w:val="00634005"/>
    <w:rsid w:val="0063618B"/>
    <w:rsid w:val="00637C62"/>
    <w:rsid w:val="0064112D"/>
    <w:rsid w:val="00641302"/>
    <w:rsid w:val="00644D79"/>
    <w:rsid w:val="006454D1"/>
    <w:rsid w:val="006465E1"/>
    <w:rsid w:val="00646E02"/>
    <w:rsid w:val="00651149"/>
    <w:rsid w:val="00651660"/>
    <w:rsid w:val="0065234D"/>
    <w:rsid w:val="006533BA"/>
    <w:rsid w:val="006562B7"/>
    <w:rsid w:val="00656713"/>
    <w:rsid w:val="00656C23"/>
    <w:rsid w:val="00657358"/>
    <w:rsid w:val="00657F1A"/>
    <w:rsid w:val="0066212A"/>
    <w:rsid w:val="00662FE9"/>
    <w:rsid w:val="00663A87"/>
    <w:rsid w:val="00664B53"/>
    <w:rsid w:val="0066529E"/>
    <w:rsid w:val="00665506"/>
    <w:rsid w:val="0066726F"/>
    <w:rsid w:val="006712FA"/>
    <w:rsid w:val="00671928"/>
    <w:rsid w:val="00671EB3"/>
    <w:rsid w:val="00672867"/>
    <w:rsid w:val="00673FE4"/>
    <w:rsid w:val="00674579"/>
    <w:rsid w:val="0067475C"/>
    <w:rsid w:val="00674DB6"/>
    <w:rsid w:val="00675509"/>
    <w:rsid w:val="00675D94"/>
    <w:rsid w:val="00676E78"/>
    <w:rsid w:val="006804BC"/>
    <w:rsid w:val="00681525"/>
    <w:rsid w:val="00682035"/>
    <w:rsid w:val="00682477"/>
    <w:rsid w:val="00682B8F"/>
    <w:rsid w:val="00684F49"/>
    <w:rsid w:val="0068540D"/>
    <w:rsid w:val="00685F2B"/>
    <w:rsid w:val="0068601C"/>
    <w:rsid w:val="00686653"/>
    <w:rsid w:val="00686C22"/>
    <w:rsid w:val="00687FB1"/>
    <w:rsid w:val="00690520"/>
    <w:rsid w:val="00691336"/>
    <w:rsid w:val="0069286C"/>
    <w:rsid w:val="00692CBE"/>
    <w:rsid w:val="006938D0"/>
    <w:rsid w:val="00694521"/>
    <w:rsid w:val="00695043"/>
    <w:rsid w:val="00695F30"/>
    <w:rsid w:val="00696604"/>
    <w:rsid w:val="006970BE"/>
    <w:rsid w:val="00697604"/>
    <w:rsid w:val="00697908"/>
    <w:rsid w:val="00697FD5"/>
    <w:rsid w:val="006A0827"/>
    <w:rsid w:val="006A1738"/>
    <w:rsid w:val="006A40E5"/>
    <w:rsid w:val="006A4567"/>
    <w:rsid w:val="006A532D"/>
    <w:rsid w:val="006A636B"/>
    <w:rsid w:val="006A7357"/>
    <w:rsid w:val="006A75D1"/>
    <w:rsid w:val="006A7794"/>
    <w:rsid w:val="006B0A39"/>
    <w:rsid w:val="006B1B75"/>
    <w:rsid w:val="006B2666"/>
    <w:rsid w:val="006B2ED7"/>
    <w:rsid w:val="006B37DA"/>
    <w:rsid w:val="006B456E"/>
    <w:rsid w:val="006B4E05"/>
    <w:rsid w:val="006B4E7D"/>
    <w:rsid w:val="006B5021"/>
    <w:rsid w:val="006B668F"/>
    <w:rsid w:val="006B7B5B"/>
    <w:rsid w:val="006B7F5F"/>
    <w:rsid w:val="006C0476"/>
    <w:rsid w:val="006C0E4F"/>
    <w:rsid w:val="006C1F78"/>
    <w:rsid w:val="006C4D8A"/>
    <w:rsid w:val="006C566F"/>
    <w:rsid w:val="006C61A8"/>
    <w:rsid w:val="006D0E16"/>
    <w:rsid w:val="006D1023"/>
    <w:rsid w:val="006D1822"/>
    <w:rsid w:val="006D1C75"/>
    <w:rsid w:val="006D2FB5"/>
    <w:rsid w:val="006D327D"/>
    <w:rsid w:val="006D3F53"/>
    <w:rsid w:val="006D449C"/>
    <w:rsid w:val="006D49D2"/>
    <w:rsid w:val="006D62E1"/>
    <w:rsid w:val="006D7263"/>
    <w:rsid w:val="006D7A26"/>
    <w:rsid w:val="006E05E9"/>
    <w:rsid w:val="006E07D2"/>
    <w:rsid w:val="006E1179"/>
    <w:rsid w:val="006E1784"/>
    <w:rsid w:val="006E2D21"/>
    <w:rsid w:val="006E4758"/>
    <w:rsid w:val="006E4EAD"/>
    <w:rsid w:val="006E591B"/>
    <w:rsid w:val="006E6B25"/>
    <w:rsid w:val="006E6C3C"/>
    <w:rsid w:val="006E6F1E"/>
    <w:rsid w:val="006E7CAB"/>
    <w:rsid w:val="006F0931"/>
    <w:rsid w:val="006F26EF"/>
    <w:rsid w:val="006F2CFA"/>
    <w:rsid w:val="006F3FE1"/>
    <w:rsid w:val="006F49A6"/>
    <w:rsid w:val="006F64CC"/>
    <w:rsid w:val="006F7E3C"/>
    <w:rsid w:val="00700451"/>
    <w:rsid w:val="007004AE"/>
    <w:rsid w:val="00701465"/>
    <w:rsid w:val="0070189D"/>
    <w:rsid w:val="007020A4"/>
    <w:rsid w:val="007063FB"/>
    <w:rsid w:val="00706EB6"/>
    <w:rsid w:val="0070740F"/>
    <w:rsid w:val="00707656"/>
    <w:rsid w:val="007125C9"/>
    <w:rsid w:val="007135EB"/>
    <w:rsid w:val="00714055"/>
    <w:rsid w:val="0071412F"/>
    <w:rsid w:val="00714567"/>
    <w:rsid w:val="00720A7E"/>
    <w:rsid w:val="0072181A"/>
    <w:rsid w:val="00721F54"/>
    <w:rsid w:val="0072385D"/>
    <w:rsid w:val="00724779"/>
    <w:rsid w:val="00724C04"/>
    <w:rsid w:val="00725690"/>
    <w:rsid w:val="007269F6"/>
    <w:rsid w:val="007278A6"/>
    <w:rsid w:val="00733480"/>
    <w:rsid w:val="00733A0B"/>
    <w:rsid w:val="007341B9"/>
    <w:rsid w:val="007346B2"/>
    <w:rsid w:val="0073592F"/>
    <w:rsid w:val="00735CF6"/>
    <w:rsid w:val="00736F6A"/>
    <w:rsid w:val="007376CA"/>
    <w:rsid w:val="007405A1"/>
    <w:rsid w:val="00740E96"/>
    <w:rsid w:val="00741304"/>
    <w:rsid w:val="00742478"/>
    <w:rsid w:val="007433D8"/>
    <w:rsid w:val="00743ED0"/>
    <w:rsid w:val="00745782"/>
    <w:rsid w:val="00746E8F"/>
    <w:rsid w:val="00747180"/>
    <w:rsid w:val="0075000F"/>
    <w:rsid w:val="00750711"/>
    <w:rsid w:val="00750777"/>
    <w:rsid w:val="00750CEC"/>
    <w:rsid w:val="00750E02"/>
    <w:rsid w:val="0075105E"/>
    <w:rsid w:val="0075178A"/>
    <w:rsid w:val="00751852"/>
    <w:rsid w:val="0075216C"/>
    <w:rsid w:val="007528A8"/>
    <w:rsid w:val="007528B7"/>
    <w:rsid w:val="007577DD"/>
    <w:rsid w:val="00760306"/>
    <w:rsid w:val="0076075E"/>
    <w:rsid w:val="00762A07"/>
    <w:rsid w:val="00762D69"/>
    <w:rsid w:val="00763ED8"/>
    <w:rsid w:val="007641F0"/>
    <w:rsid w:val="007643F8"/>
    <w:rsid w:val="0076445C"/>
    <w:rsid w:val="00764A72"/>
    <w:rsid w:val="00764BA1"/>
    <w:rsid w:val="0076610C"/>
    <w:rsid w:val="007663D0"/>
    <w:rsid w:val="00767B94"/>
    <w:rsid w:val="00770074"/>
    <w:rsid w:val="00770467"/>
    <w:rsid w:val="00771518"/>
    <w:rsid w:val="007716F8"/>
    <w:rsid w:val="00772833"/>
    <w:rsid w:val="00774F5E"/>
    <w:rsid w:val="0077578F"/>
    <w:rsid w:val="00776F02"/>
    <w:rsid w:val="00776FA9"/>
    <w:rsid w:val="00780279"/>
    <w:rsid w:val="007833EF"/>
    <w:rsid w:val="007836C8"/>
    <w:rsid w:val="007839CD"/>
    <w:rsid w:val="00786822"/>
    <w:rsid w:val="00786D5E"/>
    <w:rsid w:val="0078724B"/>
    <w:rsid w:val="00787C13"/>
    <w:rsid w:val="00792A54"/>
    <w:rsid w:val="007955C4"/>
    <w:rsid w:val="00795A8A"/>
    <w:rsid w:val="00796CF4"/>
    <w:rsid w:val="00797255"/>
    <w:rsid w:val="00797368"/>
    <w:rsid w:val="00797682"/>
    <w:rsid w:val="00797855"/>
    <w:rsid w:val="007A1693"/>
    <w:rsid w:val="007A331F"/>
    <w:rsid w:val="007A38AB"/>
    <w:rsid w:val="007A4192"/>
    <w:rsid w:val="007A4808"/>
    <w:rsid w:val="007A64F5"/>
    <w:rsid w:val="007A6C46"/>
    <w:rsid w:val="007B07AB"/>
    <w:rsid w:val="007B0E20"/>
    <w:rsid w:val="007B2C60"/>
    <w:rsid w:val="007B489C"/>
    <w:rsid w:val="007B6B4B"/>
    <w:rsid w:val="007B6E73"/>
    <w:rsid w:val="007C0BD2"/>
    <w:rsid w:val="007C22DB"/>
    <w:rsid w:val="007C3EC5"/>
    <w:rsid w:val="007C5D35"/>
    <w:rsid w:val="007D0051"/>
    <w:rsid w:val="007D02DF"/>
    <w:rsid w:val="007D0CCC"/>
    <w:rsid w:val="007D0CD3"/>
    <w:rsid w:val="007D171F"/>
    <w:rsid w:val="007D3089"/>
    <w:rsid w:val="007D3AC3"/>
    <w:rsid w:val="007D3F42"/>
    <w:rsid w:val="007D455E"/>
    <w:rsid w:val="007D4F9F"/>
    <w:rsid w:val="007D5454"/>
    <w:rsid w:val="007D5563"/>
    <w:rsid w:val="007D5ABC"/>
    <w:rsid w:val="007D5FA8"/>
    <w:rsid w:val="007D6582"/>
    <w:rsid w:val="007D6834"/>
    <w:rsid w:val="007D7608"/>
    <w:rsid w:val="007D7791"/>
    <w:rsid w:val="007E16A4"/>
    <w:rsid w:val="007E2E33"/>
    <w:rsid w:val="007E2E6D"/>
    <w:rsid w:val="007E43EB"/>
    <w:rsid w:val="007E4A5A"/>
    <w:rsid w:val="007E627F"/>
    <w:rsid w:val="007E6F92"/>
    <w:rsid w:val="007E737A"/>
    <w:rsid w:val="007F012F"/>
    <w:rsid w:val="007F1003"/>
    <w:rsid w:val="007F11B4"/>
    <w:rsid w:val="007F12F7"/>
    <w:rsid w:val="007F1905"/>
    <w:rsid w:val="007F19D8"/>
    <w:rsid w:val="007F23B8"/>
    <w:rsid w:val="007F40F1"/>
    <w:rsid w:val="007F4975"/>
    <w:rsid w:val="007F559D"/>
    <w:rsid w:val="007F5744"/>
    <w:rsid w:val="007F7101"/>
    <w:rsid w:val="00800EE5"/>
    <w:rsid w:val="00802643"/>
    <w:rsid w:val="00802CDD"/>
    <w:rsid w:val="00802FE3"/>
    <w:rsid w:val="0080320E"/>
    <w:rsid w:val="00803A77"/>
    <w:rsid w:val="00804631"/>
    <w:rsid w:val="00804AF0"/>
    <w:rsid w:val="00805281"/>
    <w:rsid w:val="00805E20"/>
    <w:rsid w:val="0080765B"/>
    <w:rsid w:val="00807ADB"/>
    <w:rsid w:val="008120F7"/>
    <w:rsid w:val="008135FC"/>
    <w:rsid w:val="00813CE7"/>
    <w:rsid w:val="0081458E"/>
    <w:rsid w:val="00815B3B"/>
    <w:rsid w:val="008167D9"/>
    <w:rsid w:val="00817409"/>
    <w:rsid w:val="0081742B"/>
    <w:rsid w:val="0082015F"/>
    <w:rsid w:val="00820B54"/>
    <w:rsid w:val="00820C79"/>
    <w:rsid w:val="0082271E"/>
    <w:rsid w:val="00823515"/>
    <w:rsid w:val="008259D7"/>
    <w:rsid w:val="00826634"/>
    <w:rsid w:val="00826ADD"/>
    <w:rsid w:val="00830108"/>
    <w:rsid w:val="00830124"/>
    <w:rsid w:val="0083081D"/>
    <w:rsid w:val="00831DF4"/>
    <w:rsid w:val="008323EA"/>
    <w:rsid w:val="00834184"/>
    <w:rsid w:val="0083436C"/>
    <w:rsid w:val="00834F22"/>
    <w:rsid w:val="00836059"/>
    <w:rsid w:val="00836922"/>
    <w:rsid w:val="008400A6"/>
    <w:rsid w:val="008400D5"/>
    <w:rsid w:val="0084112D"/>
    <w:rsid w:val="008419C9"/>
    <w:rsid w:val="008426FD"/>
    <w:rsid w:val="0084279B"/>
    <w:rsid w:val="00842D1D"/>
    <w:rsid w:val="0084452E"/>
    <w:rsid w:val="00844544"/>
    <w:rsid w:val="00845045"/>
    <w:rsid w:val="00846489"/>
    <w:rsid w:val="00847341"/>
    <w:rsid w:val="00850946"/>
    <w:rsid w:val="008516E6"/>
    <w:rsid w:val="00851C3E"/>
    <w:rsid w:val="008529DD"/>
    <w:rsid w:val="00852A0D"/>
    <w:rsid w:val="00852F1C"/>
    <w:rsid w:val="00853490"/>
    <w:rsid w:val="008538F0"/>
    <w:rsid w:val="008542D1"/>
    <w:rsid w:val="008542ED"/>
    <w:rsid w:val="008548BB"/>
    <w:rsid w:val="008548EC"/>
    <w:rsid w:val="00855256"/>
    <w:rsid w:val="00855A8B"/>
    <w:rsid w:val="00855E99"/>
    <w:rsid w:val="008574CD"/>
    <w:rsid w:val="0086050D"/>
    <w:rsid w:val="008606E2"/>
    <w:rsid w:val="0086168F"/>
    <w:rsid w:val="00862F2E"/>
    <w:rsid w:val="0086477F"/>
    <w:rsid w:val="008656A3"/>
    <w:rsid w:val="00865DC2"/>
    <w:rsid w:val="008662C6"/>
    <w:rsid w:val="00867CA7"/>
    <w:rsid w:val="0087108B"/>
    <w:rsid w:val="00871AD1"/>
    <w:rsid w:val="00872B84"/>
    <w:rsid w:val="00872CD7"/>
    <w:rsid w:val="0087356A"/>
    <w:rsid w:val="00874B9F"/>
    <w:rsid w:val="008750AE"/>
    <w:rsid w:val="0087537C"/>
    <w:rsid w:val="00875621"/>
    <w:rsid w:val="0087578E"/>
    <w:rsid w:val="0087583B"/>
    <w:rsid w:val="00876E2C"/>
    <w:rsid w:val="008776C4"/>
    <w:rsid w:val="00880E49"/>
    <w:rsid w:val="008813C6"/>
    <w:rsid w:val="00881518"/>
    <w:rsid w:val="0088196A"/>
    <w:rsid w:val="00881A8F"/>
    <w:rsid w:val="008829FF"/>
    <w:rsid w:val="00882E4E"/>
    <w:rsid w:val="008835F8"/>
    <w:rsid w:val="00883B14"/>
    <w:rsid w:val="00884BB7"/>
    <w:rsid w:val="00886766"/>
    <w:rsid w:val="0088696A"/>
    <w:rsid w:val="00886C38"/>
    <w:rsid w:val="00886EDA"/>
    <w:rsid w:val="00887DA2"/>
    <w:rsid w:val="00890F8C"/>
    <w:rsid w:val="00891F22"/>
    <w:rsid w:val="00892030"/>
    <w:rsid w:val="008934F0"/>
    <w:rsid w:val="0089753B"/>
    <w:rsid w:val="008A1398"/>
    <w:rsid w:val="008A2922"/>
    <w:rsid w:val="008A70EC"/>
    <w:rsid w:val="008A75AB"/>
    <w:rsid w:val="008A789F"/>
    <w:rsid w:val="008B04A0"/>
    <w:rsid w:val="008B0DA2"/>
    <w:rsid w:val="008B1E72"/>
    <w:rsid w:val="008B2276"/>
    <w:rsid w:val="008B2C07"/>
    <w:rsid w:val="008B3C3B"/>
    <w:rsid w:val="008B4D98"/>
    <w:rsid w:val="008B5B2F"/>
    <w:rsid w:val="008C1A07"/>
    <w:rsid w:val="008C230C"/>
    <w:rsid w:val="008C256E"/>
    <w:rsid w:val="008C3C97"/>
    <w:rsid w:val="008C6770"/>
    <w:rsid w:val="008C7ECE"/>
    <w:rsid w:val="008C7EF6"/>
    <w:rsid w:val="008D043F"/>
    <w:rsid w:val="008D15C0"/>
    <w:rsid w:val="008D1A87"/>
    <w:rsid w:val="008D2285"/>
    <w:rsid w:val="008D2876"/>
    <w:rsid w:val="008D3254"/>
    <w:rsid w:val="008D4D0E"/>
    <w:rsid w:val="008D512B"/>
    <w:rsid w:val="008D549E"/>
    <w:rsid w:val="008D6414"/>
    <w:rsid w:val="008D69EB"/>
    <w:rsid w:val="008E02CE"/>
    <w:rsid w:val="008E0D78"/>
    <w:rsid w:val="008E116F"/>
    <w:rsid w:val="008E2B24"/>
    <w:rsid w:val="008E3230"/>
    <w:rsid w:val="008E546B"/>
    <w:rsid w:val="008E66CD"/>
    <w:rsid w:val="008E6FD4"/>
    <w:rsid w:val="008F066E"/>
    <w:rsid w:val="008F4577"/>
    <w:rsid w:val="008F49EA"/>
    <w:rsid w:val="008F5975"/>
    <w:rsid w:val="008F61D9"/>
    <w:rsid w:val="008F64A4"/>
    <w:rsid w:val="008F712A"/>
    <w:rsid w:val="008F7694"/>
    <w:rsid w:val="008F7846"/>
    <w:rsid w:val="008F7CDB"/>
    <w:rsid w:val="009006E2"/>
    <w:rsid w:val="00900E4A"/>
    <w:rsid w:val="00901278"/>
    <w:rsid w:val="00901FD5"/>
    <w:rsid w:val="00903A3D"/>
    <w:rsid w:val="00903AB2"/>
    <w:rsid w:val="009069DF"/>
    <w:rsid w:val="00906E5F"/>
    <w:rsid w:val="00910515"/>
    <w:rsid w:val="009105C4"/>
    <w:rsid w:val="0091090D"/>
    <w:rsid w:val="00910BE4"/>
    <w:rsid w:val="00911F3C"/>
    <w:rsid w:val="00913415"/>
    <w:rsid w:val="0091380B"/>
    <w:rsid w:val="00913FA2"/>
    <w:rsid w:val="00914A9C"/>
    <w:rsid w:val="009153F5"/>
    <w:rsid w:val="00915A3D"/>
    <w:rsid w:val="00916F9E"/>
    <w:rsid w:val="00917592"/>
    <w:rsid w:val="0092064F"/>
    <w:rsid w:val="00921327"/>
    <w:rsid w:val="00925284"/>
    <w:rsid w:val="0092534D"/>
    <w:rsid w:val="009274F0"/>
    <w:rsid w:val="00930C73"/>
    <w:rsid w:val="00931109"/>
    <w:rsid w:val="00933696"/>
    <w:rsid w:val="00933714"/>
    <w:rsid w:val="00934EB6"/>
    <w:rsid w:val="0093529E"/>
    <w:rsid w:val="009352E5"/>
    <w:rsid w:val="00936502"/>
    <w:rsid w:val="009369EE"/>
    <w:rsid w:val="00937B97"/>
    <w:rsid w:val="00940B5D"/>
    <w:rsid w:val="00940FCE"/>
    <w:rsid w:val="009417B6"/>
    <w:rsid w:val="009421FA"/>
    <w:rsid w:val="009444AE"/>
    <w:rsid w:val="00944EB2"/>
    <w:rsid w:val="00945F3F"/>
    <w:rsid w:val="00946C2D"/>
    <w:rsid w:val="00947282"/>
    <w:rsid w:val="00947287"/>
    <w:rsid w:val="00947C1C"/>
    <w:rsid w:val="00950132"/>
    <w:rsid w:val="00950A3F"/>
    <w:rsid w:val="00950B38"/>
    <w:rsid w:val="009530DD"/>
    <w:rsid w:val="009534B0"/>
    <w:rsid w:val="00953710"/>
    <w:rsid w:val="00953F51"/>
    <w:rsid w:val="00954096"/>
    <w:rsid w:val="00954BB0"/>
    <w:rsid w:val="00956424"/>
    <w:rsid w:val="00956D08"/>
    <w:rsid w:val="00957542"/>
    <w:rsid w:val="00960EC7"/>
    <w:rsid w:val="00962200"/>
    <w:rsid w:val="0096268F"/>
    <w:rsid w:val="00965285"/>
    <w:rsid w:val="009655CA"/>
    <w:rsid w:val="00965916"/>
    <w:rsid w:val="00965E91"/>
    <w:rsid w:val="009660A3"/>
    <w:rsid w:val="00966A7D"/>
    <w:rsid w:val="00966D3B"/>
    <w:rsid w:val="00966DB7"/>
    <w:rsid w:val="009671CD"/>
    <w:rsid w:val="00967B7E"/>
    <w:rsid w:val="00967DB1"/>
    <w:rsid w:val="009719D7"/>
    <w:rsid w:val="0097245A"/>
    <w:rsid w:val="009724CE"/>
    <w:rsid w:val="00974720"/>
    <w:rsid w:val="00975723"/>
    <w:rsid w:val="00976027"/>
    <w:rsid w:val="009764D5"/>
    <w:rsid w:val="00977400"/>
    <w:rsid w:val="00980A13"/>
    <w:rsid w:val="00983295"/>
    <w:rsid w:val="00984586"/>
    <w:rsid w:val="009846EB"/>
    <w:rsid w:val="00984B01"/>
    <w:rsid w:val="009855A2"/>
    <w:rsid w:val="00985B9A"/>
    <w:rsid w:val="00986463"/>
    <w:rsid w:val="00987604"/>
    <w:rsid w:val="00990744"/>
    <w:rsid w:val="009911A4"/>
    <w:rsid w:val="00991426"/>
    <w:rsid w:val="00992055"/>
    <w:rsid w:val="009923E4"/>
    <w:rsid w:val="00993983"/>
    <w:rsid w:val="009952FC"/>
    <w:rsid w:val="0099587C"/>
    <w:rsid w:val="00995CF5"/>
    <w:rsid w:val="00995E33"/>
    <w:rsid w:val="00995E78"/>
    <w:rsid w:val="00995EA5"/>
    <w:rsid w:val="00996ECE"/>
    <w:rsid w:val="00997A7C"/>
    <w:rsid w:val="00997E87"/>
    <w:rsid w:val="00997F7A"/>
    <w:rsid w:val="009A11ED"/>
    <w:rsid w:val="009A235D"/>
    <w:rsid w:val="009A3288"/>
    <w:rsid w:val="009A371E"/>
    <w:rsid w:val="009A3B16"/>
    <w:rsid w:val="009A64FA"/>
    <w:rsid w:val="009A6D8D"/>
    <w:rsid w:val="009A750C"/>
    <w:rsid w:val="009A7672"/>
    <w:rsid w:val="009B3DE7"/>
    <w:rsid w:val="009B3EAF"/>
    <w:rsid w:val="009B505D"/>
    <w:rsid w:val="009B56D4"/>
    <w:rsid w:val="009B5ACE"/>
    <w:rsid w:val="009B61B5"/>
    <w:rsid w:val="009B68F7"/>
    <w:rsid w:val="009B6934"/>
    <w:rsid w:val="009B7BCE"/>
    <w:rsid w:val="009C015B"/>
    <w:rsid w:val="009C13E1"/>
    <w:rsid w:val="009C37CB"/>
    <w:rsid w:val="009C566B"/>
    <w:rsid w:val="009C5D22"/>
    <w:rsid w:val="009C7057"/>
    <w:rsid w:val="009C787C"/>
    <w:rsid w:val="009D11AD"/>
    <w:rsid w:val="009D22D7"/>
    <w:rsid w:val="009D24EA"/>
    <w:rsid w:val="009D2C35"/>
    <w:rsid w:val="009D39EA"/>
    <w:rsid w:val="009D3FE5"/>
    <w:rsid w:val="009D4A11"/>
    <w:rsid w:val="009D4BE5"/>
    <w:rsid w:val="009D5BB8"/>
    <w:rsid w:val="009D5FA1"/>
    <w:rsid w:val="009D624A"/>
    <w:rsid w:val="009D6405"/>
    <w:rsid w:val="009D6DD7"/>
    <w:rsid w:val="009D70D6"/>
    <w:rsid w:val="009D7275"/>
    <w:rsid w:val="009D7387"/>
    <w:rsid w:val="009E0163"/>
    <w:rsid w:val="009E0842"/>
    <w:rsid w:val="009E0FC7"/>
    <w:rsid w:val="009E4BFF"/>
    <w:rsid w:val="009E4E8B"/>
    <w:rsid w:val="009E5961"/>
    <w:rsid w:val="009E6EE5"/>
    <w:rsid w:val="009E7707"/>
    <w:rsid w:val="009F15D8"/>
    <w:rsid w:val="009F183E"/>
    <w:rsid w:val="009F1875"/>
    <w:rsid w:val="009F2247"/>
    <w:rsid w:val="009F2540"/>
    <w:rsid w:val="009F39F8"/>
    <w:rsid w:val="009F3C99"/>
    <w:rsid w:val="009F3CA8"/>
    <w:rsid w:val="009F40C1"/>
    <w:rsid w:val="009F50F3"/>
    <w:rsid w:val="009F53A9"/>
    <w:rsid w:val="009F5654"/>
    <w:rsid w:val="009F5D63"/>
    <w:rsid w:val="009F630C"/>
    <w:rsid w:val="009F6CA3"/>
    <w:rsid w:val="009F7DC8"/>
    <w:rsid w:val="00A00001"/>
    <w:rsid w:val="00A01E07"/>
    <w:rsid w:val="00A047CF"/>
    <w:rsid w:val="00A04D7B"/>
    <w:rsid w:val="00A05865"/>
    <w:rsid w:val="00A05A4D"/>
    <w:rsid w:val="00A06A12"/>
    <w:rsid w:val="00A06F8F"/>
    <w:rsid w:val="00A07694"/>
    <w:rsid w:val="00A07BFC"/>
    <w:rsid w:val="00A10FEB"/>
    <w:rsid w:val="00A138FA"/>
    <w:rsid w:val="00A14C0C"/>
    <w:rsid w:val="00A14E26"/>
    <w:rsid w:val="00A150C2"/>
    <w:rsid w:val="00A17ACE"/>
    <w:rsid w:val="00A206BB"/>
    <w:rsid w:val="00A209EA"/>
    <w:rsid w:val="00A20E93"/>
    <w:rsid w:val="00A221C5"/>
    <w:rsid w:val="00A2257A"/>
    <w:rsid w:val="00A2428A"/>
    <w:rsid w:val="00A25142"/>
    <w:rsid w:val="00A2704F"/>
    <w:rsid w:val="00A27B4B"/>
    <w:rsid w:val="00A33305"/>
    <w:rsid w:val="00A34845"/>
    <w:rsid w:val="00A3547B"/>
    <w:rsid w:val="00A36A12"/>
    <w:rsid w:val="00A404B7"/>
    <w:rsid w:val="00A40E8F"/>
    <w:rsid w:val="00A42AE4"/>
    <w:rsid w:val="00A4303B"/>
    <w:rsid w:val="00A43397"/>
    <w:rsid w:val="00A4366C"/>
    <w:rsid w:val="00A43ED5"/>
    <w:rsid w:val="00A44369"/>
    <w:rsid w:val="00A44669"/>
    <w:rsid w:val="00A44E49"/>
    <w:rsid w:val="00A45036"/>
    <w:rsid w:val="00A464D7"/>
    <w:rsid w:val="00A47DE4"/>
    <w:rsid w:val="00A51B52"/>
    <w:rsid w:val="00A51CF3"/>
    <w:rsid w:val="00A520DB"/>
    <w:rsid w:val="00A52370"/>
    <w:rsid w:val="00A52A4B"/>
    <w:rsid w:val="00A5348E"/>
    <w:rsid w:val="00A53772"/>
    <w:rsid w:val="00A543A0"/>
    <w:rsid w:val="00A548AC"/>
    <w:rsid w:val="00A54E29"/>
    <w:rsid w:val="00A54F84"/>
    <w:rsid w:val="00A565DB"/>
    <w:rsid w:val="00A5661B"/>
    <w:rsid w:val="00A603C6"/>
    <w:rsid w:val="00A61E72"/>
    <w:rsid w:val="00A63411"/>
    <w:rsid w:val="00A63533"/>
    <w:rsid w:val="00A704C0"/>
    <w:rsid w:val="00A70DEB"/>
    <w:rsid w:val="00A72B0C"/>
    <w:rsid w:val="00A72BD3"/>
    <w:rsid w:val="00A733B2"/>
    <w:rsid w:val="00A747EB"/>
    <w:rsid w:val="00A74A69"/>
    <w:rsid w:val="00A76861"/>
    <w:rsid w:val="00A76D69"/>
    <w:rsid w:val="00A77E11"/>
    <w:rsid w:val="00A81788"/>
    <w:rsid w:val="00A82BBB"/>
    <w:rsid w:val="00A852ED"/>
    <w:rsid w:val="00A853A3"/>
    <w:rsid w:val="00A85499"/>
    <w:rsid w:val="00A8708E"/>
    <w:rsid w:val="00A8796A"/>
    <w:rsid w:val="00A90A6C"/>
    <w:rsid w:val="00A914C8"/>
    <w:rsid w:val="00A921FA"/>
    <w:rsid w:val="00A92A60"/>
    <w:rsid w:val="00A95B08"/>
    <w:rsid w:val="00A95B3E"/>
    <w:rsid w:val="00A95C56"/>
    <w:rsid w:val="00A95D29"/>
    <w:rsid w:val="00A96AD4"/>
    <w:rsid w:val="00A9754E"/>
    <w:rsid w:val="00A97922"/>
    <w:rsid w:val="00A97F99"/>
    <w:rsid w:val="00AA4274"/>
    <w:rsid w:val="00AA5C22"/>
    <w:rsid w:val="00AA6C1E"/>
    <w:rsid w:val="00AB0B68"/>
    <w:rsid w:val="00AB0D23"/>
    <w:rsid w:val="00AB25B9"/>
    <w:rsid w:val="00AB2C11"/>
    <w:rsid w:val="00AB3367"/>
    <w:rsid w:val="00AB4856"/>
    <w:rsid w:val="00AB4F54"/>
    <w:rsid w:val="00AC0220"/>
    <w:rsid w:val="00AC0563"/>
    <w:rsid w:val="00AC1332"/>
    <w:rsid w:val="00AC1EE1"/>
    <w:rsid w:val="00AC2A93"/>
    <w:rsid w:val="00AC301E"/>
    <w:rsid w:val="00AC3365"/>
    <w:rsid w:val="00AC3EDE"/>
    <w:rsid w:val="00AC4FE1"/>
    <w:rsid w:val="00AC6611"/>
    <w:rsid w:val="00AC7124"/>
    <w:rsid w:val="00AC737F"/>
    <w:rsid w:val="00AC7514"/>
    <w:rsid w:val="00AD10C0"/>
    <w:rsid w:val="00AD198A"/>
    <w:rsid w:val="00AD1C0B"/>
    <w:rsid w:val="00AD2F81"/>
    <w:rsid w:val="00AD43FC"/>
    <w:rsid w:val="00AD44E7"/>
    <w:rsid w:val="00AD530B"/>
    <w:rsid w:val="00AD64FF"/>
    <w:rsid w:val="00AD6AB4"/>
    <w:rsid w:val="00AD6D32"/>
    <w:rsid w:val="00AD7040"/>
    <w:rsid w:val="00AD729B"/>
    <w:rsid w:val="00AD77AA"/>
    <w:rsid w:val="00AD7A32"/>
    <w:rsid w:val="00AE0D5F"/>
    <w:rsid w:val="00AE35FE"/>
    <w:rsid w:val="00AE3DAE"/>
    <w:rsid w:val="00AE406B"/>
    <w:rsid w:val="00AE45EA"/>
    <w:rsid w:val="00AE4A8C"/>
    <w:rsid w:val="00AE4CD3"/>
    <w:rsid w:val="00AE5BBB"/>
    <w:rsid w:val="00AE616A"/>
    <w:rsid w:val="00AE65F6"/>
    <w:rsid w:val="00AE744C"/>
    <w:rsid w:val="00AF0C49"/>
    <w:rsid w:val="00AF0C8E"/>
    <w:rsid w:val="00AF10C0"/>
    <w:rsid w:val="00AF1680"/>
    <w:rsid w:val="00AF18DC"/>
    <w:rsid w:val="00AF3336"/>
    <w:rsid w:val="00AF3540"/>
    <w:rsid w:val="00AF57B2"/>
    <w:rsid w:val="00AF60CB"/>
    <w:rsid w:val="00AF76E8"/>
    <w:rsid w:val="00B03065"/>
    <w:rsid w:val="00B03CCE"/>
    <w:rsid w:val="00B0416F"/>
    <w:rsid w:val="00B0454B"/>
    <w:rsid w:val="00B04844"/>
    <w:rsid w:val="00B0673C"/>
    <w:rsid w:val="00B06C1D"/>
    <w:rsid w:val="00B07CD0"/>
    <w:rsid w:val="00B105FC"/>
    <w:rsid w:val="00B115E2"/>
    <w:rsid w:val="00B13615"/>
    <w:rsid w:val="00B14BB5"/>
    <w:rsid w:val="00B14CEA"/>
    <w:rsid w:val="00B1516F"/>
    <w:rsid w:val="00B1620A"/>
    <w:rsid w:val="00B17EBE"/>
    <w:rsid w:val="00B218DB"/>
    <w:rsid w:val="00B21B60"/>
    <w:rsid w:val="00B22224"/>
    <w:rsid w:val="00B258F0"/>
    <w:rsid w:val="00B263DE"/>
    <w:rsid w:val="00B26AA3"/>
    <w:rsid w:val="00B27680"/>
    <w:rsid w:val="00B31ABD"/>
    <w:rsid w:val="00B31C04"/>
    <w:rsid w:val="00B320A2"/>
    <w:rsid w:val="00B349AB"/>
    <w:rsid w:val="00B362FA"/>
    <w:rsid w:val="00B36442"/>
    <w:rsid w:val="00B3741D"/>
    <w:rsid w:val="00B37B24"/>
    <w:rsid w:val="00B401C7"/>
    <w:rsid w:val="00B40C5F"/>
    <w:rsid w:val="00B41F84"/>
    <w:rsid w:val="00B4252B"/>
    <w:rsid w:val="00B42FF4"/>
    <w:rsid w:val="00B446F8"/>
    <w:rsid w:val="00B45B12"/>
    <w:rsid w:val="00B45EAE"/>
    <w:rsid w:val="00B46073"/>
    <w:rsid w:val="00B47263"/>
    <w:rsid w:val="00B476C0"/>
    <w:rsid w:val="00B50C8E"/>
    <w:rsid w:val="00B50F89"/>
    <w:rsid w:val="00B52249"/>
    <w:rsid w:val="00B534B8"/>
    <w:rsid w:val="00B544B3"/>
    <w:rsid w:val="00B555E0"/>
    <w:rsid w:val="00B564FC"/>
    <w:rsid w:val="00B56A78"/>
    <w:rsid w:val="00B60485"/>
    <w:rsid w:val="00B61357"/>
    <w:rsid w:val="00B614DE"/>
    <w:rsid w:val="00B6219A"/>
    <w:rsid w:val="00B64770"/>
    <w:rsid w:val="00B67AD9"/>
    <w:rsid w:val="00B72B7C"/>
    <w:rsid w:val="00B73ED6"/>
    <w:rsid w:val="00B73F90"/>
    <w:rsid w:val="00B82724"/>
    <w:rsid w:val="00B8333E"/>
    <w:rsid w:val="00B834A5"/>
    <w:rsid w:val="00B8384D"/>
    <w:rsid w:val="00B83A41"/>
    <w:rsid w:val="00B87D2E"/>
    <w:rsid w:val="00B902D4"/>
    <w:rsid w:val="00B92258"/>
    <w:rsid w:val="00B92349"/>
    <w:rsid w:val="00B92635"/>
    <w:rsid w:val="00B92894"/>
    <w:rsid w:val="00B93079"/>
    <w:rsid w:val="00B93495"/>
    <w:rsid w:val="00B93A11"/>
    <w:rsid w:val="00B93C56"/>
    <w:rsid w:val="00B94EA4"/>
    <w:rsid w:val="00B95364"/>
    <w:rsid w:val="00B9543F"/>
    <w:rsid w:val="00B956EC"/>
    <w:rsid w:val="00B95915"/>
    <w:rsid w:val="00B961A9"/>
    <w:rsid w:val="00B97FCD"/>
    <w:rsid w:val="00BA0227"/>
    <w:rsid w:val="00BA0528"/>
    <w:rsid w:val="00BA18D4"/>
    <w:rsid w:val="00BA3037"/>
    <w:rsid w:val="00BA35FB"/>
    <w:rsid w:val="00BA4703"/>
    <w:rsid w:val="00BA4B8D"/>
    <w:rsid w:val="00BA5497"/>
    <w:rsid w:val="00BB1E88"/>
    <w:rsid w:val="00BB4CB5"/>
    <w:rsid w:val="00BB59D7"/>
    <w:rsid w:val="00BB5E6A"/>
    <w:rsid w:val="00BB6697"/>
    <w:rsid w:val="00BB7041"/>
    <w:rsid w:val="00BB745F"/>
    <w:rsid w:val="00BB7A6F"/>
    <w:rsid w:val="00BC03AC"/>
    <w:rsid w:val="00BC0CD8"/>
    <w:rsid w:val="00BC2D88"/>
    <w:rsid w:val="00BC493B"/>
    <w:rsid w:val="00BC5111"/>
    <w:rsid w:val="00BC5550"/>
    <w:rsid w:val="00BC570E"/>
    <w:rsid w:val="00BC5E0C"/>
    <w:rsid w:val="00BC64D9"/>
    <w:rsid w:val="00BC7733"/>
    <w:rsid w:val="00BC7B8B"/>
    <w:rsid w:val="00BD0E00"/>
    <w:rsid w:val="00BD2570"/>
    <w:rsid w:val="00BD2B1D"/>
    <w:rsid w:val="00BD2F57"/>
    <w:rsid w:val="00BD340B"/>
    <w:rsid w:val="00BD3FDB"/>
    <w:rsid w:val="00BD51C2"/>
    <w:rsid w:val="00BD5315"/>
    <w:rsid w:val="00BD5904"/>
    <w:rsid w:val="00BD75F4"/>
    <w:rsid w:val="00BD7B40"/>
    <w:rsid w:val="00BE111F"/>
    <w:rsid w:val="00BE157B"/>
    <w:rsid w:val="00BE4552"/>
    <w:rsid w:val="00BE4F30"/>
    <w:rsid w:val="00BE55C0"/>
    <w:rsid w:val="00BE56E7"/>
    <w:rsid w:val="00BE57BA"/>
    <w:rsid w:val="00BE605F"/>
    <w:rsid w:val="00BF2898"/>
    <w:rsid w:val="00BF312F"/>
    <w:rsid w:val="00BF4792"/>
    <w:rsid w:val="00BF485E"/>
    <w:rsid w:val="00BF4A72"/>
    <w:rsid w:val="00BF5B92"/>
    <w:rsid w:val="00BF6948"/>
    <w:rsid w:val="00BF706F"/>
    <w:rsid w:val="00C0054A"/>
    <w:rsid w:val="00C01018"/>
    <w:rsid w:val="00C02A37"/>
    <w:rsid w:val="00C05432"/>
    <w:rsid w:val="00C05AE6"/>
    <w:rsid w:val="00C05FC7"/>
    <w:rsid w:val="00C06245"/>
    <w:rsid w:val="00C06B27"/>
    <w:rsid w:val="00C110E0"/>
    <w:rsid w:val="00C11578"/>
    <w:rsid w:val="00C12567"/>
    <w:rsid w:val="00C12C57"/>
    <w:rsid w:val="00C13280"/>
    <w:rsid w:val="00C141C9"/>
    <w:rsid w:val="00C17E0C"/>
    <w:rsid w:val="00C207E6"/>
    <w:rsid w:val="00C209F3"/>
    <w:rsid w:val="00C20D7A"/>
    <w:rsid w:val="00C213D0"/>
    <w:rsid w:val="00C22A26"/>
    <w:rsid w:val="00C233EA"/>
    <w:rsid w:val="00C2437E"/>
    <w:rsid w:val="00C24EF1"/>
    <w:rsid w:val="00C253B3"/>
    <w:rsid w:val="00C25F58"/>
    <w:rsid w:val="00C25F93"/>
    <w:rsid w:val="00C2671B"/>
    <w:rsid w:val="00C26917"/>
    <w:rsid w:val="00C30388"/>
    <w:rsid w:val="00C31AC7"/>
    <w:rsid w:val="00C32697"/>
    <w:rsid w:val="00C334D7"/>
    <w:rsid w:val="00C34E48"/>
    <w:rsid w:val="00C35041"/>
    <w:rsid w:val="00C35262"/>
    <w:rsid w:val="00C35630"/>
    <w:rsid w:val="00C35E93"/>
    <w:rsid w:val="00C36AB9"/>
    <w:rsid w:val="00C406FB"/>
    <w:rsid w:val="00C40D07"/>
    <w:rsid w:val="00C41143"/>
    <w:rsid w:val="00C4161A"/>
    <w:rsid w:val="00C41DB0"/>
    <w:rsid w:val="00C438E0"/>
    <w:rsid w:val="00C43B65"/>
    <w:rsid w:val="00C4431A"/>
    <w:rsid w:val="00C4445F"/>
    <w:rsid w:val="00C4481C"/>
    <w:rsid w:val="00C45BFF"/>
    <w:rsid w:val="00C45F57"/>
    <w:rsid w:val="00C47748"/>
    <w:rsid w:val="00C50DAE"/>
    <w:rsid w:val="00C50F05"/>
    <w:rsid w:val="00C51A3D"/>
    <w:rsid w:val="00C5257E"/>
    <w:rsid w:val="00C52C25"/>
    <w:rsid w:val="00C542D2"/>
    <w:rsid w:val="00C5467F"/>
    <w:rsid w:val="00C55B8C"/>
    <w:rsid w:val="00C561A7"/>
    <w:rsid w:val="00C56A2F"/>
    <w:rsid w:val="00C57568"/>
    <w:rsid w:val="00C579FC"/>
    <w:rsid w:val="00C57CB9"/>
    <w:rsid w:val="00C610D9"/>
    <w:rsid w:val="00C61124"/>
    <w:rsid w:val="00C61298"/>
    <w:rsid w:val="00C617C1"/>
    <w:rsid w:val="00C61B90"/>
    <w:rsid w:val="00C63BA5"/>
    <w:rsid w:val="00C661BD"/>
    <w:rsid w:val="00C678CD"/>
    <w:rsid w:val="00C71713"/>
    <w:rsid w:val="00C71A9C"/>
    <w:rsid w:val="00C72CA8"/>
    <w:rsid w:val="00C73829"/>
    <w:rsid w:val="00C739DF"/>
    <w:rsid w:val="00C73E1C"/>
    <w:rsid w:val="00C742E8"/>
    <w:rsid w:val="00C749E8"/>
    <w:rsid w:val="00C75177"/>
    <w:rsid w:val="00C753A9"/>
    <w:rsid w:val="00C75ECB"/>
    <w:rsid w:val="00C76016"/>
    <w:rsid w:val="00C76BBF"/>
    <w:rsid w:val="00C76E36"/>
    <w:rsid w:val="00C77521"/>
    <w:rsid w:val="00C819F7"/>
    <w:rsid w:val="00C81FE8"/>
    <w:rsid w:val="00C82991"/>
    <w:rsid w:val="00C82BF4"/>
    <w:rsid w:val="00C84A55"/>
    <w:rsid w:val="00C864C8"/>
    <w:rsid w:val="00C866C4"/>
    <w:rsid w:val="00C868BA"/>
    <w:rsid w:val="00C86AC5"/>
    <w:rsid w:val="00C90871"/>
    <w:rsid w:val="00C91959"/>
    <w:rsid w:val="00C935A8"/>
    <w:rsid w:val="00C94C32"/>
    <w:rsid w:val="00C9675C"/>
    <w:rsid w:val="00C968F4"/>
    <w:rsid w:val="00C979F8"/>
    <w:rsid w:val="00C97FAE"/>
    <w:rsid w:val="00CA0AC7"/>
    <w:rsid w:val="00CA1C7B"/>
    <w:rsid w:val="00CA1D67"/>
    <w:rsid w:val="00CA21CD"/>
    <w:rsid w:val="00CA3626"/>
    <w:rsid w:val="00CA4A38"/>
    <w:rsid w:val="00CA5C63"/>
    <w:rsid w:val="00CA60D0"/>
    <w:rsid w:val="00CA6232"/>
    <w:rsid w:val="00CB06B8"/>
    <w:rsid w:val="00CB13E3"/>
    <w:rsid w:val="00CB208C"/>
    <w:rsid w:val="00CB27B8"/>
    <w:rsid w:val="00CB32BD"/>
    <w:rsid w:val="00CB3375"/>
    <w:rsid w:val="00CB4DF1"/>
    <w:rsid w:val="00CB5C0D"/>
    <w:rsid w:val="00CC05FB"/>
    <w:rsid w:val="00CC2C6C"/>
    <w:rsid w:val="00CC6DB8"/>
    <w:rsid w:val="00CC6F2F"/>
    <w:rsid w:val="00CD0104"/>
    <w:rsid w:val="00CD097E"/>
    <w:rsid w:val="00CD1688"/>
    <w:rsid w:val="00CD2DE7"/>
    <w:rsid w:val="00CD36A4"/>
    <w:rsid w:val="00CD3761"/>
    <w:rsid w:val="00CD37C2"/>
    <w:rsid w:val="00CD386B"/>
    <w:rsid w:val="00CD482B"/>
    <w:rsid w:val="00CD5BB3"/>
    <w:rsid w:val="00CD63ED"/>
    <w:rsid w:val="00CD6704"/>
    <w:rsid w:val="00CE14C7"/>
    <w:rsid w:val="00CE33B0"/>
    <w:rsid w:val="00CF02CD"/>
    <w:rsid w:val="00CF0556"/>
    <w:rsid w:val="00CF086D"/>
    <w:rsid w:val="00CF0C6E"/>
    <w:rsid w:val="00CF1D8C"/>
    <w:rsid w:val="00CF2951"/>
    <w:rsid w:val="00CF35E2"/>
    <w:rsid w:val="00CF4E80"/>
    <w:rsid w:val="00CF5A88"/>
    <w:rsid w:val="00CF65CD"/>
    <w:rsid w:val="00CF6D8F"/>
    <w:rsid w:val="00CF78AA"/>
    <w:rsid w:val="00D004FF"/>
    <w:rsid w:val="00D01994"/>
    <w:rsid w:val="00D01C65"/>
    <w:rsid w:val="00D026D6"/>
    <w:rsid w:val="00D03291"/>
    <w:rsid w:val="00D03D8A"/>
    <w:rsid w:val="00D03FCB"/>
    <w:rsid w:val="00D03FFD"/>
    <w:rsid w:val="00D04BD7"/>
    <w:rsid w:val="00D04FF4"/>
    <w:rsid w:val="00D07734"/>
    <w:rsid w:val="00D10071"/>
    <w:rsid w:val="00D1173F"/>
    <w:rsid w:val="00D1211D"/>
    <w:rsid w:val="00D13C43"/>
    <w:rsid w:val="00D14EE1"/>
    <w:rsid w:val="00D158C8"/>
    <w:rsid w:val="00D16B51"/>
    <w:rsid w:val="00D2008B"/>
    <w:rsid w:val="00D20FFB"/>
    <w:rsid w:val="00D21DF9"/>
    <w:rsid w:val="00D22174"/>
    <w:rsid w:val="00D228A1"/>
    <w:rsid w:val="00D26881"/>
    <w:rsid w:val="00D2699E"/>
    <w:rsid w:val="00D269EE"/>
    <w:rsid w:val="00D27F44"/>
    <w:rsid w:val="00D3055D"/>
    <w:rsid w:val="00D31338"/>
    <w:rsid w:val="00D317CD"/>
    <w:rsid w:val="00D319EF"/>
    <w:rsid w:val="00D32F88"/>
    <w:rsid w:val="00D33628"/>
    <w:rsid w:val="00D338A0"/>
    <w:rsid w:val="00D34681"/>
    <w:rsid w:val="00D34A06"/>
    <w:rsid w:val="00D35826"/>
    <w:rsid w:val="00D363A9"/>
    <w:rsid w:val="00D37314"/>
    <w:rsid w:val="00D37D56"/>
    <w:rsid w:val="00D37EF9"/>
    <w:rsid w:val="00D41781"/>
    <w:rsid w:val="00D41A02"/>
    <w:rsid w:val="00D440A6"/>
    <w:rsid w:val="00D445EA"/>
    <w:rsid w:val="00D44834"/>
    <w:rsid w:val="00D45AF5"/>
    <w:rsid w:val="00D45AFB"/>
    <w:rsid w:val="00D45B1C"/>
    <w:rsid w:val="00D47509"/>
    <w:rsid w:val="00D5018D"/>
    <w:rsid w:val="00D515D2"/>
    <w:rsid w:val="00D5173C"/>
    <w:rsid w:val="00D52D81"/>
    <w:rsid w:val="00D52EDD"/>
    <w:rsid w:val="00D5429D"/>
    <w:rsid w:val="00D55712"/>
    <w:rsid w:val="00D56748"/>
    <w:rsid w:val="00D57298"/>
    <w:rsid w:val="00D575D9"/>
    <w:rsid w:val="00D57E6B"/>
    <w:rsid w:val="00D57E87"/>
    <w:rsid w:val="00D622D8"/>
    <w:rsid w:val="00D6284C"/>
    <w:rsid w:val="00D628E5"/>
    <w:rsid w:val="00D6454A"/>
    <w:rsid w:val="00D64A99"/>
    <w:rsid w:val="00D64FC4"/>
    <w:rsid w:val="00D65F2E"/>
    <w:rsid w:val="00D66136"/>
    <w:rsid w:val="00D664FF"/>
    <w:rsid w:val="00D67139"/>
    <w:rsid w:val="00D67614"/>
    <w:rsid w:val="00D67906"/>
    <w:rsid w:val="00D71135"/>
    <w:rsid w:val="00D71C6F"/>
    <w:rsid w:val="00D725E6"/>
    <w:rsid w:val="00D73FE3"/>
    <w:rsid w:val="00D74A3D"/>
    <w:rsid w:val="00D74BCD"/>
    <w:rsid w:val="00D7508E"/>
    <w:rsid w:val="00D75F82"/>
    <w:rsid w:val="00D76DF9"/>
    <w:rsid w:val="00D7769F"/>
    <w:rsid w:val="00D77B59"/>
    <w:rsid w:val="00D80A09"/>
    <w:rsid w:val="00D8128D"/>
    <w:rsid w:val="00D815AB"/>
    <w:rsid w:val="00D81712"/>
    <w:rsid w:val="00D81BC3"/>
    <w:rsid w:val="00D82561"/>
    <w:rsid w:val="00D829D4"/>
    <w:rsid w:val="00D82B1B"/>
    <w:rsid w:val="00D84293"/>
    <w:rsid w:val="00D852B6"/>
    <w:rsid w:val="00D85FB9"/>
    <w:rsid w:val="00D8666B"/>
    <w:rsid w:val="00D86A30"/>
    <w:rsid w:val="00D86EBF"/>
    <w:rsid w:val="00D875A1"/>
    <w:rsid w:val="00D90CAD"/>
    <w:rsid w:val="00D9147A"/>
    <w:rsid w:val="00D924BB"/>
    <w:rsid w:val="00D92DEC"/>
    <w:rsid w:val="00D93247"/>
    <w:rsid w:val="00D93D90"/>
    <w:rsid w:val="00D93E9F"/>
    <w:rsid w:val="00D9417C"/>
    <w:rsid w:val="00D94926"/>
    <w:rsid w:val="00D95015"/>
    <w:rsid w:val="00D95B71"/>
    <w:rsid w:val="00D97610"/>
    <w:rsid w:val="00DA0418"/>
    <w:rsid w:val="00DA15DB"/>
    <w:rsid w:val="00DA2F35"/>
    <w:rsid w:val="00DA302A"/>
    <w:rsid w:val="00DA5EF5"/>
    <w:rsid w:val="00DA5FE2"/>
    <w:rsid w:val="00DA6867"/>
    <w:rsid w:val="00DB00D5"/>
    <w:rsid w:val="00DB1019"/>
    <w:rsid w:val="00DB1783"/>
    <w:rsid w:val="00DB2834"/>
    <w:rsid w:val="00DB3758"/>
    <w:rsid w:val="00DB4070"/>
    <w:rsid w:val="00DB4385"/>
    <w:rsid w:val="00DB4975"/>
    <w:rsid w:val="00DB525E"/>
    <w:rsid w:val="00DB5635"/>
    <w:rsid w:val="00DB5C77"/>
    <w:rsid w:val="00DB6310"/>
    <w:rsid w:val="00DB69D0"/>
    <w:rsid w:val="00DB6A96"/>
    <w:rsid w:val="00DC0F11"/>
    <w:rsid w:val="00DC1788"/>
    <w:rsid w:val="00DC182B"/>
    <w:rsid w:val="00DC3807"/>
    <w:rsid w:val="00DC4AB4"/>
    <w:rsid w:val="00DC5EFB"/>
    <w:rsid w:val="00DC68B1"/>
    <w:rsid w:val="00DC6D7F"/>
    <w:rsid w:val="00DD0576"/>
    <w:rsid w:val="00DD18D1"/>
    <w:rsid w:val="00DD2FAA"/>
    <w:rsid w:val="00DD30A3"/>
    <w:rsid w:val="00DD4480"/>
    <w:rsid w:val="00DD56B8"/>
    <w:rsid w:val="00DD670C"/>
    <w:rsid w:val="00DD7BB8"/>
    <w:rsid w:val="00DE0D11"/>
    <w:rsid w:val="00DE2368"/>
    <w:rsid w:val="00DE39B8"/>
    <w:rsid w:val="00DE43E5"/>
    <w:rsid w:val="00DE5F4C"/>
    <w:rsid w:val="00DE67E1"/>
    <w:rsid w:val="00DE713F"/>
    <w:rsid w:val="00DE7CA6"/>
    <w:rsid w:val="00DF0CBC"/>
    <w:rsid w:val="00DF1427"/>
    <w:rsid w:val="00DF1777"/>
    <w:rsid w:val="00DF22E5"/>
    <w:rsid w:val="00DF2328"/>
    <w:rsid w:val="00DF25F1"/>
    <w:rsid w:val="00DF3589"/>
    <w:rsid w:val="00DF44E8"/>
    <w:rsid w:val="00DF4C34"/>
    <w:rsid w:val="00DF60F1"/>
    <w:rsid w:val="00DF6593"/>
    <w:rsid w:val="00DF719C"/>
    <w:rsid w:val="00E035F4"/>
    <w:rsid w:val="00E03F78"/>
    <w:rsid w:val="00E044F6"/>
    <w:rsid w:val="00E06925"/>
    <w:rsid w:val="00E078AB"/>
    <w:rsid w:val="00E07A74"/>
    <w:rsid w:val="00E10FCA"/>
    <w:rsid w:val="00E12150"/>
    <w:rsid w:val="00E1373B"/>
    <w:rsid w:val="00E15722"/>
    <w:rsid w:val="00E16178"/>
    <w:rsid w:val="00E16663"/>
    <w:rsid w:val="00E17181"/>
    <w:rsid w:val="00E20924"/>
    <w:rsid w:val="00E2227C"/>
    <w:rsid w:val="00E224A2"/>
    <w:rsid w:val="00E2261F"/>
    <w:rsid w:val="00E228A4"/>
    <w:rsid w:val="00E25259"/>
    <w:rsid w:val="00E25BF5"/>
    <w:rsid w:val="00E262C6"/>
    <w:rsid w:val="00E26741"/>
    <w:rsid w:val="00E268B9"/>
    <w:rsid w:val="00E31C78"/>
    <w:rsid w:val="00E324EE"/>
    <w:rsid w:val="00E33799"/>
    <w:rsid w:val="00E33D4B"/>
    <w:rsid w:val="00E343FE"/>
    <w:rsid w:val="00E36277"/>
    <w:rsid w:val="00E365DF"/>
    <w:rsid w:val="00E36844"/>
    <w:rsid w:val="00E36C02"/>
    <w:rsid w:val="00E36F63"/>
    <w:rsid w:val="00E37027"/>
    <w:rsid w:val="00E373FC"/>
    <w:rsid w:val="00E40DC4"/>
    <w:rsid w:val="00E41C76"/>
    <w:rsid w:val="00E4219D"/>
    <w:rsid w:val="00E423F2"/>
    <w:rsid w:val="00E4254C"/>
    <w:rsid w:val="00E436B7"/>
    <w:rsid w:val="00E43ACA"/>
    <w:rsid w:val="00E441A4"/>
    <w:rsid w:val="00E45931"/>
    <w:rsid w:val="00E5019C"/>
    <w:rsid w:val="00E53181"/>
    <w:rsid w:val="00E549BD"/>
    <w:rsid w:val="00E5609A"/>
    <w:rsid w:val="00E57008"/>
    <w:rsid w:val="00E578E4"/>
    <w:rsid w:val="00E57BE5"/>
    <w:rsid w:val="00E60CFC"/>
    <w:rsid w:val="00E63164"/>
    <w:rsid w:val="00E650F8"/>
    <w:rsid w:val="00E65455"/>
    <w:rsid w:val="00E67CBF"/>
    <w:rsid w:val="00E67F48"/>
    <w:rsid w:val="00E72561"/>
    <w:rsid w:val="00E739C9"/>
    <w:rsid w:val="00E74973"/>
    <w:rsid w:val="00E75080"/>
    <w:rsid w:val="00E76494"/>
    <w:rsid w:val="00E7696E"/>
    <w:rsid w:val="00E769B0"/>
    <w:rsid w:val="00E77B4C"/>
    <w:rsid w:val="00E80804"/>
    <w:rsid w:val="00E81513"/>
    <w:rsid w:val="00E816C0"/>
    <w:rsid w:val="00E81B8E"/>
    <w:rsid w:val="00E8234C"/>
    <w:rsid w:val="00E8617D"/>
    <w:rsid w:val="00E87D68"/>
    <w:rsid w:val="00E90011"/>
    <w:rsid w:val="00E90329"/>
    <w:rsid w:val="00E903AA"/>
    <w:rsid w:val="00E91992"/>
    <w:rsid w:val="00E91F38"/>
    <w:rsid w:val="00E9285D"/>
    <w:rsid w:val="00E94076"/>
    <w:rsid w:val="00E95EEA"/>
    <w:rsid w:val="00E96171"/>
    <w:rsid w:val="00EA01DC"/>
    <w:rsid w:val="00EA069F"/>
    <w:rsid w:val="00EA47D9"/>
    <w:rsid w:val="00EA4C9D"/>
    <w:rsid w:val="00EA4EE3"/>
    <w:rsid w:val="00EA598D"/>
    <w:rsid w:val="00EA7808"/>
    <w:rsid w:val="00EA7DE4"/>
    <w:rsid w:val="00EB0336"/>
    <w:rsid w:val="00EB0B28"/>
    <w:rsid w:val="00EB1E9E"/>
    <w:rsid w:val="00EB2F16"/>
    <w:rsid w:val="00EB710C"/>
    <w:rsid w:val="00EB762B"/>
    <w:rsid w:val="00EB76F5"/>
    <w:rsid w:val="00EC07D9"/>
    <w:rsid w:val="00EC2868"/>
    <w:rsid w:val="00EC3579"/>
    <w:rsid w:val="00EC3DD2"/>
    <w:rsid w:val="00EC4A26"/>
    <w:rsid w:val="00EC7A3A"/>
    <w:rsid w:val="00EC7C6B"/>
    <w:rsid w:val="00ED0C96"/>
    <w:rsid w:val="00ED1383"/>
    <w:rsid w:val="00ED1CAE"/>
    <w:rsid w:val="00ED49E0"/>
    <w:rsid w:val="00ED5594"/>
    <w:rsid w:val="00ED58F9"/>
    <w:rsid w:val="00ED59B2"/>
    <w:rsid w:val="00ED5D05"/>
    <w:rsid w:val="00ED60E4"/>
    <w:rsid w:val="00ED77FC"/>
    <w:rsid w:val="00EE0F54"/>
    <w:rsid w:val="00EE146E"/>
    <w:rsid w:val="00EE1845"/>
    <w:rsid w:val="00EE1D8F"/>
    <w:rsid w:val="00EE3595"/>
    <w:rsid w:val="00EE398D"/>
    <w:rsid w:val="00EE4234"/>
    <w:rsid w:val="00EE4773"/>
    <w:rsid w:val="00EE4A44"/>
    <w:rsid w:val="00EE58C1"/>
    <w:rsid w:val="00EE6295"/>
    <w:rsid w:val="00EE6D9D"/>
    <w:rsid w:val="00EE7469"/>
    <w:rsid w:val="00EE7910"/>
    <w:rsid w:val="00EF09F4"/>
    <w:rsid w:val="00EF26D0"/>
    <w:rsid w:val="00EF31EE"/>
    <w:rsid w:val="00EF563E"/>
    <w:rsid w:val="00EF7C86"/>
    <w:rsid w:val="00F001A7"/>
    <w:rsid w:val="00F01C72"/>
    <w:rsid w:val="00F03A1F"/>
    <w:rsid w:val="00F04DC6"/>
    <w:rsid w:val="00F068FD"/>
    <w:rsid w:val="00F069A6"/>
    <w:rsid w:val="00F071FE"/>
    <w:rsid w:val="00F10FD8"/>
    <w:rsid w:val="00F1125C"/>
    <w:rsid w:val="00F11EF9"/>
    <w:rsid w:val="00F1530C"/>
    <w:rsid w:val="00F16990"/>
    <w:rsid w:val="00F16E71"/>
    <w:rsid w:val="00F17FCF"/>
    <w:rsid w:val="00F2075F"/>
    <w:rsid w:val="00F2192B"/>
    <w:rsid w:val="00F224E9"/>
    <w:rsid w:val="00F22B24"/>
    <w:rsid w:val="00F22F98"/>
    <w:rsid w:val="00F2431A"/>
    <w:rsid w:val="00F2516B"/>
    <w:rsid w:val="00F25589"/>
    <w:rsid w:val="00F256FA"/>
    <w:rsid w:val="00F25917"/>
    <w:rsid w:val="00F266C7"/>
    <w:rsid w:val="00F2798D"/>
    <w:rsid w:val="00F27F9B"/>
    <w:rsid w:val="00F305A6"/>
    <w:rsid w:val="00F32551"/>
    <w:rsid w:val="00F32900"/>
    <w:rsid w:val="00F33056"/>
    <w:rsid w:val="00F33AD6"/>
    <w:rsid w:val="00F34B65"/>
    <w:rsid w:val="00F3675A"/>
    <w:rsid w:val="00F36C57"/>
    <w:rsid w:val="00F37549"/>
    <w:rsid w:val="00F402DD"/>
    <w:rsid w:val="00F41F72"/>
    <w:rsid w:val="00F423A3"/>
    <w:rsid w:val="00F428FA"/>
    <w:rsid w:val="00F4292D"/>
    <w:rsid w:val="00F4293B"/>
    <w:rsid w:val="00F42A2A"/>
    <w:rsid w:val="00F439CC"/>
    <w:rsid w:val="00F44A62"/>
    <w:rsid w:val="00F44DA0"/>
    <w:rsid w:val="00F4579A"/>
    <w:rsid w:val="00F46390"/>
    <w:rsid w:val="00F46943"/>
    <w:rsid w:val="00F5014D"/>
    <w:rsid w:val="00F516FE"/>
    <w:rsid w:val="00F51D2E"/>
    <w:rsid w:val="00F5214A"/>
    <w:rsid w:val="00F524BC"/>
    <w:rsid w:val="00F527CF"/>
    <w:rsid w:val="00F52C98"/>
    <w:rsid w:val="00F530BF"/>
    <w:rsid w:val="00F53993"/>
    <w:rsid w:val="00F53C26"/>
    <w:rsid w:val="00F54220"/>
    <w:rsid w:val="00F54239"/>
    <w:rsid w:val="00F57A0C"/>
    <w:rsid w:val="00F57F24"/>
    <w:rsid w:val="00F604F9"/>
    <w:rsid w:val="00F60A64"/>
    <w:rsid w:val="00F61119"/>
    <w:rsid w:val="00F62032"/>
    <w:rsid w:val="00F624BC"/>
    <w:rsid w:val="00F624D7"/>
    <w:rsid w:val="00F62CDD"/>
    <w:rsid w:val="00F63E54"/>
    <w:rsid w:val="00F64224"/>
    <w:rsid w:val="00F66582"/>
    <w:rsid w:val="00F66D06"/>
    <w:rsid w:val="00F67135"/>
    <w:rsid w:val="00F67178"/>
    <w:rsid w:val="00F718F0"/>
    <w:rsid w:val="00F71E14"/>
    <w:rsid w:val="00F72705"/>
    <w:rsid w:val="00F7307C"/>
    <w:rsid w:val="00F74EBA"/>
    <w:rsid w:val="00F75231"/>
    <w:rsid w:val="00F81A1F"/>
    <w:rsid w:val="00F82235"/>
    <w:rsid w:val="00F82924"/>
    <w:rsid w:val="00F848BB"/>
    <w:rsid w:val="00F858F7"/>
    <w:rsid w:val="00F8667E"/>
    <w:rsid w:val="00F86715"/>
    <w:rsid w:val="00F871C1"/>
    <w:rsid w:val="00F91231"/>
    <w:rsid w:val="00F9181E"/>
    <w:rsid w:val="00F930C2"/>
    <w:rsid w:val="00F93FE2"/>
    <w:rsid w:val="00F94A93"/>
    <w:rsid w:val="00F952DE"/>
    <w:rsid w:val="00F96A85"/>
    <w:rsid w:val="00F97221"/>
    <w:rsid w:val="00F975B2"/>
    <w:rsid w:val="00F97B9E"/>
    <w:rsid w:val="00FA02BF"/>
    <w:rsid w:val="00FA3387"/>
    <w:rsid w:val="00FA4935"/>
    <w:rsid w:val="00FA4973"/>
    <w:rsid w:val="00FA4BF0"/>
    <w:rsid w:val="00FA50C2"/>
    <w:rsid w:val="00FA5A38"/>
    <w:rsid w:val="00FA5BE4"/>
    <w:rsid w:val="00FA5EDF"/>
    <w:rsid w:val="00FA6323"/>
    <w:rsid w:val="00FA6F5F"/>
    <w:rsid w:val="00FA761C"/>
    <w:rsid w:val="00FB1A7F"/>
    <w:rsid w:val="00FB1AF1"/>
    <w:rsid w:val="00FB2DD5"/>
    <w:rsid w:val="00FB3901"/>
    <w:rsid w:val="00FB41B7"/>
    <w:rsid w:val="00FB4461"/>
    <w:rsid w:val="00FB5731"/>
    <w:rsid w:val="00FB6A9A"/>
    <w:rsid w:val="00FB6E09"/>
    <w:rsid w:val="00FB76D9"/>
    <w:rsid w:val="00FB7C61"/>
    <w:rsid w:val="00FC04B1"/>
    <w:rsid w:val="00FC3CFF"/>
    <w:rsid w:val="00FC3DC2"/>
    <w:rsid w:val="00FC437C"/>
    <w:rsid w:val="00FC45A1"/>
    <w:rsid w:val="00FC4C47"/>
    <w:rsid w:val="00FC4DE3"/>
    <w:rsid w:val="00FC53E1"/>
    <w:rsid w:val="00FC5671"/>
    <w:rsid w:val="00FC683F"/>
    <w:rsid w:val="00FC709B"/>
    <w:rsid w:val="00FD0E76"/>
    <w:rsid w:val="00FD12B7"/>
    <w:rsid w:val="00FD2C82"/>
    <w:rsid w:val="00FD2E08"/>
    <w:rsid w:val="00FD3D21"/>
    <w:rsid w:val="00FD451D"/>
    <w:rsid w:val="00FD7411"/>
    <w:rsid w:val="00FD748C"/>
    <w:rsid w:val="00FE0849"/>
    <w:rsid w:val="00FE092F"/>
    <w:rsid w:val="00FE1286"/>
    <w:rsid w:val="00FE174B"/>
    <w:rsid w:val="00FE1D27"/>
    <w:rsid w:val="00FE3257"/>
    <w:rsid w:val="00FE39B5"/>
    <w:rsid w:val="00FE547C"/>
    <w:rsid w:val="00FE6014"/>
    <w:rsid w:val="00FE62B2"/>
    <w:rsid w:val="00FE6B6B"/>
    <w:rsid w:val="00FE6F38"/>
    <w:rsid w:val="00FE701B"/>
    <w:rsid w:val="00FF12DC"/>
    <w:rsid w:val="00FF1429"/>
    <w:rsid w:val="00FF205B"/>
    <w:rsid w:val="00FF25E6"/>
    <w:rsid w:val="00FF2E52"/>
    <w:rsid w:val="00FF317C"/>
    <w:rsid w:val="00FF32F1"/>
    <w:rsid w:val="00FF47F8"/>
    <w:rsid w:val="00FF4F51"/>
    <w:rsid w:val="00FF633F"/>
    <w:rsid w:val="00FF6435"/>
    <w:rsid w:val="00FF719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972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722E"/>
    <w:rPr>
      <w:rFonts w:ascii="Tahoma" w:hAnsi="Tahoma" w:cs="Tahoma"/>
      <w:sz w:val="16"/>
      <w:szCs w:val="16"/>
    </w:rPr>
  </w:style>
  <w:style w:type="paragraph" w:styleId="NormalWeb">
    <w:name w:val="Normal (Web)"/>
    <w:basedOn w:val="Normal"/>
    <w:semiHidden/>
    <w:unhideWhenUsed/>
    <w:qFormat/>
    <w:rsid w:val="00A921FA"/>
    <w:pPr>
      <w:widowControl w:val="0"/>
      <w:spacing w:before="100" w:beforeAutospacing="1" w:after="100" w:afterAutospacing="1" w:line="240" w:lineRule="auto"/>
    </w:pPr>
    <w:rPr>
      <w:rFonts w:eastAsiaTheme="minorEastAsia" w:cs="Times New Roman"/>
      <w:sz w:val="24"/>
      <w:szCs w:val="24"/>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972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722E"/>
    <w:rPr>
      <w:rFonts w:ascii="Tahoma" w:hAnsi="Tahoma" w:cs="Tahoma"/>
      <w:sz w:val="16"/>
      <w:szCs w:val="16"/>
    </w:rPr>
  </w:style>
  <w:style w:type="paragraph" w:styleId="NormalWeb">
    <w:name w:val="Normal (Web)"/>
    <w:basedOn w:val="Normal"/>
    <w:semiHidden/>
    <w:unhideWhenUsed/>
    <w:qFormat/>
    <w:rsid w:val="00A921FA"/>
    <w:pPr>
      <w:widowControl w:val="0"/>
      <w:spacing w:before="100" w:beforeAutospacing="1" w:after="100" w:afterAutospacing="1" w:line="240" w:lineRule="auto"/>
    </w:pPr>
    <w:rPr>
      <w:rFonts w:eastAsiaTheme="minorEastAsia" w:cs="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2617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1127</Words>
  <Characters>6430</Characters>
  <Application>Microsoft Office Word</Application>
  <DocSecurity>0</DocSecurity>
  <Lines>53</Lines>
  <Paragraphs>15</Paragraphs>
  <ScaleCrop>false</ScaleCrop>
  <Company/>
  <LinksUpToDate>false</LinksUpToDate>
  <CharactersWithSpaces>7542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Editorial Integra</dc:creator>
  <cp:keywords/>
  <dc:description/>
  <cp:lastModifiedBy>Editorial Integra</cp:lastModifiedBy>
  <cp:revision>2</cp:revision>
  <dcterms:created xsi:type="dcterms:W3CDTF">2026-06-11T13:49:00Z</dcterms:created>
  <dcterms:modified xsi:type="dcterms:W3CDTF">2026-06-11T13:49:00Z</dcterms:modified>
</cp:coreProperties>
</file>