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0" w:before="0" w:line="276" w:lineRule="auto"/>
        <w:jc w:val="both"/>
        <w:rPr>
          <w:rFonts w:ascii="Aptos" w:cs="Aptos" w:eastAsia="Aptos" w:hAnsi="Aptos"/>
          <w:b w:val="1"/>
          <w:bCs w:val="1"/>
          <w:i w:val="1"/>
          <w:iCs w:val="1"/>
          <w:color w:val="747474"/>
          <w:sz w:val="36"/>
          <w:szCs w:val="36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color w:val="747474"/>
          <w:sz w:val="36"/>
          <w:szCs w:val="36"/>
          <w:rtl w:val="0"/>
        </w:rPr>
        <w:t xml:space="preserve">Supporting information for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ptos" w:cs="Aptos" w:eastAsia="Aptos" w:hAnsi="Aptos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Simultaneous quantification of linezolid and its metabolites (PNU-142300 and PNU-142586) in oral fluid and capillary blood by UPLC-MS/MS: method validation and clinical application using non-invasive sampling techniques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before="0" w:line="276" w:lineRule="auto"/>
        <w:rPr>
          <w:color w:val="0f4761"/>
          <w:sz w:val="36"/>
          <w:szCs w:val="36"/>
        </w:rPr>
      </w:pPr>
      <w:r w:rsidDel="00000000" w:rsidR="00000000" w:rsidRPr="00000000">
        <w:rPr>
          <w:color w:val="0f4761"/>
          <w:sz w:val="36"/>
          <w:szCs w:val="36"/>
          <w:rtl w:val="0"/>
        </w:rPr>
        <w:t xml:space="preserve">Contents</w:t>
      </w:r>
    </w:p>
    <w:sdt>
      <w:sdtPr>
        <w:id w:val="-118998259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wzx0ivxow6mi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S1.</w:t>
            </w:r>
          </w:hyperlink>
          <w:hyperlink w:anchor="_heading=h.wzx0ivxow6mi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_heading=h.wzx0ivxow6mi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MRM transitions and settings for Linezolid (LZD), Linezolid-d3 (LZD-d3), PNU-142586, and PNU-142300.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h4vsaq64hpi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S2.</w:t>
            </w:r>
          </w:hyperlink>
          <w:hyperlink w:anchor="_heading=h.5h4vsaq64hpi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_heading=h.5h4vsaq64hpi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Summary of the procedures, acceptance criteria, and results of method validation. LZD: Linezolid; IS: Internal Standard (LZD-d</w:t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subscript"/>
              <w:rtl w:val="0"/>
            </w:rPr>
            <w:t xml:space="preserve">3</w:t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); ULOQ: Upper Limit of Quantification; LLOQ: Lower Limit of Quantification; QC: Quality Control; OF: Oral Fluid; ME: Matrix Effect; PE: Process Efficiency; EE: Extraction Efficiency. * Medium concentration QCs excluded due to experimental error.</w:t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6dm0de1fing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S3.</w:t>
            </w:r>
          </w:hyperlink>
          <w:hyperlink w:anchor="_heading=h.d6dm0de1fing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_heading=h.d6dm0de1fing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Summary of calibration curve parameters in VAMS for Linezolid (LZD), PNU-142586, and PNU-142300. Curves were prepared on five separate days by multiple operators, each with six calibration levels and a zero level. For each analyte, the table shows the nominal concentrations, the coefficient of determination (r²), the slope and intercept of the linear regression, and the mean, standard deviation (SD), coefficient of variation (%CV), and mean relative error (%MRE) across days. Data fitted to a linear model (1/x² weighting, origin excluded).</w:t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6f7c2ema9k2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S4.</w:t>
            </w:r>
          </w:hyperlink>
          <w:hyperlink w:anchor="_heading=h.e6f7c2ema9k2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_heading=h.e6f7c2ema9k2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Summary of calibration curve parameters in oral fluid for Linezolid (LZD), PNU-142586, and PNU-142300. Curves were prepared on five separate days by multiple operators, each with six calibration levels and a zero level. For each analyte, the table shows the nominal concentrations, the coefficient of determination (r²), the slope and intercept of the linear regression, and the mean, standard deviation (SD), coefficient of variation (%CV), and mean relative error (%MRE) across days. Data fitted to a linear model (1/x² weighting, origin excluded).</w:t>
            <w:tab/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sv0h036e1ocm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S5.</w:t>
            </w:r>
          </w:hyperlink>
          <w:hyperlink w:anchor="_heading=h.sv0h036e1ocm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_heading=h.sv0h036e1ocm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Summary of calibration curve parameters in plasma for Linezolid (LZD), PNU-142586, and PNU-142300. Curves were prepared on five separate days by multiple operators, each with six calibration levels and a zero level. For each analyte, the table shows the nominal concentrations, the coefficient of determination (r²), the slope and intercept of the linear regression, and the mean, standard deviation (SD), coefficient of variation (%CV), and mean relative error (%MRE) across days. Data fitted to a linear model (1/x² weighting, origin excluded).</w:t>
            <w:tab/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lidfcx4owcpj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S6.</w:t>
            </w:r>
          </w:hyperlink>
          <w:hyperlink w:anchor="_heading=h.lidfcx4owcpj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_heading=h.lidfcx4owcpj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Autosampler stability of Linezolid (LZD), PNU-142586, and PNU-142300 in processed samples after 72 h at 6ºC. Results are expressed as mean percentage difference (%Difference) from freshly injected QC samples (n=3 for each concentration level).</w:t>
            <w:tab/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kq3ns9fg9vq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S7.</w:t>
            </w:r>
          </w:hyperlink>
          <w:hyperlink w:anchor="_heading=h.1kq3ns9fg9vq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_heading=h.1kq3ns9fg9vq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Experimental concentrations (mean ± SD, n = 3) of Linezolid (LZD), PNU-142586, and PNU-142300 measured in VAMS devices loaded with whole blood at three hematocrit (Hct) levels (Low: 0.25; Medium: 0.45; High: 0.7) and three nominal concentration levels (0.2, 2, and 4 µg/mL).</w:t>
            <w:tab/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llma9xcpntj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S8.</w:t>
            </w:r>
          </w:hyperlink>
          <w:hyperlink w:anchor="_heading=h.ollma9xcpntj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_heading=h.ollma9xcpntj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Influence of hematocrit (Hct) levels (Low: 0.25; Medium: 0.45; High: 0.7) on assay precision expressed as coefficient of variation (CV%) for Linezolid (LZD), PNU-142586, and PNU-142300 at low, medium, and high concentration levels in VAMS samples.</w:t>
            <w:tab/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aubag86o1kie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S9.</w:t>
            </w:r>
          </w:hyperlink>
          <w:hyperlink w:anchor="_heading=h.aubag86o1kie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_heading=h.aubag86o1kie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Individual linezolid (LZD), PNU-142586, and PNU-142300 concentrations measured in plasma, VAMS loaded with venous whole blood (VAMS_WB), capillary VAMS, and oral fluid (OF). Each row corresponds to a paired sample obtained from the same patient. Suspected outliers were excluded before averaging replicates to yield a single value per sample, analyte, and matrix.</w:t>
            <w:tab/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m2c6dhwvx0c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S10.</w:t>
            </w:r>
          </w:hyperlink>
          <w:hyperlink w:anchor="_heading=h.7m2c6dhwvx0c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_heading=h.7m2c6dhwvx0c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Median concentrations [interquartile range, IQR], minimum–maximum values, and standard deviations (SD) of linezolid (LZD) and its metabolites PNU-142586 and PNU-142300 in VAMS loaded with capillary blood (VAMS, n = 31), VAMS loaded with whole blood (VAMS_WB, n = 35), plasma (n = 34), and oral fluid collected with Salivette® (ORAL_FLUID, n = 21). All concentrations are expressed in µg/mL.</w:t>
            <w:tab/>
            <w:t xml:space="preserve">15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0o5spuajzsj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S11.</w:t>
            </w:r>
          </w:hyperlink>
          <w:hyperlink w:anchor="_heading=h.70o5spuajzsj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_heading=h.70o5spuajzsj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Method comparison results for Linezolid (LZD), PNU-142586, and PNU-142300, showing sample size (n), statistical difference tests, Passing–Bablok regression parameters (95% CI), and Pearson’s correlation coefficients. VAMS: volumetric absorptive microsampling devices loaded with capillary blood; VAMS_WB: VAMS loaded with whole blood; ORAL_FLUID: Oral fluid collected with Salivette®. All experimental values were included in the calculation.</w:t>
            <w:tab/>
            <w:t xml:space="preserve">19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nvrw7fw78a5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S12.</w:t>
            </w:r>
          </w:hyperlink>
          <w:hyperlink w:anchor="_heading=h.envrw7fw78a5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_heading=h.envrw7fw78a5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Mean percentage prediction error (MPPE), mean absolute percentage error (MAPE), mean absolute error (MAE), and number of paired samples (n) obtained for each analyte and comparison. VAMS: volumetric absorptive microsampling devices loaded with capillary blood; VAMS_WB: VAMS loaded with whole blood.</w:t>
            <w:tab/>
            <w:t xml:space="preserve">19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200"/>
              <w:tab w:val="right" w:leader="none" w:pos="8494"/>
            </w:tabs>
            <w:spacing w:after="120" w:before="0" w:line="259" w:lineRule="auto"/>
            <w:ind w:left="1202" w:right="0" w:hanging="1202"/>
            <w:jc w:val="both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h1gsjt1ptcj1"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S13.</w:t>
            </w:r>
          </w:hyperlink>
          <w:hyperlink w:anchor="_heading=h.h1gsjt1ptcj1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_heading=h.h1gsjt1ptcj1 \h </w:instrText>
            <w:fldChar w:fldCharType="separate"/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 Bland-Altman comparison results. VAMS: volumetric absorptive microsampling devices loaded with capillary blood; VAMS_WB: VAMS loaded with whole blood.</w:t>
            <w:tab/>
            <w:t xml:space="preserve">20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1">
      <w:pPr>
        <w:spacing w:after="120" w:before="0" w:line="276" w:lineRule="auto"/>
        <w:ind w:left="1418" w:hanging="1418"/>
        <w:rPr>
          <w:color w:val="0f476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07" w:right="0" w:hanging="907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wzx0ivxow6mi" w:id="0"/>
      <w:bookmarkEnd w:id="0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S1.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MRM transitions and settings for Linezolid (LZD), Linezolid-d3 (LZD-d3), PNU-142586, and PNU-142300.</w:t>
      </w:r>
    </w:p>
    <w:tbl>
      <w:tblPr>
        <w:tblStyle w:val="Table1"/>
        <w:tblW w:w="72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30"/>
        <w:gridCol w:w="1109"/>
        <w:gridCol w:w="1111"/>
        <w:gridCol w:w="1102"/>
        <w:gridCol w:w="1674"/>
        <w:gridCol w:w="844"/>
        <w:tblGridChange w:id="0">
          <w:tblGrid>
            <w:gridCol w:w="1430"/>
            <w:gridCol w:w="1109"/>
            <w:gridCol w:w="1111"/>
            <w:gridCol w:w="1102"/>
            <w:gridCol w:w="1674"/>
            <w:gridCol w:w="8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f4761" w:val="clear"/>
            <w:vAlign w:val="center"/>
          </w:tcPr>
          <w:p w:rsidR="00000000" w:rsidDel="00000000" w:rsidP="00000000" w:rsidRDefault="00000000" w:rsidRPr="00000000" w14:paraId="00000014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ffffff"/>
                <w:rtl w:val="0"/>
              </w:rPr>
              <w:t xml:space="preserve">Precursor (m/z)</w:t>
            </w:r>
          </w:p>
        </w:tc>
        <w:tc>
          <w:tcPr>
            <w:shd w:fill="0f4761" w:val="clear"/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ffffff"/>
                <w:rtl w:val="0"/>
              </w:rPr>
              <w:t xml:space="preserve">Product (m/z)</w:t>
            </w:r>
          </w:p>
        </w:tc>
        <w:tc>
          <w:tcPr>
            <w:shd w:fill="0f4761" w:val="clear"/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ffffff"/>
                <w:rtl w:val="0"/>
              </w:rPr>
              <w:t xml:space="preserve">Cone (V)</w:t>
            </w:r>
          </w:p>
        </w:tc>
        <w:tc>
          <w:tcPr>
            <w:shd w:fill="0f4761" w:val="clear"/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ffffff"/>
                <w:rtl w:val="0"/>
              </w:rPr>
              <w:t xml:space="preserve">Collision Energy (eV)</w:t>
            </w:r>
          </w:p>
        </w:tc>
        <w:tc>
          <w:tcPr>
            <w:shd w:fill="0f4761" w:val="clear"/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ffffff"/>
                <w:rtl w:val="0"/>
              </w:rPr>
              <w:t xml:space="preserve">Dwell (s)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i w:val="1"/>
                <w:iCs w:val="1"/>
                <w:color w:val="0f4761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i w:val="1"/>
                <w:iCs w:val="1"/>
                <w:color w:val="0f4761"/>
                <w:rtl w:val="0"/>
              </w:rPr>
              <w:t xml:space="preserve">LZD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338.05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55.93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0.011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295.98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18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i w:val="1"/>
                <w:iCs w:val="1"/>
                <w:color w:val="0f4761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i w:val="1"/>
                <w:iCs w:val="1"/>
                <w:color w:val="0f4761"/>
                <w:rtl w:val="0"/>
              </w:rPr>
              <w:t xml:space="preserve">LZD-d3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341.14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56.85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38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0.011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195.08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297.30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i w:val="1"/>
                <w:iCs w:val="1"/>
                <w:color w:val="0f4761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i w:val="1"/>
                <w:iCs w:val="1"/>
                <w:color w:val="0f4761"/>
                <w:rtl w:val="0"/>
              </w:rPr>
              <w:t xml:space="preserve">PNU-142586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370.16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55.94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A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C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0.011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148.04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177.00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282.03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i w:val="1"/>
                <w:iCs w:val="1"/>
                <w:color w:val="0f4761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i w:val="1"/>
                <w:iCs w:val="1"/>
                <w:color w:val="0f4761"/>
                <w:rtl w:val="0"/>
              </w:rPr>
              <w:t xml:space="preserve">PNU-142300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371.78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55.94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0.011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136.20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251.97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14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  <w:sectPr>
          <w:footerReference r:id="rId7" w:type="default"/>
          <w:footerReference r:id="rId8" w:type="first"/>
          <w:footerReference r:id="rId9" w:type="even"/>
          <w:pgSz w:h="16838" w:w="11906" w:orient="portrait"/>
          <w:pgMar w:bottom="1417" w:top="1417" w:left="1701" w:right="1701" w:header="0" w:footer="708"/>
          <w:lnNumType w:countBy="1" w:start="0" w:restart="continuous"/>
          <w:pgNumType w:start="0"/>
          <w:titlePg w:val="1"/>
        </w:sect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907" w:right="0" w:hanging="907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5h4vsaq64hpi" w:id="1"/>
      <w:bookmarkEnd w:id="1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S2.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Summary of the procedures, acceptance criteria, and results of method validation. LZD: Linezolid; IS: Internal Standard (LZD-d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); ULOQ: Upper Limit of Quantification; LLOQ: Lower Limit of Quantification; QC: Quality Control; OF: Oral Fluid; ME: Matrix Effect; PE: Process Efficiency; EE: Extraction Efficiency. * Medium concentration QCs excluded due to experimental error.</w:t>
      </w:r>
    </w:p>
    <w:tbl>
      <w:tblPr>
        <w:tblStyle w:val="Table2"/>
        <w:tblW w:w="15309.0" w:type="dxa"/>
        <w:jc w:val="left"/>
        <w:tblInd w:w="-6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30"/>
        <w:gridCol w:w="3135"/>
        <w:gridCol w:w="1857"/>
        <w:gridCol w:w="942"/>
        <w:gridCol w:w="8045"/>
        <w:tblGridChange w:id="0">
          <w:tblGrid>
            <w:gridCol w:w="1330"/>
            <w:gridCol w:w="3135"/>
            <w:gridCol w:w="1857"/>
            <w:gridCol w:w="942"/>
            <w:gridCol w:w="8045"/>
          </w:tblGrid>
        </w:tblGridChange>
      </w:tblGrid>
      <w:tr>
        <w:trPr>
          <w:cantSplit w:val="0"/>
          <w:trHeight w:val="590" w:hRule="atLeast"/>
          <w:tblHeader w:val="0"/>
        </w:trPr>
        <w:tc>
          <w:tcPr>
            <w:shd w:fill="156082" w:val="clear"/>
            <w:vAlign w:val="center"/>
          </w:tcPr>
          <w:p w:rsidR="00000000" w:rsidDel="00000000" w:rsidP="00000000" w:rsidRDefault="00000000" w:rsidRPr="00000000" w14:paraId="00000063">
            <w:pPr>
              <w:widowControl w:val="1"/>
              <w:spacing w:after="0" w:before="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Parameter</w:t>
            </w:r>
          </w:p>
        </w:tc>
        <w:tc>
          <w:tcPr>
            <w:shd w:fill="156082" w:val="clear"/>
            <w:vAlign w:val="center"/>
          </w:tcPr>
          <w:p w:rsidR="00000000" w:rsidDel="00000000" w:rsidP="00000000" w:rsidRDefault="00000000" w:rsidRPr="00000000" w14:paraId="00000064">
            <w:pPr>
              <w:widowControl w:val="1"/>
              <w:spacing w:after="0" w:before="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Procedure</w:t>
            </w:r>
          </w:p>
        </w:tc>
        <w:tc>
          <w:tcPr>
            <w:shd w:fill="156082" w:val="clear"/>
            <w:vAlign w:val="center"/>
          </w:tcPr>
          <w:p w:rsidR="00000000" w:rsidDel="00000000" w:rsidP="00000000" w:rsidRDefault="00000000" w:rsidRPr="00000000" w14:paraId="00000065">
            <w:pPr>
              <w:widowControl w:val="1"/>
              <w:spacing w:after="0" w:before="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Acceptance criteria</w:t>
            </w:r>
          </w:p>
        </w:tc>
        <w:tc>
          <w:tcPr>
            <w:shd w:fill="156082" w:val="clear"/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spacing w:after="0" w:before="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Matrix</w:t>
            </w:r>
          </w:p>
        </w:tc>
        <w:tc>
          <w:tcPr>
            <w:shd w:fill="156082" w:val="clear"/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spacing w:after="0" w:before="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Results</w:t>
            </w:r>
          </w:p>
        </w:tc>
      </w:tr>
      <w:tr>
        <w:trPr>
          <w:cantSplit w:val="0"/>
          <w:trHeight w:val="14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Linearity and range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 calibration curves prepared over 5 different days by multiple operators, each including 6 calibration levels and a zero level, all levels doped with the 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Mean r²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 </w:t>
            </w:r>
            <w:r w:rsidDel="00000000" w:rsidR="00000000" w:rsidRPr="00000000">
              <w:rPr>
                <w:rFonts w:ascii="Aptos" w:cs="Aptos" w:eastAsia="Aptos" w:hAnsi="Aptos"/>
                <w:sz w:val="19"/>
                <w:szCs w:val="19"/>
                <w:rtl w:val="0"/>
              </w:rPr>
              <w:t xml:space="preserve">≥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 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0.975; residuals within </w:t>
            </w:r>
            <w:r w:rsidDel="00000000" w:rsidR="00000000" w:rsidRPr="00000000">
              <w:rPr>
                <w:rFonts w:ascii="Aptos" w:cs="Aptos" w:eastAsia="Aptos" w:hAnsi="Aptos"/>
                <w:sz w:val="19"/>
                <w:szCs w:val="19"/>
                <w:rtl w:val="0"/>
              </w:rPr>
              <w:t xml:space="preserve">±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15% (</w:t>
            </w:r>
            <w:r w:rsidDel="00000000" w:rsidR="00000000" w:rsidRPr="00000000">
              <w:rPr>
                <w:rFonts w:ascii="Aptos" w:cs="Aptos" w:eastAsia="Aptos" w:hAnsi="Aptos"/>
                <w:sz w:val="19"/>
                <w:szCs w:val="19"/>
                <w:rtl w:val="0"/>
              </w:rPr>
              <w:t xml:space="preserve">±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20% at LLOQ) for </w:t>
            </w:r>
            <w:r w:rsidDel="00000000" w:rsidR="00000000" w:rsidRPr="00000000">
              <w:rPr>
                <w:rFonts w:ascii="Aptos" w:cs="Aptos" w:eastAsia="Aptos" w:hAnsi="Aptos"/>
                <w:sz w:val="19"/>
                <w:szCs w:val="19"/>
                <w:rtl w:val="0"/>
              </w:rPr>
              <w:t xml:space="preserve">≥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75% of calibrators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All matrices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Data fitted to a linear model (1/x² weighting, origin excluded). Linear range: 0.1-5 µg/mL for all analytes and matrices. See Table S3 (VAMS),Table S4 (OF), and Table S5 (Plasma)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Accuracy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E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 replicates at the low, medium, and high QC level in 3 different days (n=15)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F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85–115% of nominal concentration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VAMS</w:t>
            </w:r>
          </w:p>
        </w:tc>
        <w:tc>
          <w:tcPr/>
          <w:p w:rsidR="00000000" w:rsidDel="00000000" w:rsidP="00000000" w:rsidRDefault="00000000" w:rsidRPr="00000000" w14:paraId="00000071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LZD: 98.5-97.8%; PNU-142586: 96.4-99.6%; PNU-142300: 98.1-103.1%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OF</w:t>
            </w:r>
          </w:p>
        </w:tc>
        <w:tc>
          <w:tcPr/>
          <w:p w:rsidR="00000000" w:rsidDel="00000000" w:rsidP="00000000" w:rsidRDefault="00000000" w:rsidRPr="00000000" w14:paraId="00000076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LZD: 99.3-110.3%; PNU-142586: 102.1-108.6%; PNU-142300: 102.3-108.9%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Plasma</w:t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LZD: 95.8-107.8%; PNU-142586: 95.5-101.2%; PNU-142300: 97.4-109.0%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C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Precision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 replicates at the low, medium, and high QC level in 3 different days (n=15)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%CV &lt;15%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VAMS</w:t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Intra-assay – LZD: 2.4–10.6%, PNU-142586: 10.0–13.0%, PNU-142300: 10.3–14.0%</w:t>
            </w:r>
          </w:p>
          <w:p w:rsidR="00000000" w:rsidDel="00000000" w:rsidP="00000000" w:rsidRDefault="00000000" w:rsidRPr="00000000" w14:paraId="00000081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Inter-assay – LZD: 0.0–9.3%, PNU-142586: 6.4–9.1%, PNU-142300: 0.0–3.8%</w:t>
            </w:r>
          </w:p>
          <w:p w:rsidR="00000000" w:rsidDel="00000000" w:rsidP="00000000" w:rsidRDefault="00000000" w:rsidRPr="00000000" w14:paraId="00000082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Total imprecision – LZD: 9.6–10.8%, PNU-142586: 11.9–15.9%, PNU-142300: 10.8–14.0%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OF</w:t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Intra-assay – LZD: 5.4–14.9%, PNU-142586: 5.0–13.8%, PNU-142300: 4.9–12.1%</w:t>
            </w:r>
          </w:p>
          <w:p w:rsidR="00000000" w:rsidDel="00000000" w:rsidP="00000000" w:rsidRDefault="00000000" w:rsidRPr="00000000" w14:paraId="00000088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Inter-assay – LZD: 0.0–2.1%, PNU-142586: 0.0–3.8%, PNU-142300: 0.0–3.7%</w:t>
            </w:r>
          </w:p>
          <w:p w:rsidR="00000000" w:rsidDel="00000000" w:rsidP="00000000" w:rsidRDefault="00000000" w:rsidRPr="00000000" w14:paraId="00000089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Total imprecision – LZD: 5.4–15.0%, PNU-142586: 6.2–14.3%, PNU-142300: 6.2–12.1%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Plasma</w:t>
            </w:r>
          </w:p>
        </w:tc>
        <w:tc>
          <w:tcPr/>
          <w:p w:rsidR="00000000" w:rsidDel="00000000" w:rsidP="00000000" w:rsidRDefault="00000000" w:rsidRPr="00000000" w14:paraId="0000008E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Intra-assay – LZD: 5.9–8.0%, PNU-142586: 7.7–11.8%, PNU-142300: 6.8–9.8%</w:t>
            </w:r>
          </w:p>
          <w:p w:rsidR="00000000" w:rsidDel="00000000" w:rsidP="00000000" w:rsidRDefault="00000000" w:rsidRPr="00000000" w14:paraId="0000008F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Inter-assay – LZD: 0.0–1.5%, PNU-142586: 0.0–5.3%, PNU-142300: 0.0–10.6%</w:t>
            </w:r>
          </w:p>
          <w:p w:rsidR="00000000" w:rsidDel="00000000" w:rsidP="00000000" w:rsidRDefault="00000000" w:rsidRPr="00000000" w14:paraId="00000090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Total imprecision – LZD: 5.9-8.0%, PNU-142586: 8.6-11.8%, PNU-142300: 8.1-14.5%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Selectivity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Blank matrices from ≥6 donors. Analytes spiked individually at the ULOQ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Interference ≤20% of LLOQ analyte, ≤5% IS; no significant signal at analyte or IS 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All matrices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No significant interference observed</w:t>
            </w:r>
          </w:p>
        </w:tc>
      </w:tr>
      <w:tr>
        <w:trPr>
          <w:cantSplit w:val="0"/>
          <w:trHeight w:val="8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Carry-over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widowControl w:val="1"/>
              <w:spacing w:after="60" w:before="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Blank samples injected immediately after ULOQ calibrator (n=5)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Analyte signal ≤20% of LLOQ; IS signal ≤5%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All matrices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No carry-over found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9B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Matrix effect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C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Post-extraction spiked samples from independent sources (n=6) versus neat standards at low and high QC levels (n=10)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D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%CV ≤ 15%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VAMS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ME (%CV): LZD: -22 to −14% (6.5-8.2%); PNU-142586: 2 to 6% (5.5-8.9%); PNU-142300: −10 to −1% (4.3-5.5%); LZD-d3: −24 to −18% (5.8-7.6%)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ME (%CV): LZD: −5.5 to −3.4% (1.5–3.1%); PNU-142586: 6.0 to 9.4% (2.6–4.2%); </w:t>
              <w:br w:type="textWrapping"/>
              <w:t xml:space="preserve">PNU-142300: −3.5 to 1.0% (1.0–5.7%); LZD-d3: −5.6% (4.3%)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ME (%CV): LZD: −11.8 to −10.9% (2.5–2.9%); PNU-142586: 8.5 to 10.9% (1.9–6.6%); </w:t>
              <w:br w:type="textWrapping"/>
              <w:t xml:space="preserve">PNU-142300: −2.3 to −2.1% (3.5–3.6%); LZD-d3: −14.2 to −10.3% (3.6–4.2%)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A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Autosampler stability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B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Processed samples at the low, medium, and high QC level: injected, stored in the autosampler at 6</w:t>
            </w:r>
            <w:r w:rsidDel="00000000" w:rsidR="00000000" w:rsidRPr="00000000">
              <w:rPr>
                <w:rFonts w:ascii="Aptos" w:cs="Aptos" w:eastAsia="Aptos" w:hAnsi="Aptos"/>
                <w:sz w:val="19"/>
                <w:szCs w:val="19"/>
                <w:rtl w:val="0"/>
              </w:rPr>
              <w:t xml:space="preserve">°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C, and re-injected after 72 h (n=3)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C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Mean concentration within </w:t>
            </w:r>
            <w:r w:rsidDel="00000000" w:rsidR="00000000" w:rsidRPr="00000000">
              <w:rPr>
                <w:rFonts w:ascii="Aptos" w:cs="Aptos" w:eastAsia="Aptos" w:hAnsi="Aptos"/>
                <w:sz w:val="19"/>
                <w:szCs w:val="19"/>
                <w:rtl w:val="0"/>
              </w:rPr>
              <w:t xml:space="preserve">±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15% of freshly prepared samples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VAMS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All analytes were stable (%loss: -5.2 to 3.8%)</w:t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All analytes were stable (%loss: -0.1 to 5.4%)</w:t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Plasma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bookmarkStart w:colFirst="0" w:colLast="0" w:name="_heading=h.wrx42da9se91" w:id="2"/>
            <w:bookmarkEnd w:id="2"/>
            <w:r w:rsidDel="00000000" w:rsidR="00000000" w:rsidRPr="00000000">
              <w:rPr>
                <w:sz w:val="19"/>
                <w:szCs w:val="19"/>
                <w:rtl w:val="0"/>
              </w:rPr>
              <w:t xml:space="preserve">Not assessed</w:t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B9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Storage stability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A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Samples at the low, medium, and high QC level stored at –20 °C in sealed plastic bags with silica gel for VAMS, and at –80 °C in Eppendorf tubes for OF; processed and analyzed at t=0, 6 weeks, and 3 months (n=3)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B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Mean concentration within </w:t>
            </w:r>
            <w:r w:rsidDel="00000000" w:rsidR="00000000" w:rsidRPr="00000000">
              <w:rPr>
                <w:rFonts w:ascii="Aptos" w:cs="Aptos" w:eastAsia="Aptos" w:hAnsi="Aptos"/>
                <w:sz w:val="19"/>
                <w:szCs w:val="19"/>
                <w:rtl w:val="0"/>
              </w:rPr>
              <w:t xml:space="preserve">±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15% of freshly prepared samples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VAMS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LZD (-11.6 to -13.8%) at 3 months; PNU-142586 (7.5 to 15.0% at 3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 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months); PNU-142300 (3.6 to 12.0% at 6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 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weeks, 14.8 to 25.8% at 3 months)</w:t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OF*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LZD (-1.0 to 1.4%) at 3 months; PNU-142586 (-4.4 to 5.1% at 3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 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months); PNU-142300 </w:t>
              <w:br w:type="textWrapping"/>
              <w:t xml:space="preserve">(-2.7 to 7.9% at 3 months)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Not assessed</w:t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C8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Dilution integrity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Samples with concentrations at 4×ULOQ were processed, then diluted 1:5 and 1:10 before analysis (n=5)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A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%Bias within </w:t>
            </w:r>
            <w:r w:rsidDel="00000000" w:rsidR="00000000" w:rsidRPr="00000000">
              <w:rPr>
                <w:rFonts w:ascii="Aptos" w:cs="Aptos" w:eastAsia="Aptos" w:hAnsi="Aptos"/>
                <w:sz w:val="19"/>
                <w:szCs w:val="19"/>
                <w:rtl w:val="0"/>
              </w:rPr>
              <w:t xml:space="preserve">±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15%, %CV &lt;15%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VAMS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%Bias (%CV): LZD: 2.9 to 8% (1.5-1.7%), PNU-142586: -5.7 to -8% (2.5-3.5%), PNU-142300: 0.2 to -5.0% (1.6-3.1%)</w:t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%Bias (%CV): LZD: 1.6 to 2.5% (2.1–11.2%), PNU-142586: –8.2 to –5.8% (4.3–13.9%), PNU-142300: –10.1 to –8.3% (4.6–13.8%)</w:t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widowControl w:val="1"/>
              <w:spacing w:after="0" w:before="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widowControl w:val="1"/>
              <w:spacing w:after="60" w:before="60" w:lineRule="auto"/>
              <w:jc w:val="left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%Bias (%CV): LZD: –6.9 to 1.4% (12.2–12.8%), PNU-142586: –9.9 to 4.8% (13.3–14.2%), PNU-142300: –11.4 to 6.3% (13.0–14.9%)</w:t>
            </w:r>
          </w:p>
        </w:tc>
      </w:tr>
    </w:tbl>
    <w:p w:rsidR="00000000" w:rsidDel="00000000" w:rsidP="00000000" w:rsidRDefault="00000000" w:rsidRPr="00000000" w14:paraId="000000D7">
      <w:pPr>
        <w:rPr/>
        <w:sectPr>
          <w:footerReference r:id="rId10" w:type="default"/>
          <w:footerReference r:id="rId11" w:type="first"/>
          <w:type w:val="nextPage"/>
          <w:pgSz w:h="11906" w:w="16838" w:orient="landscape"/>
          <w:pgMar w:bottom="1701" w:top="1701" w:left="1417" w:right="1417" w:header="0" w:footer="708"/>
          <w:lnNumType w:countBy="1" w:start="0" w:restart="continuous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07" w:right="0" w:hanging="907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d6dm0de1fing" w:id="3"/>
      <w:bookmarkEnd w:id="3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S3.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Summary of calibration curve parameters in VAMS for Linezolid (LZD), PNU-142586, and PNU-142300. Curves were prepared on five separate days by multiple operators, each with six calibration levels and a zero level. For each analyte, the table shows the nominal concentrations, the coefficient of determination (r²), the slope and intercept of the linear regression, and the mean, standard deviation (SD), coefficient of variation (%CV), and mean relative error (%MRE) across days. Data fitted to a linear model (1/x² weighting, origin excluded).</w:t>
      </w:r>
    </w:p>
    <w:tbl>
      <w:tblPr>
        <w:tblStyle w:val="Table3"/>
        <w:tblW w:w="8396.0" w:type="dxa"/>
        <w:jc w:val="center"/>
        <w:tblLayout w:type="fixed"/>
        <w:tblLook w:val="0400"/>
      </w:tblPr>
      <w:tblGrid>
        <w:gridCol w:w="900"/>
        <w:gridCol w:w="1085"/>
        <w:gridCol w:w="974"/>
        <w:gridCol w:w="906"/>
        <w:gridCol w:w="905"/>
        <w:gridCol w:w="904"/>
        <w:gridCol w:w="736"/>
        <w:gridCol w:w="69"/>
        <w:gridCol w:w="499"/>
        <w:gridCol w:w="691"/>
        <w:gridCol w:w="727"/>
        <w:tblGridChange w:id="0">
          <w:tblGrid>
            <w:gridCol w:w="900"/>
            <w:gridCol w:w="1085"/>
            <w:gridCol w:w="974"/>
            <w:gridCol w:w="906"/>
            <w:gridCol w:w="905"/>
            <w:gridCol w:w="904"/>
            <w:gridCol w:w="736"/>
            <w:gridCol w:w="69"/>
            <w:gridCol w:w="499"/>
            <w:gridCol w:w="691"/>
            <w:gridCol w:w="727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LZD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-1.20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9.3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-1.12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5.7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-0,16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2.663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6.0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lef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5.633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4.594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5.472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4.718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5.776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5.239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10.4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-4.77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0.6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0.279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9c0006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sz w:val="20"/>
                <w:szCs w:val="20"/>
                <w:rtl w:val="0"/>
              </w:rPr>
              <w:t xml:space="preserve">128.1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19.036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18.397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23.952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22.374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18.745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20.501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12.2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PNU-142586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0.011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0.107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0.097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8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5.5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-1.40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9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0.232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0.273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0.238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9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0.288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9.3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-2.48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0.403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0.479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0.509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0.402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A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10.5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9.88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0.946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1.024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0.952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1.054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A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0.896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B3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B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2.395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B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2.548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B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2.454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B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2.198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B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2.439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2.407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5.4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3.73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lef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C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6.464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C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4.691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C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5.784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C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4.811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1C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6.399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5.630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C9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15.0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-12.60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C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0.989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0.987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0.964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1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2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1.6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D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0.076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0.053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0.007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-0.036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C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  <w:vAlign w:val="center"/>
          </w:tcPr>
          <w:p w:rsidR="00000000" w:rsidDel="00000000" w:rsidP="00000000" w:rsidRDefault="00000000" w:rsidRPr="00000000" w14:paraId="000001DF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9c0006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sz w:val="20"/>
                <w:szCs w:val="20"/>
                <w:rtl w:val="0"/>
              </w:rPr>
              <w:t xml:space="preserve">207.6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2.904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2.983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3.388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3.359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3.066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7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0.22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1EA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7.0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F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F3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F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PNU-142300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F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0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0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0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0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0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0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0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1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1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1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1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0.108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1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1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1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0.109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21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5.6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-3.20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2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0.226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0.253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0.242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2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0.273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2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0.215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9.4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3.28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2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0.376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0.485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0.439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0.518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0.418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37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12.5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10.56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1.007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1.043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0.949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1.094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3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42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7.0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4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2.534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4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2.633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4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2.506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4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2.18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4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2.567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2.484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0.18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4D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7.1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0.64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lef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5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6.209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5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4.634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5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5.816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5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4.869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5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6.333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5.572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5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14.0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-11.44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5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0.997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0.987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0.989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0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1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63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1.6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6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6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0.062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0.070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-0.010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-0.034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B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C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  <w:vAlign w:val="center"/>
          </w:tcPr>
          <w:p w:rsidR="00000000" w:rsidDel="00000000" w:rsidP="00000000" w:rsidRDefault="00000000" w:rsidRPr="00000000" w14:paraId="0000026E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9c0006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sz w:val="20"/>
                <w:szCs w:val="20"/>
                <w:rtl w:val="0"/>
              </w:rPr>
              <w:t xml:space="preserve">188.0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6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7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4.067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5.166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5.381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5.525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5.502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6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5.128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7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0.61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79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11.9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7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07" w:right="0" w:hanging="907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e6f7c2ema9k2" w:id="4"/>
      <w:bookmarkEnd w:id="4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S4.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Summary of calibration curve parameters in oral fluid for Linezolid (LZD), PNU-142586, and PNU-142300. Curves were prepared on five separate days by multiple operators, each with six calibration levels and a zero level. For each analyte, the table shows the nominal concentrations, the coefficient of determination (r²), the slope and intercept of the linear regression, and the mean, standard deviation (SD), coefficient of variation (%CV), and mean relative error (%MRE) across days. Data fitted to a linear model (1/x² weighting, origin excluded).</w:t>
      </w:r>
    </w:p>
    <w:tbl>
      <w:tblPr>
        <w:tblStyle w:val="Table4"/>
        <w:tblW w:w="8379.0" w:type="dxa"/>
        <w:jc w:val="center"/>
        <w:tblLayout w:type="fixed"/>
        <w:tblLook w:val="0400"/>
      </w:tblPr>
      <w:tblGrid>
        <w:gridCol w:w="900"/>
        <w:gridCol w:w="1085"/>
        <w:gridCol w:w="907"/>
        <w:gridCol w:w="905"/>
        <w:gridCol w:w="905"/>
        <w:gridCol w:w="905"/>
        <w:gridCol w:w="807"/>
        <w:gridCol w:w="555"/>
        <w:gridCol w:w="683"/>
        <w:gridCol w:w="727"/>
        <w:tblGridChange w:id="0">
          <w:tblGrid>
            <w:gridCol w:w="900"/>
            <w:gridCol w:w="1085"/>
            <w:gridCol w:w="907"/>
            <w:gridCol w:w="905"/>
            <w:gridCol w:w="905"/>
            <w:gridCol w:w="905"/>
            <w:gridCol w:w="807"/>
            <w:gridCol w:w="555"/>
            <w:gridCol w:w="683"/>
            <w:gridCol w:w="727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7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7D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LZD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7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7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8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8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8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8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8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8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8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8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8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8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8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0.004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9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0.099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0.099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0.101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9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0.101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A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A2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A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0.263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A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0.252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A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0.272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A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0.245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A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0.247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A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AC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-2.32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A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0.485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0.513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0.536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0.503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0.485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B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B6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-0.88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0.962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1.034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1.003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B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1.017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B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B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C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0.34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C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2.602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C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2.449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C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2.499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C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2.533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C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2.603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C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CA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2.6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-1.49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C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lef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C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4.936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C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4.815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C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4.586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D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4.955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2D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4.884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D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4.835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0.15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D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3.30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D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D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D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D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D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D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C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0.998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D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DE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0.3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DF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E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E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-0.312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-2.679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1.392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-0.146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6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-0.339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E7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1.47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  <w:vAlign w:val="center"/>
          </w:tcPr>
          <w:p w:rsidR="00000000" w:rsidDel="00000000" w:rsidP="00000000" w:rsidRDefault="00000000" w:rsidRPr="00000000" w14:paraId="000002E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9c0006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sz w:val="20"/>
                <w:szCs w:val="20"/>
                <w:rtl w:val="0"/>
              </w:rPr>
              <w:t xml:space="preserve">-434.6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E9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2E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78.981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64.114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79.631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72.646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E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78.335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0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74.74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1">
            <w:pPr>
              <w:spacing w:after="0" w:before="0" w:line="240" w:lineRule="auto"/>
              <w:jc w:val="center"/>
              <w:rPr>
                <w:rFonts w:ascii="Play" w:cs="Play" w:eastAsia="Play" w:hAnsi="Pla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sz w:val="20"/>
                <w:szCs w:val="20"/>
                <w:rtl w:val="0"/>
              </w:rPr>
              <w:t xml:space="preserve">6.56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2F2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8.8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3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5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8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9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B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F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2FF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PNU-142586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0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0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0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0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1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1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1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1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1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1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1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1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1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1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0.099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1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2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0.101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2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0.100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2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2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2.8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2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2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0.256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2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0.254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2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0.278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2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0.252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2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0.24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2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2E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5.4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2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-2.40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3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0.461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3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3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3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0.473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3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0.497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0.496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3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3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6.0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3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0.76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3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0.973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3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0.956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3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3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3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4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42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1.0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4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3.36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4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2.631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4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2.438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4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2.441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4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2.578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4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2.638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2.545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4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4C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3.9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4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-1.81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lef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4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5.111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5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5.031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5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4.797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5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5.135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5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5.041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5.023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0.13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56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-0.46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5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9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B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0.998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D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0.998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E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0.997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5F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6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0.2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6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363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-0.074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-0.159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5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-0.500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0.170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7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-0.013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8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-0.115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9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</w:tcPr>
          <w:p w:rsidR="00000000" w:rsidDel="00000000" w:rsidP="00000000" w:rsidRDefault="00000000" w:rsidRPr="00000000" w14:paraId="0000036A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9c0006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sz w:val="20"/>
                <w:szCs w:val="20"/>
                <w:rtl w:val="0"/>
              </w:rPr>
              <w:t xml:space="preserve">-214.3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6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6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D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15.320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12.496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6F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13.869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7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13.896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71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15.151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72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14.146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73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7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8.1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8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9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B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E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7F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8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381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PNU-142300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8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8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8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8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8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8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8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8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8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9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9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9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9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9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0.014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9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0.013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9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9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9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9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9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9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9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A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0.099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A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0.093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A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0.102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A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0.101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A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A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A6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3.7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0.80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A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A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0.255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A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0.287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A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0.243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A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0.248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A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A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B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-2.64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B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0.472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B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0.52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B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0.538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B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0.485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B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0.486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B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B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BA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5.5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B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0.954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B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0.966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B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C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0.986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C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0.968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C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C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C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1.2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3.32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C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2.568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C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2.471</w:t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C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2.497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CA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2.568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C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2.631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C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C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CE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2.5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-1.88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D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lef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3D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5.309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D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4.984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D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4.428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D4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5.135</w:t>
            </w:r>
          </w:p>
        </w:tc>
        <w:tc>
          <w:tcPr>
            <w:tcBorders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3D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5.024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D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4.976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D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0.33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D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6.7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D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0.48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D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DB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0.997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DC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DD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0.986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DE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0.999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D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0.999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0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0.996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1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E2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0.5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E3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E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3E5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-0.207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6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-0.224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7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-0.550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8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0.072</w:t>
            </w:r>
          </w:p>
        </w:tc>
        <w:tc>
          <w:tcPr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9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-0.239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A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-0.230</w:t>
            </w:r>
          </w:p>
        </w:tc>
        <w:tc>
          <w:tcPr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B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0.22</w:t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</w:tcPr>
          <w:p w:rsidR="00000000" w:rsidDel="00000000" w:rsidP="00000000" w:rsidRDefault="00000000" w:rsidRPr="00000000" w14:paraId="000003EC">
            <w:pPr>
              <w:spacing w:after="0" w:before="0" w:line="240" w:lineRule="auto"/>
              <w:jc w:val="center"/>
              <w:rPr>
                <w:rFonts w:ascii="Arial" w:cs="Arial" w:eastAsia="Arial" w:hAnsi="Arial"/>
                <w:color w:val="9c0006"/>
                <w:sz w:val="16"/>
                <w:szCs w:val="16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sz w:val="20"/>
                <w:szCs w:val="20"/>
                <w:rtl w:val="0"/>
              </w:rPr>
              <w:t xml:space="preserve">-95.9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E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3E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EF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15.019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F0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16.652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F1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16.480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F2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15.753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F3">
            <w:pPr>
              <w:spacing w:after="0" w:before="0" w:line="240" w:lineRule="auto"/>
              <w:jc w:val="center"/>
              <w:rPr>
                <w:rFonts w:ascii="Play" w:cs="Play" w:eastAsia="Play" w:hAnsi="Play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18.384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F4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16.457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3F5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</w:tcPr>
          <w:p w:rsidR="00000000" w:rsidDel="00000000" w:rsidP="00000000" w:rsidRDefault="00000000" w:rsidRPr="00000000" w14:paraId="000003F6">
            <w:pPr>
              <w:spacing w:after="0" w:before="0" w:line="240" w:lineRule="auto"/>
              <w:jc w:val="center"/>
              <w:rPr>
                <w:rFonts w:ascii="Arial" w:cs="Arial" w:eastAsia="Arial" w:hAnsi="Arial"/>
                <w:color w:val="006100"/>
                <w:sz w:val="16"/>
                <w:szCs w:val="16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7.6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F7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F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07" w:right="0" w:hanging="907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sv0h036e1ocm" w:id="5"/>
      <w:bookmarkEnd w:id="5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S5.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Summary of calibration curve parameters in plasma for Linezolid (LZD), PNU-142586, and PNU-142300. Curves were prepared on five separate days by multiple operators, each with six calibration levels and a zero level. For each analyte, the table shows the nominal concentrations, the coefficient of determination (r²), the slope and intercept of the linear regression, and the mean, standard deviation (SD), coefficient of variation (%CV), and mean relative error (%MRE) across days. Data fitted to a linear model (1/x² weighting, origin excluded).</w:t>
      </w:r>
    </w:p>
    <w:tbl>
      <w:tblPr>
        <w:tblStyle w:val="Table5"/>
        <w:tblW w:w="8644.999999999998" w:type="dxa"/>
        <w:jc w:val="center"/>
        <w:tblLayout w:type="fixed"/>
        <w:tblLook w:val="0400"/>
      </w:tblPr>
      <w:tblGrid>
        <w:gridCol w:w="816"/>
        <w:gridCol w:w="46"/>
        <w:gridCol w:w="977"/>
        <w:gridCol w:w="46"/>
        <w:gridCol w:w="843"/>
        <w:gridCol w:w="47"/>
        <w:gridCol w:w="843"/>
        <w:gridCol w:w="48"/>
        <w:gridCol w:w="843"/>
        <w:gridCol w:w="47"/>
        <w:gridCol w:w="843"/>
        <w:gridCol w:w="46"/>
        <w:gridCol w:w="843"/>
        <w:gridCol w:w="196"/>
        <w:gridCol w:w="704"/>
        <w:gridCol w:w="48"/>
        <w:gridCol w:w="643"/>
        <w:gridCol w:w="46"/>
        <w:gridCol w:w="659"/>
        <w:gridCol w:w="61"/>
        <w:tblGridChange w:id="0">
          <w:tblGrid>
            <w:gridCol w:w="816"/>
            <w:gridCol w:w="46"/>
            <w:gridCol w:w="977"/>
            <w:gridCol w:w="46"/>
            <w:gridCol w:w="843"/>
            <w:gridCol w:w="47"/>
            <w:gridCol w:w="843"/>
            <w:gridCol w:w="48"/>
            <w:gridCol w:w="843"/>
            <w:gridCol w:w="47"/>
            <w:gridCol w:w="843"/>
            <w:gridCol w:w="46"/>
            <w:gridCol w:w="843"/>
            <w:gridCol w:w="196"/>
            <w:gridCol w:w="704"/>
            <w:gridCol w:w="48"/>
            <w:gridCol w:w="643"/>
            <w:gridCol w:w="46"/>
            <w:gridCol w:w="659"/>
            <w:gridCol w:w="61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3F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3FB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LZD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3F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3FF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0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03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0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07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0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0B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C">
            <w:pPr>
              <w:widowControl w:val="1"/>
              <w:spacing w:after="160" w:before="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0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0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1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1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1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1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1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1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gridSpan w:val="2"/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1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gridSpan w:val="3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1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2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2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0.002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2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2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2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2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2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2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3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3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0.099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3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0.099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3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0.106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3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3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4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4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44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2.9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4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-1.00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4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4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4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0.258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4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0.213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5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0.248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5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5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5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45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7.4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5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2.80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5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5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0.509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6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0.492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6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0.488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6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0.52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6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0.514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6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0.505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6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46C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2.8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6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-0.92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7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7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1.069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7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1.051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7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1.073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7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1.026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7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1.041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7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1.052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7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48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1.9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8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-5.20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8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8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2.267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8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2.344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8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2.377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8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2.205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8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2.469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9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2.332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9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49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4.4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9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6.70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9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9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5.003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9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5.034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9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5.457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A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5.317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d3ebf1" w:val="clear"/>
            <w:vAlign w:val="center"/>
          </w:tcPr>
          <w:p w:rsidR="00000000" w:rsidDel="00000000" w:rsidP="00000000" w:rsidRDefault="00000000" w:rsidRPr="00000000" w14:paraId="000004A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4.869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A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5.136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A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4A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4.7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A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-2.72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A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A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0.996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B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0.998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B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0.988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B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B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0.999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B8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0.995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BA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4BC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0.4</w:t>
            </w:r>
          </w:p>
        </w:tc>
        <w:tc>
          <w:tcPr>
            <w:gridSpan w:val="3"/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B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C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C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-0.081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C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0.125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C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4.204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C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0.012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C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0.285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CC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0.909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CE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1.85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  <w:vAlign w:val="center"/>
          </w:tcPr>
          <w:p w:rsidR="00000000" w:rsidDel="00000000" w:rsidP="00000000" w:rsidRDefault="00000000" w:rsidRPr="00000000" w14:paraId="000004D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9c0006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sz w:val="20"/>
                <w:szCs w:val="20"/>
                <w:rtl w:val="0"/>
              </w:rPr>
              <w:t xml:space="preserve">203.2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4D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4D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D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72.020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D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72.838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D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75.736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D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72.334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D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76.461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E0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73.878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E2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2.06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4E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2.8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4E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E9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E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E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E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F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F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F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F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4F8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4F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F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4FE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PNU-142586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0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0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0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0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0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0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50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1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1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1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gridSpan w:val="2"/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2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gridSpan w:val="3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2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52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0.018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2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2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2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2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3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3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3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53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0.102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3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0.104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3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0.109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4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4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4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4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548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color w:val="0061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4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-4.60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4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54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0.244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5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0.233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5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0.203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5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0.238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5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0.218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5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0.227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5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55C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color w:val="0061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5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6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56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0.471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6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0.454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6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0.435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6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0.464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6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0.483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6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0.461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6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570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color w:val="0061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7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7.72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7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57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7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1.005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7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7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7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1.032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8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1.011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8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584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color w:val="0061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8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-1.06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8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58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2.394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8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2.398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8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2.393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9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2.333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9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2.503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9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2.404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9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598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color w:val="0061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9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9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9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5.537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A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5.758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A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6.177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A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5.804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5A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5.38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A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5.731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A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0.30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5AC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color w:val="0061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A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-14.62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B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B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0.995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B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0.989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B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0.967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B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0.989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B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BC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0.986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BE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5C0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color w:val="0061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C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C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5C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-0.218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C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0.318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C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0.501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C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0.020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C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0.089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D0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0.142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D2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0.28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  <w:vAlign w:val="center"/>
          </w:tcPr>
          <w:p w:rsidR="00000000" w:rsidDel="00000000" w:rsidP="00000000" w:rsidRDefault="00000000" w:rsidRPr="00000000" w14:paraId="000005D4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9c0006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9c0006"/>
                <w:sz w:val="20"/>
                <w:szCs w:val="20"/>
                <w:rtl w:val="0"/>
              </w:rPr>
              <w:t xml:space="preserve">195</w:t>
            </w:r>
            <w:r w:rsidDel="00000000" w:rsidR="00000000" w:rsidRPr="00000000">
              <w:rPr>
                <w:color w:val="9c0006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9c0006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5D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5D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D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12.145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D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10.471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D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10.370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E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10.182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E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12.064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E4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11.046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5E6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0.97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5E8">
            <w:pPr>
              <w:spacing w:after="0" w:before="0" w:line="240" w:lineRule="auto"/>
              <w:jc w:val="center"/>
              <w:rPr>
                <w:rFonts w:ascii="Aptos" w:cs="Aptos" w:eastAsia="Aptos" w:hAnsi="Aptos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color w:val="0061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ptos" w:cs="Aptos" w:eastAsia="Aptos" w:hAnsi="Aptos"/>
                <w:color w:val="006100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5E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ED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E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F0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F2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F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F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F8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F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5FC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5F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60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Analyte: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602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PNU-142300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60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60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60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60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60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61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61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1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Nominal Conc.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1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#1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18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#2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1A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#3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1C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1E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Curve #5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20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Mean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22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SD</w:t>
            </w:r>
          </w:p>
        </w:tc>
        <w:tc>
          <w:tcPr>
            <w:gridSpan w:val="2"/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24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%CV</w:t>
            </w:r>
          </w:p>
        </w:tc>
        <w:tc>
          <w:tcPr>
            <w:gridSpan w:val="3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26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%MRE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2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62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2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2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3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3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3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3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3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63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4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0.104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4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0.108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4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0.1103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4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4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4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64C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3.7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4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-5.46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5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65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0.244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5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0.238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5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0.202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5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0.228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5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0.221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5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0.227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5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66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7.2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6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9.36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6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66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0.518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6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0.439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6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0.47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6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0.502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6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0.475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7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0.481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7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0.03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67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6.4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7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7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67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1.075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7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7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1.05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8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1.029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8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1.02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8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1.030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8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68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3.6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8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-2.98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8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</w:tcBorders>
            <w:shd w:fill="d3ebf1" w:val="clear"/>
          </w:tcPr>
          <w:p w:rsidR="00000000" w:rsidDel="00000000" w:rsidP="00000000" w:rsidRDefault="00000000" w:rsidRPr="00000000" w14:paraId="0000068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2.217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9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2.458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9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2.321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9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2.256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9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2.519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9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2.354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9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0.13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69C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5.5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9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5.83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A1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A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5.137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A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5.839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A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5.955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A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5.607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d3ebf1" w:val="clear"/>
          </w:tcPr>
          <w:p w:rsidR="00000000" w:rsidDel="00000000" w:rsidP="00000000" w:rsidRDefault="00000000" w:rsidRPr="00000000" w14:paraId="000006A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5.435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A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5.595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A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0.33</w:t>
            </w:r>
          </w:p>
        </w:tc>
        <w:tc>
          <w:tcPr>
            <w:gridSpan w:val="2"/>
            <w:tcBorders>
              <w:top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6B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5.8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B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-11.89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B5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B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0.994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B8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0.986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B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B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0.990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B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0.992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C0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0.987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C2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6C4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0.8</w:t>
            </w:r>
          </w:p>
        </w:tc>
        <w:tc>
          <w:tcPr>
            <w:gridSpan w:val="3"/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C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C9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Intercept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6CA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0.059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CC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0.268</w:t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C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0.266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D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-0.008</w:t>
            </w:r>
          </w:p>
        </w:tc>
        <w:tc>
          <w:tcPr>
            <w:gridSpan w:val="2"/>
            <w:tcBorders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D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0.087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D4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0.134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D6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0.13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shd w:fill="ffc7ce" w:val="clear"/>
            <w:vAlign w:val="center"/>
          </w:tcPr>
          <w:p w:rsidR="00000000" w:rsidDel="00000000" w:rsidP="00000000" w:rsidRDefault="00000000" w:rsidRPr="00000000" w14:paraId="000006D8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9c0006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sz w:val="20"/>
                <w:szCs w:val="20"/>
                <w:rtl w:val="0"/>
              </w:rPr>
              <w:t xml:space="preserve">93.7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6DA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DD">
            <w:pPr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Slope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DE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12.610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E0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12.851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E2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12.438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E4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12.214</w:t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E6">
            <w:pPr>
              <w:spacing w:after="0" w:before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13.046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E8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12.632</w:t>
            </w:r>
          </w:p>
        </w:tc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6EA">
            <w:pP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0.33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6EC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0061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sz w:val="20"/>
                <w:szCs w:val="20"/>
                <w:rtl w:val="0"/>
              </w:rPr>
              <w:t xml:space="preserve">2.6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6EE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F1">
      <w:pPr>
        <w:keepNext w:val="1"/>
        <w:rPr/>
      </w:pPr>
      <w:r w:rsidDel="00000000" w:rsidR="00000000" w:rsidRPr="00000000">
        <w:rPr/>
        <w:drawing>
          <wp:inline distB="0" distT="0" distL="0" distR="0">
            <wp:extent cx="5292090" cy="3945890"/>
            <wp:effectExtent b="0" l="0" r="0" t="0"/>
            <wp:docPr descr="Gráfico&#10;&#10;El contenido generado por IA puede ser incorrecto." id="16" name="image1.png"/>
            <a:graphic>
              <a:graphicData uri="http://schemas.openxmlformats.org/drawingml/2006/picture">
                <pic:pic>
                  <pic:nvPicPr>
                    <pic:cNvPr descr="Gráfico&#10;&#10;El contenido generado por IA puede ser incorrecto."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3945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51" w:right="0" w:hanging="851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S1.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Representative chromatogram of a processed blank VAMS sample (without analytes or IS).</w:t>
      </w:r>
    </w:p>
    <w:p w:rsidR="00000000" w:rsidDel="00000000" w:rsidP="00000000" w:rsidRDefault="00000000" w:rsidRPr="00000000" w14:paraId="000006F3">
      <w:pPr>
        <w:keepNext w:val="1"/>
        <w:jc w:val="both"/>
        <w:rPr/>
      </w:pPr>
      <w:r w:rsidDel="00000000" w:rsidR="00000000" w:rsidRPr="00000000">
        <w:rPr/>
        <w:drawing>
          <wp:inline distB="0" distT="0" distL="0" distR="0">
            <wp:extent cx="5292090" cy="4018915"/>
            <wp:effectExtent b="0" l="0" r="0" t="0"/>
            <wp:docPr descr="Calendario&#10;&#10;El contenido generado por IA puede ser incorrecto." id="18" name="image2.png"/>
            <a:graphic>
              <a:graphicData uri="http://schemas.openxmlformats.org/drawingml/2006/picture">
                <pic:pic>
                  <pic:nvPicPr>
                    <pic:cNvPr descr="Calendario&#10;&#10;El contenido generado por IA puede ser incorrecto."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40189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51" w:right="0" w:hanging="851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S2.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Representative chromatogram of a processed VAMS sample spiked with Linezolid (LZD), PNU-142586, and PNU-142300 at 5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µg/mL, and the IS (LZD-d3) at its working concentration.</w:t>
      </w:r>
    </w:p>
    <w:p w:rsidR="00000000" w:rsidDel="00000000" w:rsidP="00000000" w:rsidRDefault="00000000" w:rsidRPr="00000000" w14:paraId="000006F5">
      <w:pPr>
        <w:keepNext w:val="1"/>
        <w:rPr/>
      </w:pPr>
      <w:r w:rsidDel="00000000" w:rsidR="00000000" w:rsidRPr="00000000">
        <w:rPr/>
        <w:drawing>
          <wp:inline distB="0" distT="0" distL="0" distR="0">
            <wp:extent cx="5292090" cy="4027170"/>
            <wp:effectExtent b="0" l="0" r="0" t="0"/>
            <wp:docPr descr="Gráfico&#10;&#10;El contenido generado por IA puede ser incorrecto." id="17" name="image4.png"/>
            <a:graphic>
              <a:graphicData uri="http://schemas.openxmlformats.org/drawingml/2006/picture">
                <pic:pic>
                  <pic:nvPicPr>
                    <pic:cNvPr descr="Gráfico&#10;&#10;El contenido generado por IA puede ser incorrecto."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40271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51" w:right="0" w:hanging="851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S3.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 Representative chromatogram of a processed blank oral fluid sample (without analytes or IS).</w:t>
      </w:r>
    </w:p>
    <w:p w:rsidR="00000000" w:rsidDel="00000000" w:rsidP="00000000" w:rsidRDefault="00000000" w:rsidRPr="00000000" w14:paraId="000006F7">
      <w:pPr>
        <w:keepNext w:val="1"/>
        <w:rPr/>
      </w:pPr>
      <w:r w:rsidDel="00000000" w:rsidR="00000000" w:rsidRPr="00000000">
        <w:rPr/>
        <w:drawing>
          <wp:inline distB="0" distT="0" distL="0" distR="0">
            <wp:extent cx="5292090" cy="3990975"/>
            <wp:effectExtent b="0" l="0" r="0" t="0"/>
            <wp:docPr descr="Calendario&#10;&#10;El contenido generado por IA puede ser incorrecto." id="20" name="image10.png"/>
            <a:graphic>
              <a:graphicData uri="http://schemas.openxmlformats.org/drawingml/2006/picture">
                <pic:pic>
                  <pic:nvPicPr>
                    <pic:cNvPr descr="Calendario&#10;&#10;El contenido generado por IA puede ser incorrecto."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399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51" w:right="0" w:hanging="851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S4.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Representative chromatogram of a processed oral fluid sample spiked with Linezolid (LZD), PNU-142586, and PNU-142300 at 5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µg/mL, and the IS (LZD-d3) at its working concentration.</w:t>
      </w:r>
    </w:p>
    <w:p w:rsidR="00000000" w:rsidDel="00000000" w:rsidP="00000000" w:rsidRDefault="00000000" w:rsidRPr="00000000" w14:paraId="000006F9">
      <w:pPr>
        <w:keepNext w:val="1"/>
        <w:rPr/>
      </w:pPr>
      <w:r w:rsidDel="00000000" w:rsidR="00000000" w:rsidRPr="00000000">
        <w:rPr/>
        <w:drawing>
          <wp:inline distB="0" distT="0" distL="0" distR="0">
            <wp:extent cx="5292090" cy="4025265"/>
            <wp:effectExtent b="0" l="0" r="0" t="0"/>
            <wp:docPr descr="Gráfico&#10;&#10;El contenido generado por IA puede ser incorrecto." id="19" name="image12.png"/>
            <a:graphic>
              <a:graphicData uri="http://schemas.openxmlformats.org/drawingml/2006/picture">
                <pic:pic>
                  <pic:nvPicPr>
                    <pic:cNvPr descr="Gráfico&#10;&#10;El contenido generado por IA puede ser incorrecto." id="0" name="image1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40252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51" w:right="0" w:hanging="851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S5.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 Representative chromatogram of a processed blank plasma sample (without analytes or IS).</w:t>
      </w:r>
    </w:p>
    <w:p w:rsidR="00000000" w:rsidDel="00000000" w:rsidP="00000000" w:rsidRDefault="00000000" w:rsidRPr="00000000" w14:paraId="000006F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  <w:drawing>
          <wp:inline distB="0" distT="0" distL="0" distR="0">
            <wp:extent cx="5292090" cy="4021455"/>
            <wp:effectExtent b="0" l="0" r="0" t="0"/>
            <wp:docPr descr="Diagrama&#10;&#10;El contenido generado por IA puede ser incorrecto." id="22" name="image9.png"/>
            <a:graphic>
              <a:graphicData uri="http://schemas.openxmlformats.org/drawingml/2006/picture">
                <pic:pic>
                  <pic:nvPicPr>
                    <pic:cNvPr descr="Diagrama&#10;&#10;El contenido generado por IA puede ser incorrecto." id="0" name="image9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40214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51" w:right="0" w:hanging="851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S6.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Representative chromatogram of a processed plasma sample spiked with Linezolid (LZD), PNU-142586, and PNU-142300 at 5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µg/mL, and the IS (LZD-d3) at its working concentration.</w:t>
      </w:r>
    </w:p>
    <w:p w:rsidR="00000000" w:rsidDel="00000000" w:rsidP="00000000" w:rsidRDefault="00000000" w:rsidRPr="00000000" w14:paraId="000006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94" w:right="0" w:hanging="79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lidfcx4owcpj" w:id="6"/>
      <w:bookmarkEnd w:id="6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S6.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Autosampler stability of Linezolid (LZD), PNU-142586, and PNU-142300 in processed samples after 72 h at 6ºC. Results are expressed as mean percentage difference (%Difference) from freshly injected QC samples (n=3 for each concentration level).</w:t>
      </w:r>
    </w:p>
    <w:tbl>
      <w:tblPr>
        <w:tblStyle w:val="Table6"/>
        <w:tblW w:w="6900.0" w:type="dxa"/>
        <w:jc w:val="center"/>
        <w:tblLayout w:type="fixed"/>
        <w:tblLook w:val="0400"/>
      </w:tblPr>
      <w:tblGrid>
        <w:gridCol w:w="1560"/>
        <w:gridCol w:w="1580"/>
        <w:gridCol w:w="1260"/>
        <w:gridCol w:w="1360"/>
        <w:gridCol w:w="1140"/>
        <w:tblGridChange w:id="0">
          <w:tblGrid>
            <w:gridCol w:w="1560"/>
            <w:gridCol w:w="1580"/>
            <w:gridCol w:w="1260"/>
            <w:gridCol w:w="1360"/>
            <w:gridCol w:w="114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FE">
            <w:pPr>
              <w:spacing w:after="40" w:before="4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Matrix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6FF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Analyte</w:t>
            </w:r>
          </w:p>
        </w:tc>
        <w:tc>
          <w:tcPr>
            <w:gridSpan w:val="3"/>
            <w:tcBorders>
              <w:top w:color="000000" w:space="0" w:sz="8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00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% Difference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05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Low QC </w:t>
            </w: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(0.2 µg/mL)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06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Medium QC </w:t>
            </w: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(2 µg/mL)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12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07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High QC </w:t>
            </w:r>
            <w:r w:rsidDel="00000000" w:rsidR="00000000" w:rsidRPr="00000000">
              <w:rPr>
                <w:rFonts w:ascii="Play" w:cs="Play" w:eastAsia="Play" w:hAnsi="Play"/>
                <w:sz w:val="20"/>
                <w:szCs w:val="20"/>
                <w:rtl w:val="0"/>
              </w:rPr>
              <w:t xml:space="preserve">(4 µg/mL)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08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VAMS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09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LZD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0A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-3.6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0B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-1.5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0C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-0.5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0E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PNU-142586</w:t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0F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-3.0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0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-2.4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1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-5.2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13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PNU-142300</w:t>
            </w:r>
          </w:p>
        </w:tc>
        <w:tc>
          <w:tcPr>
            <w:tcBorders>
              <w:left w:color="000000" w:space="0" w:sz="4" w:val="single"/>
              <w:bottom w:color="000000" w:space="0" w:sz="12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4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0.9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5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3.8</w:t>
            </w:r>
          </w:p>
        </w:tc>
        <w:tc>
          <w:tcPr>
            <w:tcBorders>
              <w:bottom w:color="000000" w:space="0" w:sz="12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6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1.4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17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Oral Fluid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18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LZD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9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A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1.4</w:t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B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1.5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1D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PNU-142586</w:t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E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0.0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1F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3.6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20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5.4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22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PNU-142300</w:t>
            </w:r>
          </w:p>
        </w:tc>
        <w:tc>
          <w:tcPr>
            <w:tcBorders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23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0.9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24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0.2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25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-0.1</w:t>
            </w:r>
          </w:p>
        </w:tc>
      </w:tr>
    </w:tbl>
    <w:p w:rsidR="00000000" w:rsidDel="00000000" w:rsidP="00000000" w:rsidRDefault="00000000" w:rsidRPr="00000000" w14:paraId="000007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94" w:right="0" w:hanging="79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1kq3ns9fg9vq" w:id="7"/>
      <w:bookmarkEnd w:id="7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S7.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Experimental concentrations (mean ± SD, n = 3) of Linezolid (LZD), PNU-142586, and PNU-142300 measured in VAMS devices loaded with whole blood at three hematocrit (Hct) levels (Low: 0.25; Medium: 0.45; High: 0.7) and three nominal concentration levels (0.2, 2, and 4 µg/mL).</w:t>
      </w:r>
    </w:p>
    <w:tbl>
      <w:tblPr>
        <w:tblStyle w:val="Table7"/>
        <w:tblW w:w="6961.999999999999" w:type="dxa"/>
        <w:jc w:val="center"/>
        <w:tblLayout w:type="fixed"/>
        <w:tblLook w:val="0400"/>
      </w:tblPr>
      <w:tblGrid>
        <w:gridCol w:w="1535"/>
        <w:gridCol w:w="1506"/>
        <w:gridCol w:w="1285"/>
        <w:gridCol w:w="1352"/>
        <w:gridCol w:w="1284"/>
        <w:tblGridChange w:id="0">
          <w:tblGrid>
            <w:gridCol w:w="1535"/>
            <w:gridCol w:w="1506"/>
            <w:gridCol w:w="1285"/>
            <w:gridCol w:w="1352"/>
            <w:gridCol w:w="1284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28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Analyte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29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Nominal concentration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2A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Experimental concentration (µg/mL)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2F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Low Hct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30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Medium Hct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31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High Hct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32">
            <w:pPr>
              <w:spacing w:after="40" w:before="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LZD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33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0.2 µg/mL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34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0.228±0.003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35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0.243±0.012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36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0.220±0.015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38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39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2.052±0.153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3A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2.116±0.135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3B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1.960±0.076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3D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4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3E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4.197±0.036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3F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3.999±0.189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40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3.777±0.275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5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41">
            <w:pPr>
              <w:spacing w:after="0" w:before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46">
            <w:pPr>
              <w:spacing w:after="40" w:before="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PNU-142586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47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0.2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48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0.238±0.005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49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0.215±0.009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4A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0.180±0.022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4C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4D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2.160±0.242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4E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2.069±0.114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4F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1.605±0.044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51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4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52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4.560±0.185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53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3.943±0.176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54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3.073±0.142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5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55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5A">
            <w:pPr>
              <w:spacing w:after="40" w:before="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PNU-142300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5B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0.2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5C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0.210±0.018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5D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0.221±0.015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5E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0.199±0.021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60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61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1.853±0.185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62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2.005±0.117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63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1.879±0.024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65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4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66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4.057±0.116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67">
            <w:pPr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3.910±0.158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768">
            <w:pPr>
              <w:keepNext w:val="1"/>
              <w:spacing w:after="40" w:before="40" w:lineRule="auto"/>
              <w:jc w:val="center"/>
              <w:rPr>
                <w:rFonts w:ascii="Play" w:cs="Play" w:eastAsia="Play" w:hAnsi="Play"/>
              </w:rPr>
            </w:pPr>
            <w:r w:rsidDel="00000000" w:rsidR="00000000" w:rsidRPr="00000000">
              <w:rPr>
                <w:rFonts w:ascii="Play" w:cs="Play" w:eastAsia="Play" w:hAnsi="Play"/>
                <w:rtl w:val="0"/>
              </w:rPr>
              <w:t xml:space="preserve">3.553±0.231</w:t>
            </w:r>
          </w:p>
        </w:tc>
      </w:tr>
    </w:tbl>
    <w:p w:rsidR="00000000" w:rsidDel="00000000" w:rsidP="00000000" w:rsidRDefault="00000000" w:rsidRPr="00000000" w14:paraId="000007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94" w:right="0" w:hanging="79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ollma9xcpntj" w:id="8"/>
      <w:bookmarkEnd w:id="8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S8.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Influence of hematocrit (Hct) levels (Low: 0.25; Medium: 0.45; High: 0.7) on assay precision expressed as coefficient of variation (CV%) for Linezolid (LZD), PNU-142586, and PNU-142300 at low, medium, and high concentration levels in VAMS samples.</w:t>
      </w:r>
    </w:p>
    <w:tbl>
      <w:tblPr>
        <w:tblStyle w:val="Table8"/>
        <w:tblW w:w="8128.000000000001" w:type="dxa"/>
        <w:jc w:val="center"/>
        <w:tblLayout w:type="fixed"/>
        <w:tblLook w:val="0400"/>
      </w:tblPr>
      <w:tblGrid>
        <w:gridCol w:w="1534"/>
        <w:gridCol w:w="1633"/>
        <w:gridCol w:w="1117"/>
        <w:gridCol w:w="1511"/>
        <w:gridCol w:w="1166"/>
        <w:gridCol w:w="1167"/>
        <w:tblGridChange w:id="0">
          <w:tblGrid>
            <w:gridCol w:w="1534"/>
            <w:gridCol w:w="1633"/>
            <w:gridCol w:w="1117"/>
            <w:gridCol w:w="1511"/>
            <w:gridCol w:w="1166"/>
            <w:gridCol w:w="1167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6B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Analyte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6C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Concentration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6D">
            <w:pPr>
              <w:spacing w:after="120" w:before="12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CV%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004d81" w:val="clear"/>
            <w:vAlign w:val="center"/>
          </w:tcPr>
          <w:p w:rsidR="00000000" w:rsidDel="00000000" w:rsidP="00000000" w:rsidRDefault="00000000" w:rsidRPr="00000000" w14:paraId="000007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73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Low Hct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74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Medium Hct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75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High Hct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76">
            <w:pPr>
              <w:spacing w:after="40" w:before="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Mean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77">
            <w:pPr>
              <w:spacing w:after="40" w:before="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LZD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78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0.2 µg/mL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79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1.5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7A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5.1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7B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6.7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7C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6.2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7E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7F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80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6.4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81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3.9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82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6.3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84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4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85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0.9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86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4.7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87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7.3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88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6.2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5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89">
            <w:pPr>
              <w:spacing w:after="0" w:before="0" w:line="240" w:lineRule="auto"/>
              <w:jc w:val="center"/>
              <w:rPr>
                <w:rFonts w:ascii="Arial" w:cs="Arial" w:eastAsia="Arial" w:hAnsi="Arial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8E">
            <w:pPr>
              <w:spacing w:after="0" w:before="0" w:line="240" w:lineRule="auto"/>
              <w:jc w:val="center"/>
              <w:rPr>
                <w:rFonts w:ascii="Arial" w:cs="Arial" w:eastAsia="Arial" w:hAnsi="Arial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8F">
            <w:pPr>
              <w:spacing w:after="40" w:before="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PNU-142586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90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0.2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1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2.0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2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3.9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3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12.1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4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13.4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96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7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11.2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8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5.5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9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2.7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A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15.0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9C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4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D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4.1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E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9F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c7ce" w:val="clear"/>
            <w:vAlign w:val="center"/>
          </w:tcPr>
          <w:p w:rsidR="00000000" w:rsidDel="00000000" w:rsidP="00000000" w:rsidRDefault="00000000" w:rsidRPr="00000000" w14:paraId="000007A0">
            <w:pPr>
              <w:spacing w:after="0" w:before="0" w:line="240" w:lineRule="auto"/>
              <w:jc w:val="center"/>
              <w:rPr>
                <w:rFonts w:ascii="Play" w:cs="Play" w:eastAsia="Play" w:hAnsi="Play"/>
                <w:color w:val="ee0000"/>
              </w:rPr>
            </w:pPr>
            <w:r w:rsidDel="00000000" w:rsidR="00000000" w:rsidRPr="00000000">
              <w:rPr>
                <w:rFonts w:ascii="Play" w:cs="Play" w:eastAsia="Play" w:hAnsi="Play"/>
                <w:color w:val="9c0006"/>
                <w:rtl w:val="0"/>
              </w:rPr>
              <w:t xml:space="preserve">17.2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5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A1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A6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A7">
            <w:pPr>
              <w:spacing w:after="40" w:before="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4d81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rtl w:val="0"/>
              </w:rPr>
              <w:t xml:space="preserve">PNU-142300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A8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0.2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A9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AA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6.9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AB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10.8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AC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9.0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AE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2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AF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B0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5.9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B1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1.3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B2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6.8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7B4">
            <w:pPr>
              <w:spacing w:after="40" w:before="40" w:lineRule="auto"/>
              <w:jc w:val="center"/>
              <w:rPr>
                <w:rFonts w:ascii="Play" w:cs="Play" w:eastAsia="Play" w:hAnsi="Pla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i w:val="1"/>
                <w:iCs w:val="1"/>
                <w:sz w:val="20"/>
                <w:szCs w:val="20"/>
                <w:rtl w:val="0"/>
              </w:rPr>
              <w:t xml:space="preserve">4 µg/mL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B5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2.9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B6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4.0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B7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6efce" w:val="clear"/>
            <w:vAlign w:val="center"/>
          </w:tcPr>
          <w:p w:rsidR="00000000" w:rsidDel="00000000" w:rsidP="00000000" w:rsidRDefault="00000000" w:rsidRPr="00000000" w14:paraId="000007B8">
            <w:pPr>
              <w:spacing w:after="40" w:before="40" w:lineRule="auto"/>
              <w:jc w:val="center"/>
              <w:rPr>
                <w:rFonts w:ascii="Play" w:cs="Play" w:eastAsia="Play" w:hAnsi="Play"/>
                <w:color w:val="006100"/>
              </w:rPr>
            </w:pPr>
            <w:r w:rsidDel="00000000" w:rsidR="00000000" w:rsidRPr="00000000">
              <w:rPr>
                <w:rFonts w:ascii="Play" w:cs="Play" w:eastAsia="Play" w:hAnsi="Play"/>
                <w:color w:val="006100"/>
                <w:rtl w:val="0"/>
              </w:rPr>
              <w:t xml:space="preserve">7.0</w:t>
            </w:r>
          </w:p>
        </w:tc>
      </w:tr>
    </w:tbl>
    <w:p w:rsidR="00000000" w:rsidDel="00000000" w:rsidP="00000000" w:rsidRDefault="00000000" w:rsidRPr="00000000" w14:paraId="000007B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94" w:right="0" w:hanging="79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aubag86o1kie" w:id="9"/>
      <w:bookmarkEnd w:id="9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S9.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Individual linezolid (LZD), PNU-142586, and PNU-142300 concentrations measured in plasma, VAMS loaded with venous whole blood (VAMS_WB), capillary VAMS, and oral fluid (OF). Each row corresponds to a paired sample obtained from the same patient. Suspected outliers were excluded before averaging replicates to yield a single value per sample, analyte, and matrix.</w:t>
      </w:r>
    </w:p>
    <w:tbl>
      <w:tblPr>
        <w:tblStyle w:val="Table9"/>
        <w:tblW w:w="9236.0" w:type="dxa"/>
        <w:jc w:val="center"/>
        <w:tblLayout w:type="fixed"/>
        <w:tblLook w:val="04A0"/>
      </w:tblPr>
      <w:tblGrid>
        <w:gridCol w:w="726"/>
        <w:gridCol w:w="1044"/>
        <w:gridCol w:w="823"/>
        <w:gridCol w:w="667"/>
        <w:gridCol w:w="663"/>
        <w:gridCol w:w="976"/>
        <w:gridCol w:w="823"/>
        <w:gridCol w:w="512"/>
        <w:gridCol w:w="7"/>
        <w:gridCol w:w="640"/>
        <w:gridCol w:w="966"/>
        <w:gridCol w:w="826"/>
        <w:gridCol w:w="558"/>
        <w:gridCol w:w="5"/>
        <w:tblGridChange w:id="0">
          <w:tblGrid>
            <w:gridCol w:w="726"/>
            <w:gridCol w:w="1044"/>
            <w:gridCol w:w="823"/>
            <w:gridCol w:w="667"/>
            <w:gridCol w:w="663"/>
            <w:gridCol w:w="976"/>
            <w:gridCol w:w="823"/>
            <w:gridCol w:w="512"/>
            <w:gridCol w:w="7"/>
            <w:gridCol w:w="640"/>
            <w:gridCol w:w="966"/>
            <w:gridCol w:w="826"/>
            <w:gridCol w:w="558"/>
            <w:gridCol w:w="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004d81" w:val="clear"/>
          </w:tcPr>
          <w:p w:rsidR="00000000" w:rsidDel="00000000" w:rsidP="00000000" w:rsidRDefault="00000000" w:rsidRPr="00000000" w14:paraId="000007BB">
            <w:pPr>
              <w:widowControl w:val="1"/>
              <w:spacing w:after="40" w:before="40" w:lineRule="auto"/>
              <w:jc w:val="center"/>
              <w:rPr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LZD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</w:tcBorders>
            <w:shd w:fill="004d81" w:val="clear"/>
          </w:tcPr>
          <w:p w:rsidR="00000000" w:rsidDel="00000000" w:rsidP="00000000" w:rsidRDefault="00000000" w:rsidRPr="00000000" w14:paraId="000007BF">
            <w:pPr>
              <w:widowControl w:val="1"/>
              <w:spacing w:after="40" w:before="40" w:line="278.00000000000006" w:lineRule="auto"/>
              <w:jc w:val="center"/>
              <w:rPr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PNU-142586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right w:color="000000" w:space="0" w:sz="12" w:val="single"/>
            </w:tcBorders>
            <w:shd w:fill="004d81" w:val="clear"/>
          </w:tcPr>
          <w:p w:rsidR="00000000" w:rsidDel="00000000" w:rsidP="00000000" w:rsidRDefault="00000000" w:rsidRPr="00000000" w14:paraId="000007C3">
            <w:pPr>
              <w:widowControl w:val="1"/>
              <w:spacing w:after="40" w:before="40" w:line="278.00000000000006" w:lineRule="auto"/>
              <w:jc w:val="center"/>
              <w:rPr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PNU-142300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8">
            <w:pPr>
              <w:widowControl w:val="1"/>
              <w:spacing w:after="0" w:before="0" w:lineRule="auto"/>
              <w:jc w:val="left"/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C9">
            <w:pPr>
              <w:widowControl w:val="1"/>
              <w:spacing w:after="0" w:before="20" w:lineRule="auto"/>
              <w:jc w:val="center"/>
              <w:rPr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VAMS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CA">
            <w:pPr>
              <w:widowControl w:val="1"/>
              <w:spacing w:after="0" w:before="20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VAMS_WB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CB">
            <w:pPr>
              <w:widowControl w:val="1"/>
              <w:spacing w:after="0" w:before="20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PLASMA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CC">
            <w:pPr>
              <w:widowControl w:val="1"/>
              <w:spacing w:after="0" w:before="20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OF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CD">
            <w:pPr>
              <w:widowControl w:val="1"/>
              <w:spacing w:after="0" w:before="20" w:line="278.00000000000006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VAMS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CE">
            <w:pPr>
              <w:widowControl w:val="1"/>
              <w:spacing w:after="0" w:before="20" w:line="278.00000000000006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VAMS_WB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CF">
            <w:pPr>
              <w:widowControl w:val="1"/>
              <w:spacing w:after="0" w:before="20" w:line="278.00000000000006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PLASMA</w:t>
            </w:r>
          </w:p>
        </w:tc>
        <w:tc>
          <w:tcPr>
            <w:gridSpan w:val="2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D0">
            <w:pPr>
              <w:widowControl w:val="1"/>
              <w:spacing w:after="0" w:before="20" w:line="278.00000000000006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OF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D2">
            <w:pPr>
              <w:widowControl w:val="1"/>
              <w:spacing w:after="0" w:before="20" w:line="278.00000000000006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VAMS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D3">
            <w:pPr>
              <w:widowControl w:val="1"/>
              <w:spacing w:after="0" w:before="20" w:line="278.00000000000006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VAMS_WB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D4">
            <w:pPr>
              <w:widowControl w:val="1"/>
              <w:spacing w:after="0" w:before="20" w:line="278.00000000000006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PLASMA</w:t>
            </w:r>
          </w:p>
        </w:tc>
        <w:tc>
          <w:tcPr>
            <w:gridSpan w:val="2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D5">
            <w:pPr>
              <w:widowControl w:val="1"/>
              <w:spacing w:after="0" w:before="20" w:line="278.00000000000006" w:lineRule="auto"/>
              <w:jc w:val="center"/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sz w:val="16"/>
                <w:szCs w:val="16"/>
                <w:rtl w:val="0"/>
              </w:rPr>
              <w:t xml:space="preserve">OF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7D7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7D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7D9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D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7D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7D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7D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D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7E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7E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7E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E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E5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7E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7E7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E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E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7E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7E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E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E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7E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7F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7F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F3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5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F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F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F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F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F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01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02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03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0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0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0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0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0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0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0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0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0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0F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0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1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12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1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1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1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1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1D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1E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1F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20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2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2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2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2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2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2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2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2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2B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C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D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2E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2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3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3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3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39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3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3B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3C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3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3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3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4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4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4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4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4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47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9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4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4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4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5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5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55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5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57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5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5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5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5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5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5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5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6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6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63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5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6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6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6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6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6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71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72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73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7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7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7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7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7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7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7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7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7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7F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0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1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82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8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8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8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8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8D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8E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8F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90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9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9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9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9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9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9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9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9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9B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C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D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9E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9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A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A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A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A9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A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AB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AC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A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A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A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B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B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B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B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B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B7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9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B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B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B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C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C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C5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C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C7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C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C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C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C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C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C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C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D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D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D3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5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D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D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D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D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D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E1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E2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E3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E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E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E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E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E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E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E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E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E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EF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0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1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F2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F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F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8F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8F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8FD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FE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8FF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00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0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0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0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0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0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0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0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0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0B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C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D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0E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0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1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1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1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19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1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1B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1C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1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1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1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2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2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2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2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2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27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9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2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2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2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3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3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35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3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37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3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3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3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3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3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3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3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4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4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43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5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4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4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4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4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4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51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52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53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5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5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5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5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5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5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5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5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5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5F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0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1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62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6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6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6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6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6D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6E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6F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70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7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7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7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7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7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7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7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7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7B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C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D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7E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7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8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8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6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8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89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8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8B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8C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8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8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8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9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9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9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94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95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97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9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9A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9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9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9A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2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9A3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A5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A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A7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A8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A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A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AB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A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A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A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B0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28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2" w:val="single"/>
            </w:tcBorders>
            <w:shd w:fill="f2f2f2" w:val="clear"/>
          </w:tcPr>
          <w:p w:rsidR="00000000" w:rsidDel="00000000" w:rsidP="00000000" w:rsidRDefault="00000000" w:rsidRPr="00000000" w14:paraId="000009B1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9B3">
            <w:pPr>
              <w:widowControl w:val="1"/>
              <w:spacing w:after="0" w:before="2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b w:val="0"/>
                <w:bCs w:val="0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9B4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9B5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B6">
            <w:pPr>
              <w:widowControl w:val="1"/>
              <w:spacing w:after="0"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9B7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9B8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9B9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BA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9BC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9BD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9BE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BF">
            <w:pPr>
              <w:widowControl w:val="1"/>
              <w:spacing w:after="0" w:before="20" w:line="278.0000000000000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C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851" w:right="0" w:hanging="851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7m2c6dhwvx0c" w:id="10"/>
      <w:bookmarkEnd w:id="10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S10.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Median concentrations [interquartile range, IQR], minimum–maximum values, and standard deviations (SD) of linezolid (LZD) and its metabolites PNU-142586 and PNU-142300 in VAMS loaded with capillary blood (VAMS, n = 31), VAMS loaded with whole blood (VAMS_WB, n = 35), plasma (n = 34), and oral fluid collected with Salivette® (ORAL_FLUID, n = 21). All concentrations are expressed in µg/mL.</w:t>
      </w:r>
    </w:p>
    <w:tbl>
      <w:tblPr>
        <w:tblStyle w:val="Table10"/>
        <w:tblW w:w="7357.0" w:type="dxa"/>
        <w:jc w:val="center"/>
        <w:tblLayout w:type="fixed"/>
        <w:tblLook w:val="0420"/>
      </w:tblPr>
      <w:tblGrid>
        <w:gridCol w:w="1456"/>
        <w:gridCol w:w="1541"/>
        <w:gridCol w:w="2088"/>
        <w:gridCol w:w="1536"/>
        <w:gridCol w:w="736"/>
        <w:tblGridChange w:id="0">
          <w:tblGrid>
            <w:gridCol w:w="1456"/>
            <w:gridCol w:w="1541"/>
            <w:gridCol w:w="2088"/>
            <w:gridCol w:w="1536"/>
            <w:gridCol w:w="736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bottom w:color="7f7f7f" w:space="0" w:sz="4" w:val="single"/>
            </w:tcBorders>
            <w:shd w:fill="004d81" w:val="clear"/>
          </w:tcPr>
          <w:p w:rsidR="00000000" w:rsidDel="00000000" w:rsidP="00000000" w:rsidRDefault="00000000" w:rsidRPr="00000000" w14:paraId="000009C3">
            <w:pPr>
              <w:widowControl w:val="1"/>
              <w:spacing w:after="60" w:before="6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Analyte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7f7f7f" w:space="0" w:sz="4" w:val="single"/>
            </w:tcBorders>
            <w:shd w:fill="004d81" w:val="clear"/>
          </w:tcPr>
          <w:p w:rsidR="00000000" w:rsidDel="00000000" w:rsidP="00000000" w:rsidRDefault="00000000" w:rsidRPr="00000000" w14:paraId="000009C4">
            <w:pPr>
              <w:widowControl w:val="1"/>
              <w:spacing w:after="60" w:before="6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Matrix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7f7f7f" w:space="0" w:sz="4" w:val="single"/>
            </w:tcBorders>
            <w:shd w:fill="004d81" w:val="clear"/>
          </w:tcPr>
          <w:p w:rsidR="00000000" w:rsidDel="00000000" w:rsidP="00000000" w:rsidRDefault="00000000" w:rsidRPr="00000000" w14:paraId="000009C5">
            <w:pPr>
              <w:widowControl w:val="1"/>
              <w:spacing w:after="60" w:before="6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Median [IQR]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7f7f7f" w:space="0" w:sz="4" w:val="single"/>
            </w:tcBorders>
            <w:shd w:fill="004d81" w:val="clear"/>
          </w:tcPr>
          <w:p w:rsidR="00000000" w:rsidDel="00000000" w:rsidP="00000000" w:rsidRDefault="00000000" w:rsidRPr="00000000" w14:paraId="000009C6">
            <w:pPr>
              <w:widowControl w:val="1"/>
              <w:spacing w:after="60" w:before="6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Min–Max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7f7f7f" w:space="0" w:sz="4" w:val="single"/>
            </w:tcBorders>
            <w:shd w:fill="004d81" w:val="clear"/>
          </w:tcPr>
          <w:p w:rsidR="00000000" w:rsidDel="00000000" w:rsidP="00000000" w:rsidRDefault="00000000" w:rsidRPr="00000000" w14:paraId="000009C7">
            <w:pPr>
              <w:widowControl w:val="1"/>
              <w:spacing w:after="60" w:before="60" w:line="24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ffffff"/>
                <w:rtl w:val="0"/>
              </w:rPr>
              <w:t xml:space="preserve">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C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rtl w:val="0"/>
              </w:rPr>
              <w:t xml:space="preserve">LZD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C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C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2.98 [2.11–7.17]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CB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0.12–15.26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C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4.34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VAMS_WB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2.77 [1.98–9.01]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0.01–15.72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1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5.22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D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Plasma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D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2.44 [1.83–7.25]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D5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0.01–13.46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D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4.33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9D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ORAL_FLUID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9D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3.49 [2.31–9.62]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9D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0.02–19.01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9DB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5.32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D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rtl w:val="0"/>
              </w:rPr>
              <w:t xml:space="preserve">PNU-142586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9D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9D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2.78 [1.65–4.77]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9D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0.12–31.29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9E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6.77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VAMS_WB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3.19 [2.44–6.31]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0.16–32.45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5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6.62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E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Plasma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E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3.65 [2.34–5.28]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E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0.12–24.30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E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5.71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9E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ORAL_FLUID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9E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0.06 [0.044–0.241]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9E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0.01–2.10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9E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F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04d8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4d81"/>
                <w:rtl w:val="0"/>
              </w:rPr>
              <w:t xml:space="preserve">PNU-142300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9F1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9F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1.05 [0.443–1.87]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9F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0.02–22.40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9F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4.59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VAMS_WB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1.03 [0.656–3.39]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0.02–21.23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4.49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FB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Plasma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F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1.59 [0.800–4.23]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F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0.03–28.87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F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5.94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9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ORAL_FLUID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1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0.20 [0.074–0.732]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0.02–2.16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0.63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0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5">
      <w:pPr>
        <w:keepNext w:val="1"/>
        <w:spacing w:after="120" w:before="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400040" cy="2623820"/>
            <wp:effectExtent b="0" l="0" r="0" t="0"/>
            <wp:docPr descr="Gráfico, Gráfico de cajas y bigotes&#10;&#10;El contenido generado por IA puede ser incorrecto." id="21" name="image13.png"/>
            <a:graphic>
              <a:graphicData uri="http://schemas.openxmlformats.org/drawingml/2006/picture">
                <pic:pic>
                  <pic:nvPicPr>
                    <pic:cNvPr descr="Gráfico, Gráfico de cajas y bigotes&#10;&#10;El contenido generado por IA puede ser incorrecto." id="0" name="image13.png"/>
                    <pic:cNvPicPr preferRelativeResize="0"/>
                  </pic:nvPicPr>
                  <pic:blipFill>
                    <a:blip r:embed="rId18"/>
                    <a:srcRect b="0" l="0" r="0" t="28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3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S7.</w:t>
      </w:r>
      <w:bookmarkStart w:colFirst="0" w:colLast="0" w:name="bookmark=id.1xexlbkznxt9" w:id="11"/>
      <w:bookmarkEnd w:id="11"/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Histograms with overlay density curves (gray) of Linezolid (LZD) concentrations measured in each matrix.</w:t>
      </w:r>
    </w:p>
    <w:p w:rsidR="00000000" w:rsidDel="00000000" w:rsidP="00000000" w:rsidRDefault="00000000" w:rsidRPr="00000000" w14:paraId="00000A07">
      <w:pPr>
        <w:keepNext w:val="1"/>
        <w:spacing w:after="120" w:before="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4679950" cy="2267585"/>
            <wp:effectExtent b="0" l="0" r="0" t="0"/>
            <wp:docPr descr="Gráfico, Gráfico de cajas y bigotes&#10;&#10;El contenido generado por IA puede ser incorrecto." id="24" name="image7.png"/>
            <a:graphic>
              <a:graphicData uri="http://schemas.openxmlformats.org/drawingml/2006/picture">
                <pic:pic>
                  <pic:nvPicPr>
                    <pic:cNvPr descr="Gráfico, Gráfico de cajas y bigotes&#10;&#10;El contenido generado por IA puede ser incorrecto." id="0" name="image7.png"/>
                    <pic:cNvPicPr preferRelativeResize="0"/>
                  </pic:nvPicPr>
                  <pic:blipFill>
                    <a:blip r:embed="rId19"/>
                    <a:srcRect b="310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2675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S8.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Boxplots of Linezolid (LZD) concentrations (µg/mL) across different biological matrices. Boxes represent the interquartile range (IQR) and horizontal lines indicate the. Sample size (n) is indicated in each box.</w:t>
      </w:r>
    </w:p>
    <w:p w:rsidR="00000000" w:rsidDel="00000000" w:rsidP="00000000" w:rsidRDefault="00000000" w:rsidRPr="00000000" w14:paraId="00000A09">
      <w:pPr>
        <w:keepNext w:val="1"/>
        <w:spacing w:after="120" w:before="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039360" cy="2413000"/>
            <wp:effectExtent b="0" l="0" r="0" t="0"/>
            <wp:docPr descr="Gráfico, Gráfico de dispersión&#10;&#10;El contenido generado por IA puede ser incorrecto." id="23" name="image15.png"/>
            <a:graphic>
              <a:graphicData uri="http://schemas.openxmlformats.org/drawingml/2006/picture">
                <pic:pic>
                  <pic:nvPicPr>
                    <pic:cNvPr descr="Gráfico, Gráfico de dispersión&#10;&#10;El contenido generado por IA puede ser incorrecto." id="0" name="image15.png"/>
                    <pic:cNvPicPr preferRelativeResize="0"/>
                  </pic:nvPicPr>
                  <pic:blipFill>
                    <a:blip r:embed="rId20"/>
                    <a:srcRect b="0" l="0" r="0" t="4229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S9.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Q-Q plots of Linezolid (LZD) concentrations for each matrix. Theoretical quantiles are plotted against observed values. Diagonal line (gray) represents expected distribution under normality.</w:t>
      </w:r>
    </w:p>
    <w:p w:rsidR="00000000" w:rsidDel="00000000" w:rsidP="00000000" w:rsidRDefault="00000000" w:rsidRPr="00000000" w14:paraId="00000A0B">
      <w:pPr>
        <w:keepNext w:val="1"/>
        <w:spacing w:after="120" w:before="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400040" cy="2611755"/>
            <wp:effectExtent b="0" l="0" r="0" t="0"/>
            <wp:docPr descr="Gráfico&#10;&#10;El contenido generado por IA puede ser incorrecto." id="27" name="image11.png"/>
            <a:graphic>
              <a:graphicData uri="http://schemas.openxmlformats.org/drawingml/2006/picture">
                <pic:pic>
                  <pic:nvPicPr>
                    <pic:cNvPr descr="Gráfico&#10;&#10;El contenido generado por IA puede ser incorrecto." id="0" name="image11.png"/>
                    <pic:cNvPicPr preferRelativeResize="0"/>
                  </pic:nvPicPr>
                  <pic:blipFill>
                    <a:blip r:embed="rId21"/>
                    <a:srcRect b="0" l="0" r="0" t="328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11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S10.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Histograms with overlay density curves (gray) of PNU-142586 concentrations measured in each matrix.</w:t>
      </w:r>
    </w:p>
    <w:p w:rsidR="00000000" w:rsidDel="00000000" w:rsidP="00000000" w:rsidRDefault="00000000" w:rsidRPr="00000000" w14:paraId="00000A0D">
      <w:pPr>
        <w:keepNext w:val="1"/>
        <w:spacing w:after="120" w:before="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039360" cy="2458720"/>
            <wp:effectExtent b="0" l="0" r="0" t="0"/>
            <wp:docPr descr="Gráfico, Gráfico de cajas y bigotes&#10;&#10;El contenido generado por IA puede ser incorrecto." id="25" name="image14.png"/>
            <a:graphic>
              <a:graphicData uri="http://schemas.openxmlformats.org/drawingml/2006/picture">
                <pic:pic>
                  <pic:nvPicPr>
                    <pic:cNvPr descr="Gráfico, Gráfico de cajas y bigotes&#10;&#10;El contenido generado por IA puede ser incorrecto." id="0" name="image14.png"/>
                    <pic:cNvPicPr preferRelativeResize="0"/>
                  </pic:nvPicPr>
                  <pic:blipFill>
                    <a:blip r:embed="rId22"/>
                    <a:srcRect b="242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4587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S11.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Boxplots of PNU-142586 concentrations (µg/mL) across different biological matrices. Boxes represent the interquartile range (IQR) and horizontal lines indicate the. Sample size (n) is indicated in each box.</w:t>
      </w:r>
    </w:p>
    <w:p w:rsidR="00000000" w:rsidDel="00000000" w:rsidP="00000000" w:rsidRDefault="00000000" w:rsidRPr="00000000" w14:paraId="00000A0F">
      <w:pPr>
        <w:keepNext w:val="1"/>
        <w:spacing w:after="120" w:before="0" w:lineRule="auto"/>
        <w:rPr/>
      </w:pPr>
      <w:r w:rsidDel="00000000" w:rsidR="00000000" w:rsidRPr="00000000">
        <w:rPr/>
        <w:drawing>
          <wp:inline distB="0" distT="0" distL="0" distR="0">
            <wp:extent cx="5039995" cy="2424430"/>
            <wp:effectExtent b="0" l="0" r="0" t="0"/>
            <wp:docPr descr="Gráfico, Gráfico de dispersión&#10;&#10;El contenido generado por IA puede ser incorrecto." id="26" name="image5.png"/>
            <a:graphic>
              <a:graphicData uri="http://schemas.openxmlformats.org/drawingml/2006/picture">
                <pic:pic>
                  <pic:nvPicPr>
                    <pic:cNvPr descr="Gráfico, Gráfico de dispersión&#10;&#10;El contenido generado por IA puede ser incorrecto." id="0" name="image5.png"/>
                    <pic:cNvPicPr preferRelativeResize="0"/>
                  </pic:nvPicPr>
                  <pic:blipFill>
                    <a:blip r:embed="rId23"/>
                    <a:srcRect b="0" l="0" r="0" t="379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4244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S12.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Q-Q plots of PNU-142586 concentrations for each matrix. Theoretical quantiles are plotted against observed values. Diagonal line (gray) represents expected distribution under normality.</w:t>
      </w:r>
    </w:p>
    <w:p w:rsidR="00000000" w:rsidDel="00000000" w:rsidP="00000000" w:rsidRDefault="00000000" w:rsidRPr="00000000" w14:paraId="00000A11">
      <w:pPr>
        <w:keepNext w:val="1"/>
        <w:spacing w:after="120" w:before="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400040" cy="2611755"/>
            <wp:effectExtent b="0" l="0" r="0" t="0"/>
            <wp:docPr descr="Gráfico, Histograma&#10;&#10;El contenido generado por IA puede ser incorrecto." id="28" name="image8.png"/>
            <a:graphic>
              <a:graphicData uri="http://schemas.openxmlformats.org/drawingml/2006/picture">
                <pic:pic>
                  <pic:nvPicPr>
                    <pic:cNvPr descr="Gráfico, Histograma&#10;&#10;El contenido generado por IA puede ser incorrecto." id="0" name="image8.png"/>
                    <pic:cNvPicPr preferRelativeResize="0"/>
                  </pic:nvPicPr>
                  <pic:blipFill>
                    <a:blip r:embed="rId24"/>
                    <a:srcRect b="0" l="0" r="0" t="328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11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S13.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Histograms with overlay density curves (gray) of PNU-142300 concentrations measured in each matrix.</w:t>
      </w:r>
    </w:p>
    <w:p w:rsidR="00000000" w:rsidDel="00000000" w:rsidP="00000000" w:rsidRDefault="00000000" w:rsidRPr="00000000" w14:paraId="00000A13">
      <w:pPr>
        <w:keepNext w:val="1"/>
        <w:spacing w:after="120" w:before="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039360" cy="2458720"/>
            <wp:effectExtent b="0" l="0" r="0" t="0"/>
            <wp:docPr descr="Gráfico, Gráfico de cajas y bigotes&#10;&#10;El contenido generado por IA puede ser incorrecto." id="29" name="image3.png"/>
            <a:graphic>
              <a:graphicData uri="http://schemas.openxmlformats.org/drawingml/2006/picture">
                <pic:pic>
                  <pic:nvPicPr>
                    <pic:cNvPr descr="Gráfico, Gráfico de cajas y bigotes&#10;&#10;El contenido generado por IA puede ser incorrecto." id="0" name="image3.png"/>
                    <pic:cNvPicPr preferRelativeResize="0"/>
                  </pic:nvPicPr>
                  <pic:blipFill>
                    <a:blip r:embed="rId25"/>
                    <a:srcRect b="242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4587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S14.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Boxplots of PNU-142300 concentrations (µg/mL) across different biological matrices. Boxes represent the interquartile range (IQR) and horizontal lines indicate the. Sample size (n) is indicated in each box.</w:t>
      </w:r>
    </w:p>
    <w:p w:rsidR="00000000" w:rsidDel="00000000" w:rsidP="00000000" w:rsidRDefault="00000000" w:rsidRPr="00000000" w14:paraId="00000A15">
      <w:pPr>
        <w:keepNext w:val="1"/>
        <w:spacing w:after="120" w:before="0" w:lineRule="auto"/>
        <w:rPr/>
      </w:pPr>
      <w:r w:rsidDel="00000000" w:rsidR="00000000" w:rsidRPr="00000000">
        <w:rPr/>
        <w:drawing>
          <wp:inline distB="0" distT="0" distL="0" distR="0">
            <wp:extent cx="5039360" cy="2398395"/>
            <wp:effectExtent b="0" l="0" r="0" t="0"/>
            <wp:docPr descr="Gráfico, Gráfico de dispersión&#10;&#10;El contenido generado por IA puede ser incorrecto." id="30" name="image6.png"/>
            <a:graphic>
              <a:graphicData uri="http://schemas.openxmlformats.org/drawingml/2006/picture">
                <pic:pic>
                  <pic:nvPicPr>
                    <pic:cNvPr descr="Gráfico, Gráfico de dispersión&#10;&#10;El contenido generado por IA puede ser incorrecto." id="0" name="image6.png"/>
                    <pic:cNvPicPr preferRelativeResize="0"/>
                  </pic:nvPicPr>
                  <pic:blipFill>
                    <a:blip r:embed="rId26"/>
                    <a:srcRect b="0" l="0" r="0" t="4811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3983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64" w:right="0" w:hanging="964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Figure S15.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Q-Q plots of PNU-142300 concentrations for each matrix. Theoretical quantiles are plotted against observed values. Diagonal line (gray) represents expected distribution under normality.</w:t>
      </w:r>
    </w:p>
    <w:p w:rsidR="00000000" w:rsidDel="00000000" w:rsidP="00000000" w:rsidRDefault="00000000" w:rsidRPr="00000000" w14:paraId="00000A1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07" w:right="0" w:hanging="907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70o5spuajzsj" w:id="12"/>
      <w:bookmarkEnd w:id="12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S11.</w:t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ab/>
        <w:t xml:space="preserve">Method comparison results for Linezolid (LZD), PNU-142586, and PNU-142300, showing sample size (n), statistical difference tests, Passing–Bablok regression parameters (95% CI), and Pearson’s correlation coefficients. VAMS: volumetric absorptive microsampling devices loaded with capillary blood; VAMS_WB: VAMS loaded with whole blood; ORAL_FLUID: Oral fluid collected with Salivette®. All experimental values were included in the calculation.</w:t>
      </w:r>
    </w:p>
    <w:tbl>
      <w:tblPr>
        <w:tblStyle w:val="Table11"/>
        <w:tblW w:w="8358.0" w:type="dxa"/>
        <w:jc w:val="left"/>
        <w:tblInd w:w="-70.0" w:type="dxa"/>
        <w:tblLayout w:type="fixed"/>
        <w:tblLook w:val="0400"/>
      </w:tblPr>
      <w:tblGrid>
        <w:gridCol w:w="997"/>
        <w:gridCol w:w="1723"/>
        <w:gridCol w:w="360"/>
        <w:gridCol w:w="949"/>
        <w:gridCol w:w="484"/>
        <w:gridCol w:w="1151"/>
        <w:gridCol w:w="1135"/>
        <w:gridCol w:w="993"/>
        <w:gridCol w:w="566"/>
        <w:tblGridChange w:id="0">
          <w:tblGrid>
            <w:gridCol w:w="997"/>
            <w:gridCol w:w="1723"/>
            <w:gridCol w:w="360"/>
            <w:gridCol w:w="949"/>
            <w:gridCol w:w="484"/>
            <w:gridCol w:w="1151"/>
            <w:gridCol w:w="1135"/>
            <w:gridCol w:w="993"/>
            <w:gridCol w:w="56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bookmarkStart w:colFirst="0" w:colLast="0" w:name="bookmark=id.cqm1po6o8r4i" w:id="13"/>
          <w:bookmarkEnd w:id="13"/>
          <w:p w:rsidR="00000000" w:rsidDel="00000000" w:rsidP="00000000" w:rsidRDefault="00000000" w:rsidRPr="00000000" w14:paraId="00000A18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Analyte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19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Comparison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1A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1B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Test</w:t>
              <w:br w:type="textWrapping"/>
              <w:t xml:space="preserve">(p-value)</w:t>
            </w:r>
          </w:p>
        </w:tc>
        <w:tc>
          <w:tcPr>
            <w:vMerge w:val="restart"/>
            <w:tcBorders>
              <w:top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1C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Diff. Sig.?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1D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Passing-Bablok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1F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Pearson’s r</w:t>
              <w:br w:type="textWrapping"/>
              <w:t xml:space="preserve">(p-value)</w:t>
            </w:r>
          </w:p>
        </w:tc>
        <w:tc>
          <w:tcPr>
            <w:vMerge w:val="restart"/>
            <w:tcBorders>
              <w:top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0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Corr. Sig.?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6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Intercept</w:t>
              <w:br w:type="textWrapping"/>
              <w:t xml:space="preserve">(95% CI)</w:t>
            </w:r>
          </w:p>
        </w:tc>
        <w:tc>
          <w:tcPr>
            <w:tcBorders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7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Slope</w:t>
              <w:br w:type="textWrapping"/>
              <w:t xml:space="preserve">(95% CI)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4" w:val="single"/>
            </w:tcBorders>
            <w:shd w:fill="153d63" w:val="clear"/>
            <w:vAlign w:val="center"/>
          </w:tcPr>
          <w:p w:rsidR="00000000" w:rsidDel="00000000" w:rsidP="00000000" w:rsidRDefault="00000000" w:rsidRPr="00000000" w14:paraId="00000A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2A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0a304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a3041"/>
                <w:sz w:val="14"/>
                <w:szCs w:val="14"/>
                <w:rtl w:val="0"/>
              </w:rPr>
              <w:t xml:space="preserve">LZD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2B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VAMS_WB vs Plasma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2C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2D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(3.19e-06)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2E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2F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-0.095</w:t>
              <w:br w:type="textWrapping"/>
              <w:t xml:space="preserve">(-0.261 to 0.001)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0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1.167</w:t>
              <w:br w:type="textWrapping"/>
              <w:t xml:space="preserve">(1.1192 to 1.245)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1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0.989</w:t>
              <w:br w:type="textWrapping"/>
              <w:t xml:space="preserve">(8.45e-28)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32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4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 vs Plasma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5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6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(0.100)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37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No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8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0.331</w:t>
              <w:br w:type="textWrapping"/>
              <w:t xml:space="preserve">(-0.166 to 0.723)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9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1.005</w:t>
              <w:br w:type="textWrapping"/>
              <w:t xml:space="preserve">(0.870 to 1.282)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A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0.907</w:t>
              <w:br w:type="textWrapping"/>
              <w:t xml:space="preserve">(5.10e-12)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3B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D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Plasma vs ORAL_FLUID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E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3F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(1.34e-05)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40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1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0.464</w:t>
              <w:br w:type="textWrapping"/>
              <w:t xml:space="preserve">(-0.520 to 0.704)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2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1.1526</w:t>
              <w:br w:type="textWrapping"/>
              <w:t xml:space="preserve">(1.043–1.703)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3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0.884</w:t>
              <w:br w:type="textWrapping"/>
              <w:t xml:space="preserve">(1.05e-07)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44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6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 vs VAMS_WB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7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8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(0.650)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49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No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A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0.542</w:t>
              <w:br w:type="textWrapping"/>
              <w:t xml:space="preserve">(0.764 to 0.988)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B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0.861</w:t>
              <w:br w:type="textWrapping"/>
              <w:t xml:space="preserve">(0.764–0.988)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C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0.923</w:t>
              <w:br w:type="textWrapping"/>
              <w:t xml:space="preserve">(1.41e-13)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4D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E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0a304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a3041"/>
                <w:sz w:val="14"/>
                <w:szCs w:val="14"/>
                <w:rtl w:val="0"/>
              </w:rPr>
              <w:t xml:space="preserve">PNU-142586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4F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VAMS_WB vs Plasma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0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1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(0.078)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52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3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0.164</w:t>
              <w:br w:type="textWrapping"/>
              <w:t xml:space="preserve">(-0.258 to 0.669)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4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0.848</w:t>
              <w:br w:type="textWrapping"/>
              <w:t xml:space="preserve">(0.715–0.959)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5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0.922</w:t>
              <w:br w:type="textWrapping"/>
              <w:t xml:space="preserve">(9.19e-15)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56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8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 vs Plasma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9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A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(0.017)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5B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C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-0.052</w:t>
              <w:br w:type="textWrapping"/>
              <w:t xml:space="preserve">(-0.844 to 0.361)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D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0.930</w:t>
              <w:br w:type="textWrapping"/>
              <w:t xml:space="preserve">(0.742 to 1.056)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5E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0.949</w:t>
              <w:br w:type="textWrapping"/>
              <w:t xml:space="preserve">(1.61e-05)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5F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1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Plasma vs ORAL_FLUID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2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3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(9.54e-07)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64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5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0.030</w:t>
              <w:br w:type="textWrapping"/>
              <w:t xml:space="preserve">(-0.028 to 0.081)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6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0.010</w:t>
              <w:br w:type="textWrapping"/>
              <w:t xml:space="preserve">(-0.002 to 0.029)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7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0.024</w:t>
              <w:br w:type="textWrapping"/>
              <w:t xml:space="preserve">(0.917)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68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No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A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 vs VAMS_WB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B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C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Paired t (0.226)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6D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No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E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-0.401</w:t>
              <w:br w:type="textWrapping"/>
              <w:t xml:space="preserve">(-0.996 to -0.096)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6F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1.046</w:t>
              <w:br w:type="textWrapping"/>
              <w:t xml:space="preserve">(0.904 to 1.187)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0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0.982</w:t>
              <w:br w:type="textWrapping"/>
              <w:t xml:space="preserve">(1.93e-22)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71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2">
            <w:pPr>
              <w:spacing w:after="60" w:before="60" w:lineRule="auto"/>
              <w:jc w:val="center"/>
              <w:rPr>
                <w:b w:val="1"/>
                <w:bCs w:val="1"/>
                <w:i w:val="1"/>
                <w:iCs w:val="1"/>
                <w:color w:val="0a304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a3041"/>
                <w:sz w:val="14"/>
                <w:szCs w:val="14"/>
                <w:rtl w:val="0"/>
              </w:rPr>
              <w:t xml:space="preserve">PNU-142300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3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VAMS_WB vs Plasma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4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5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(5.14e-06)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76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7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0.126</w:t>
              <w:br w:type="textWrapping"/>
              <w:t xml:space="preserve">(0.043 to 0.209)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8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0.616</w:t>
              <w:br w:type="textWrapping"/>
              <w:t xml:space="preserve">(0.560 to 0.665)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9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0.967</w:t>
              <w:br w:type="textWrapping"/>
              <w:t xml:space="preserve">(1.30e-20)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7A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C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 vs Plasma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D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30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E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(3.24e-06)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7F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0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0.048</w:t>
              <w:br w:type="textWrapping"/>
              <w:t xml:space="preserve">(-0.103 to 0.172)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1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0.618</w:t>
              <w:br w:type="textWrapping"/>
              <w:t xml:space="preserve">(0.513 to 0.736)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2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0.973</w:t>
              <w:br w:type="textWrapping"/>
              <w:t xml:space="preserve">(2.19e-19)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83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5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Plasma vs ORAL_FLUID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6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7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(2.86e-06)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88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9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0.056</w:t>
              <w:br w:type="textWrapping"/>
              <w:t xml:space="preserve">(-0.071 to 0.181)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A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0.046</w:t>
              <w:br w:type="textWrapping"/>
              <w:t xml:space="preserve">(0.010–0.168)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B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0.320</w:t>
              <w:br w:type="textWrapping"/>
              <w:t xml:space="preserve">(0.157)</w:t>
            </w:r>
          </w:p>
        </w:tc>
        <w:tc>
          <w:tcPr>
            <w:tcBorders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8C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No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E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VAMS vs VAMS_WB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F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90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Wilcoxon (0.258)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91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No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92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-0.076</w:t>
              <w:br w:type="textWrapping"/>
              <w:t xml:space="preserve">(-0.163 to -0.009)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93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1.046</w:t>
              <w:br w:type="textWrapping"/>
              <w:t xml:space="preserve">(0.924 to 1.090)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94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0.993</w:t>
              <w:br w:type="textWrapping"/>
              <w:t xml:space="preserve">(9.31e-29)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A95">
            <w:pPr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14"/>
                <w:szCs w:val="14"/>
                <w:rtl w:val="0"/>
              </w:rPr>
              <w:t xml:space="preserve">Yes</w:t>
            </w:r>
          </w:p>
        </w:tc>
      </w:tr>
    </w:tbl>
    <w:p w:rsidR="00000000" w:rsidDel="00000000" w:rsidP="00000000" w:rsidRDefault="00000000" w:rsidRPr="00000000" w14:paraId="00000A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ind w:left="907" w:right="0" w:hanging="907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envrw7fw78a5" w:id="14"/>
      <w:bookmarkEnd w:id="14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S12.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Mean percentage prediction error (MPPE), mean absolute percentage error (MAPE), mean absolute error (MAE), and number of paired samples (n) obtained for each analyte and comparison. VAMS: volumetric absorptive microsampling devices loaded with capillary blood; VAMS_WB: VAMS loaded with whole blood.</w:t>
      </w:r>
    </w:p>
    <w:tbl>
      <w:tblPr>
        <w:tblStyle w:val="Table12"/>
        <w:tblW w:w="86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3"/>
        <w:gridCol w:w="2013"/>
        <w:gridCol w:w="762"/>
        <w:gridCol w:w="766"/>
        <w:gridCol w:w="827"/>
        <w:gridCol w:w="439"/>
        <w:gridCol w:w="670"/>
        <w:gridCol w:w="672"/>
        <w:gridCol w:w="829"/>
        <w:gridCol w:w="404"/>
        <w:tblGridChange w:id="0">
          <w:tblGrid>
            <w:gridCol w:w="1303"/>
            <w:gridCol w:w="2013"/>
            <w:gridCol w:w="762"/>
            <w:gridCol w:w="766"/>
            <w:gridCol w:w="827"/>
            <w:gridCol w:w="439"/>
            <w:gridCol w:w="670"/>
            <w:gridCol w:w="672"/>
            <w:gridCol w:w="829"/>
            <w:gridCol w:w="40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shd w:fill="0f4761" w:val="clear"/>
            <w:vAlign w:val="center"/>
          </w:tcPr>
          <w:p w:rsidR="00000000" w:rsidDel="00000000" w:rsidP="00000000" w:rsidRDefault="00000000" w:rsidRPr="00000000" w14:paraId="00000A9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Analyte</w:t>
            </w:r>
          </w:p>
        </w:tc>
        <w:tc>
          <w:tcPr>
            <w:vMerge w:val="restart"/>
            <w:shd w:fill="0f4761" w:val="clear"/>
            <w:vAlign w:val="center"/>
          </w:tcPr>
          <w:p w:rsidR="00000000" w:rsidDel="00000000" w:rsidP="00000000" w:rsidRDefault="00000000" w:rsidRPr="00000000" w14:paraId="00000A9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Comparison</w:t>
            </w:r>
          </w:p>
        </w:tc>
        <w:tc>
          <w:tcPr>
            <w:gridSpan w:val="4"/>
            <w:shd w:fill="0f4761" w:val="clear"/>
            <w:vAlign w:val="center"/>
          </w:tcPr>
          <w:p w:rsidR="00000000" w:rsidDel="00000000" w:rsidP="00000000" w:rsidRDefault="00000000" w:rsidRPr="00000000" w14:paraId="00000A9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Including all values</w:t>
            </w:r>
          </w:p>
        </w:tc>
        <w:tc>
          <w:tcPr>
            <w:gridSpan w:val="4"/>
            <w:shd w:fill="0f4761" w:val="clear"/>
            <w:vAlign w:val="center"/>
          </w:tcPr>
          <w:p w:rsidR="00000000" w:rsidDel="00000000" w:rsidP="00000000" w:rsidRDefault="00000000" w:rsidRPr="00000000" w14:paraId="00000A9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Excluding values &lt; 0.1 µg/mL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0f4761" w:val="clear"/>
            <w:vAlign w:val="center"/>
          </w:tcPr>
          <w:p w:rsidR="00000000" w:rsidDel="00000000" w:rsidP="00000000" w:rsidRDefault="00000000" w:rsidRPr="00000000" w14:paraId="00000A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f4761" w:val="clear"/>
            <w:vAlign w:val="center"/>
          </w:tcPr>
          <w:p w:rsidR="00000000" w:rsidDel="00000000" w:rsidP="00000000" w:rsidRDefault="00000000" w:rsidRPr="00000000" w14:paraId="00000A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MPPE </w:t>
            </w: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4"/>
                <w:szCs w:val="14"/>
                <w:rtl w:val="0"/>
              </w:rPr>
              <w:t xml:space="preserve">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MAPE </w:t>
            </w: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4"/>
                <w:szCs w:val="14"/>
                <w:rtl w:val="0"/>
              </w:rPr>
              <w:t xml:space="preserve">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5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MAE </w:t>
            </w: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4"/>
                <w:szCs w:val="14"/>
                <w:rtl w:val="0"/>
              </w:rPr>
              <w:t xml:space="preserve">(µg/mL)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MPPE </w:t>
            </w: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4"/>
                <w:szCs w:val="14"/>
                <w:rtl w:val="0"/>
              </w:rPr>
              <w:t xml:space="preserve">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MAPE </w:t>
            </w: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4"/>
                <w:szCs w:val="14"/>
                <w:rtl w:val="0"/>
              </w:rPr>
              <w:t xml:space="preserve">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MAE </w:t>
            </w: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4"/>
                <w:szCs w:val="14"/>
                <w:rtl w:val="0"/>
              </w:rPr>
              <w:t xml:space="preserve">(µg/mL)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n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AAB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LZD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VAMS_WB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13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1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247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257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B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25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71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 vs VAMS_WB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1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206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222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5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AC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PNU-142586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VAMS_WB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B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33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13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33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1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5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-6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29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-6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29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B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 vs VAMS_WB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-10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24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1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-10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24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5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AE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PNU-142300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VAMS_WB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-17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37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B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13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-20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36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-27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39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5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-28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40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9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A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C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VAMS vs VAMS_WB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-10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1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-10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2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3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Fonts w:ascii="Play" w:cs="Play" w:eastAsia="Play" w:hAnsi="Play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4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18"/>
                <w:szCs w:val="18"/>
                <w:rtl w:val="0"/>
              </w:rPr>
              <w:t xml:space="preserve">29</w:t>
            </w:r>
          </w:p>
        </w:tc>
      </w:tr>
    </w:tbl>
    <w:p w:rsidR="00000000" w:rsidDel="00000000" w:rsidP="00000000" w:rsidRDefault="00000000" w:rsidRPr="00000000" w14:paraId="00000B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240" w:lineRule="auto"/>
        <w:ind w:left="907" w:right="0" w:hanging="907"/>
        <w:jc w:val="both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h1gsjt1ptcj1" w:id="15"/>
      <w:bookmarkEnd w:id="15"/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Table S13.</w:t>
        <w:tab/>
      </w: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e2841"/>
          <w:sz w:val="18"/>
          <w:szCs w:val="18"/>
          <w:u w:val="none"/>
          <w:shd w:fill="auto" w:val="clear"/>
          <w:vertAlign w:val="baseline"/>
          <w:rtl w:val="0"/>
        </w:rPr>
        <w:t xml:space="preserve"> Bland-Altman comparison results. VAMS: volumetric absorptive microsampling devices loaded with capillary blood; VAMS_WB: VAMS loaded with whole blood.</w:t>
      </w:r>
    </w:p>
    <w:tbl>
      <w:tblPr>
        <w:tblStyle w:val="Table13"/>
        <w:tblW w:w="7304.000000000001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9"/>
        <w:gridCol w:w="2363"/>
        <w:gridCol w:w="1143"/>
        <w:gridCol w:w="1157"/>
        <w:gridCol w:w="1152"/>
        <w:tblGridChange w:id="0">
          <w:tblGrid>
            <w:gridCol w:w="1489"/>
            <w:gridCol w:w="2363"/>
            <w:gridCol w:w="1143"/>
            <w:gridCol w:w="1157"/>
            <w:gridCol w:w="115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shd w:fill="0f4761" w:val="clear"/>
            <w:vAlign w:val="center"/>
          </w:tcPr>
          <w:p w:rsidR="00000000" w:rsidDel="00000000" w:rsidP="00000000" w:rsidRDefault="00000000" w:rsidRPr="00000000" w14:paraId="00000B06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Analyte</w:t>
            </w:r>
          </w:p>
        </w:tc>
        <w:tc>
          <w:tcPr>
            <w:vMerge w:val="restart"/>
            <w:shd w:fill="0f4761" w:val="clear"/>
            <w:vAlign w:val="center"/>
          </w:tcPr>
          <w:p w:rsidR="00000000" w:rsidDel="00000000" w:rsidP="00000000" w:rsidRDefault="00000000" w:rsidRPr="00000000" w14:paraId="00000B07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Comparison</w:t>
            </w:r>
          </w:p>
        </w:tc>
        <w:tc>
          <w:tcPr>
            <w:gridSpan w:val="3"/>
            <w:shd w:fill="0f4761" w:val="clear"/>
            <w:vAlign w:val="center"/>
          </w:tcPr>
          <w:p w:rsidR="00000000" w:rsidDel="00000000" w:rsidP="00000000" w:rsidRDefault="00000000" w:rsidRPr="00000000" w14:paraId="00000B08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Bland–Altman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0f4761" w:val="clear"/>
            <w:vAlign w:val="center"/>
          </w:tcPr>
          <w:p w:rsidR="00000000" w:rsidDel="00000000" w:rsidP="00000000" w:rsidRDefault="00000000" w:rsidRPr="00000000" w14:paraId="00000B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f4761" w:val="clear"/>
            <w:vAlign w:val="center"/>
          </w:tcPr>
          <w:p w:rsidR="00000000" w:rsidDel="00000000" w:rsidP="00000000" w:rsidRDefault="00000000" w:rsidRPr="00000000" w14:paraId="00000B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f4761" w:val="clear"/>
            <w:vAlign w:val="center"/>
          </w:tcPr>
          <w:p w:rsidR="00000000" w:rsidDel="00000000" w:rsidP="00000000" w:rsidRDefault="00000000" w:rsidRPr="00000000" w14:paraId="00000B0D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Mean Diff.</w:t>
            </w:r>
          </w:p>
        </w:tc>
        <w:tc>
          <w:tcPr>
            <w:shd w:fill="0f4761" w:val="clear"/>
            <w:vAlign w:val="center"/>
          </w:tcPr>
          <w:p w:rsidR="00000000" w:rsidDel="00000000" w:rsidP="00000000" w:rsidRDefault="00000000" w:rsidRPr="00000000" w14:paraId="00000B0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Upper LoA</w:t>
            </w:r>
          </w:p>
        </w:tc>
        <w:tc>
          <w:tcPr>
            <w:shd w:fill="0f4761" w:val="clear"/>
            <w:vAlign w:val="center"/>
          </w:tcPr>
          <w:p w:rsidR="00000000" w:rsidDel="00000000" w:rsidP="00000000" w:rsidRDefault="00000000" w:rsidRPr="00000000" w14:paraId="00000B0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Lower LoA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B10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LZD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1">
            <w:pPr>
              <w:widowControl w:val="1"/>
              <w:spacing w:after="60" w:before="60" w:line="2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  <w:t xml:space="preserve">VAMS_WB vs Plasma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2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0.7531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3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2.7787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4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-1.2725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B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6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VAMS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7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0.3238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8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4.0519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9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-3.4042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B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B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VAMS vs VAMS_WB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C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-0.5457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D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3.5393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E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-4.6308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B1F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PNU-142586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0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VAMS_WB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1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-0.4919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2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3.9377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3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-4.9215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B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5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VAMS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6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-0.5120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7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2.5451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8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-3.5692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B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A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VAMS vs VAMS_WB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B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-0.2862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C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2.2396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D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-2.8119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B2E">
            <w:pPr>
              <w:widowControl w:val="1"/>
              <w:spacing w:after="60" w:before="60" w:line="240" w:lineRule="auto"/>
              <w:jc w:val="center"/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1"/>
                <w:iCs w:val="1"/>
                <w:color w:val="0f4761"/>
                <w:sz w:val="18"/>
                <w:szCs w:val="18"/>
                <w:rtl w:val="0"/>
              </w:rPr>
              <w:t xml:space="preserve">PNU-142300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F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VAMS_WB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0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-1.1118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1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3.6216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2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-5.8451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B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4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VAMS vs Plasma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5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-1.0271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6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2.2411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7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-4.2953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B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9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VAMS vs VAMS_WB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A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-0.1376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B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0.9691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C">
            <w:pPr>
              <w:widowControl w:val="1"/>
              <w:spacing w:after="60" w:before="60" w:line="240" w:lineRule="auto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-1.2442</w:t>
            </w:r>
          </w:p>
        </w:tc>
      </w:tr>
    </w:tbl>
    <w:p w:rsidR="00000000" w:rsidDel="00000000" w:rsidP="00000000" w:rsidRDefault="00000000" w:rsidRPr="00000000" w14:paraId="00000B3D">
      <w:pPr>
        <w:spacing w:after="160" w:before="0" w:lineRule="auto"/>
        <w:rPr>
          <w:highlight w:val="red"/>
        </w:rPr>
      </w:pPr>
      <w:r w:rsidDel="00000000" w:rsidR="00000000" w:rsidRPr="00000000">
        <w:rPr>
          <w:rtl w:val="0"/>
        </w:rPr>
      </w:r>
    </w:p>
    <w:sectPr>
      <w:footerReference r:id="rId27" w:type="default"/>
      <w:footerReference r:id="rId28" w:type="first"/>
      <w:type w:val="nextPage"/>
      <w:pgSz w:h="16838" w:w="11906" w:orient="portrait"/>
      <w:pgMar w:bottom="1417" w:top="1417" w:left="1701" w:right="1701" w:header="0" w:footer="708"/>
      <w:lnNumType w:countBy="1" w:start="0" w:restart="continuous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ptos Narro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42">
    <w:pPr>
      <w:rPr/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44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before="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Ttulo7Car"/>
    <w:uiPriority w:val="9"/>
    <w:semiHidden w:val="1"/>
    <w:unhideWhenUsed w:val="1"/>
    <w:qFormat w:val="1"/>
    <w:rsid w:val="009B5A99"/>
    <w:pPr>
      <w:keepNext w:val="1"/>
      <w:keepLines w:val="1"/>
      <w:spacing w:after="0" w:before="40" w:line="278" w:lineRule="auto"/>
      <w:outlineLvl w:val="6"/>
    </w:pPr>
    <w:rPr>
      <w:rFonts w:cs="" w:eastAsia="" w:cstheme="majorBidi" w:eastAsiaTheme="majorEastAsia"/>
      <w:color w:val="595959" w:themeColor="text1" w:themeTint="0000A6"/>
      <w:kern w:val="2"/>
      <w:sz w:val="24"/>
      <w:szCs w:val="24"/>
      <w:lang w:val="es-ES"/>
    </w:rPr>
  </w:style>
  <w:style w:type="paragraph" w:styleId="Heading8">
    <w:name w:val="heading 8"/>
    <w:basedOn w:val="Normal"/>
    <w:next w:val="Normal"/>
    <w:link w:val="Ttulo8Car"/>
    <w:uiPriority w:val="9"/>
    <w:semiHidden w:val="1"/>
    <w:unhideWhenUsed w:val="1"/>
    <w:qFormat w:val="1"/>
    <w:rsid w:val="009B5A99"/>
    <w:pPr>
      <w:keepNext w:val="1"/>
      <w:keepLines w:val="1"/>
      <w:spacing w:after="0" w:before="0" w:line="278" w:lineRule="auto"/>
      <w:outlineLvl w:val="7"/>
    </w:pPr>
    <w:rPr>
      <w:rFonts w:cs="" w:eastAsia="" w:cstheme="majorBidi" w:eastAsiaTheme="majorEastAsia"/>
      <w:i w:val="1"/>
      <w:iCs w:val="1"/>
      <w:color w:val="272727" w:themeColor="text1" w:themeTint="0000D8"/>
      <w:kern w:val="2"/>
      <w:sz w:val="24"/>
      <w:szCs w:val="24"/>
      <w:lang w:val="es-ES"/>
    </w:rPr>
  </w:style>
  <w:style w:type="paragraph" w:styleId="Heading9">
    <w:name w:val="heading 9"/>
    <w:basedOn w:val="Normal"/>
    <w:next w:val="Normal"/>
    <w:link w:val="Ttulo9Car"/>
    <w:uiPriority w:val="9"/>
    <w:semiHidden w:val="1"/>
    <w:unhideWhenUsed w:val="1"/>
    <w:qFormat w:val="1"/>
    <w:rsid w:val="009B5A99"/>
    <w:pPr>
      <w:keepNext w:val="1"/>
      <w:keepLines w:val="1"/>
      <w:spacing w:after="0" w:before="0" w:line="278" w:lineRule="auto"/>
      <w:outlineLvl w:val="8"/>
    </w:pPr>
    <w:rPr>
      <w:rFonts w:cs="" w:eastAsia="" w:cstheme="majorBidi" w:eastAsiaTheme="majorEastAsia"/>
      <w:color w:val="272727" w:themeColor="text1" w:themeTint="0000D8"/>
      <w:kern w:val="2"/>
      <w:sz w:val="24"/>
      <w:szCs w:val="24"/>
      <w:lang w:val="es-ES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tulo1Car" w:customStyle="1">
    <w:name w:val="Título 1 Car"/>
    <w:basedOn w:val="DefaultParagraphFont"/>
    <w:uiPriority w:val="9"/>
    <w:qFormat w:val="1"/>
    <w:rsid w:val="009B5A99"/>
    <w:rPr>
      <w:rFonts w:ascii="Aptos Display" w:cs="" w:eastAsia="" w:hAnsi="Aptos Display"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 w:val="1"/>
    <w:qFormat w:val="1"/>
    <w:rsid w:val="009B5A99"/>
    <w:rPr>
      <w:rFonts w:ascii="Aptos Display" w:cs="" w:eastAsia="" w:hAnsi="Aptos Display"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 w:val="1"/>
    <w:qFormat w:val="1"/>
    <w:rsid w:val="009B5A99"/>
    <w:rPr>
      <w:rFonts w:cs="" w:eastAsia=""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 w:val="1"/>
    <w:qFormat w:val="1"/>
    <w:rsid w:val="009B5A99"/>
    <w:rPr>
      <w:rFonts w:cs="" w:eastAsia=""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DefaultParagraphFont"/>
    <w:uiPriority w:val="9"/>
    <w:semiHidden w:val="1"/>
    <w:qFormat w:val="1"/>
    <w:rsid w:val="009B5A99"/>
    <w:rPr>
      <w:rFonts w:cs="" w:eastAsia=""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DefaultParagraphFont"/>
    <w:uiPriority w:val="9"/>
    <w:semiHidden w:val="1"/>
    <w:qFormat w:val="1"/>
    <w:rsid w:val="009B5A99"/>
    <w:rPr>
      <w:rFonts w:cs="" w:eastAsia=""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DefaultParagraphFont"/>
    <w:uiPriority w:val="9"/>
    <w:semiHidden w:val="1"/>
    <w:qFormat w:val="1"/>
    <w:rsid w:val="009B5A99"/>
    <w:rPr>
      <w:rFonts w:cs="" w:eastAsia=""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DefaultParagraphFont"/>
    <w:uiPriority w:val="9"/>
    <w:semiHidden w:val="1"/>
    <w:qFormat w:val="1"/>
    <w:rsid w:val="009B5A99"/>
    <w:rPr>
      <w:rFonts w:cs="" w:eastAsia=""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DefaultParagraphFont"/>
    <w:uiPriority w:val="9"/>
    <w:semiHidden w:val="1"/>
    <w:qFormat w:val="1"/>
    <w:rsid w:val="009B5A99"/>
    <w:rPr>
      <w:rFonts w:cs="" w:eastAsia=""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DefaultParagraphFont"/>
    <w:uiPriority w:val="10"/>
    <w:qFormat w:val="1"/>
    <w:rsid w:val="009B5A99"/>
    <w:rPr>
      <w:rFonts w:ascii="Aptos Display" w:cs="" w:eastAsia="" w:hAnsi="Aptos Display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 w:val="1"/>
    <w:rsid w:val="009B5A99"/>
    <w:rPr>
      <w:rFonts w:cs="" w:eastAsia=""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 w:val="1"/>
    <w:rsid w:val="009B5A99"/>
    <w:rPr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qFormat w:val="1"/>
    <w:rsid w:val="009B5A99"/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DefaultParagraphFont"/>
    <w:link w:val="IntenseQuote"/>
    <w:uiPriority w:val="30"/>
    <w:qFormat w:val="1"/>
    <w:rsid w:val="009B5A99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9B5A99"/>
    <w:rPr>
      <w:b w:val="1"/>
      <w:bCs w:val="1"/>
      <w:smallCaps w:val="1"/>
      <w:color w:val="0f4761" w:themeColor="accent1" w:themeShade="0000BF"/>
      <w:spacing w:val="5"/>
    </w:rPr>
  </w:style>
  <w:style w:type="character" w:styleId="LineNumber">
    <w:name w:val="line number"/>
    <w:basedOn w:val="DefaultParagraphFont"/>
    <w:uiPriority w:val="99"/>
    <w:semiHidden w:val="1"/>
    <w:unhideWhenUsed w:val="1"/>
    <w:rsid w:val="00C32DA5"/>
    <w:rPr/>
  </w:style>
  <w:style w:type="character" w:styleId="EncabezadoCar" w:customStyle="1">
    <w:name w:val="Encabezado Car"/>
    <w:basedOn w:val="DefaultParagraphFont"/>
    <w:uiPriority w:val="99"/>
    <w:qFormat w:val="1"/>
    <w:rsid w:val="006035EE"/>
    <w:rPr>
      <w:kern w:val="0"/>
      <w:sz w:val="22"/>
      <w:szCs w:val="22"/>
      <w:lang w:val="en-US"/>
    </w:rPr>
  </w:style>
  <w:style w:type="character" w:styleId="PiedepginaCar" w:customStyle="1">
    <w:name w:val="Pie de página Car"/>
    <w:basedOn w:val="DefaultParagraphFont"/>
    <w:uiPriority w:val="99"/>
    <w:qFormat w:val="1"/>
    <w:rsid w:val="006035EE"/>
    <w:rPr>
      <w:kern w:val="0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 w:val="1"/>
    <w:rsid w:val="0032014C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qFormat w:val="1"/>
    <w:rsid w:val="0089167F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qFormat w:val="1"/>
    <w:rsid w:val="0089167F"/>
    <w:rPr>
      <w:kern w:val="0"/>
      <w:sz w:val="20"/>
      <w:szCs w:val="20"/>
      <w:lang w:val="en-US"/>
    </w:rPr>
  </w:style>
  <w:style w:type="character" w:styleId="AsuntodelcomentarioCar" w:customStyle="1">
    <w:name w:val="Asunto del comentario Car"/>
    <w:basedOn w:val="TextocomentarioCar"/>
    <w:link w:val="annotationsubject"/>
    <w:uiPriority w:val="99"/>
    <w:semiHidden w:val="1"/>
    <w:qFormat w:val="1"/>
    <w:rsid w:val="0089167F"/>
    <w:rPr>
      <w:b w:val="1"/>
      <w:bCs w:val="1"/>
      <w:kern w:val="0"/>
      <w:sz w:val="20"/>
      <w:szCs w:val="20"/>
      <w:lang w:val="en-US"/>
    </w:rPr>
  </w:style>
  <w:style w:type="character" w:styleId="Enlacedelndice">
    <w:name w:val="Enlace del índice"/>
    <w:qFormat w:val="1"/>
    <w:rPr/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unhideWhenUsed w:val="1"/>
    <w:qFormat w:val="1"/>
    <w:rsid w:val="00C32DA5"/>
    <w:pPr>
      <w:spacing w:after="200" w:before="0" w:line="240" w:lineRule="auto"/>
    </w:pPr>
    <w:rPr>
      <w:i w:val="1"/>
      <w:iCs w:val="1"/>
      <w:color w:val="0e2841" w:themeColor="text2"/>
      <w:sz w:val="18"/>
      <w:szCs w:val="18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Quote">
    <w:name w:val="Quote"/>
    <w:basedOn w:val="Normal"/>
    <w:next w:val="Normal"/>
    <w:link w:val="CitaCar"/>
    <w:uiPriority w:val="29"/>
    <w:qFormat w:val="1"/>
    <w:rsid w:val="009B5A99"/>
    <w:pPr>
      <w:spacing w:after="160" w:before="160" w:line="278" w:lineRule="auto"/>
      <w:jc w:val="center"/>
    </w:pPr>
    <w:rPr>
      <w:i w:val="1"/>
      <w:iCs w:val="1"/>
      <w:color w:val="404040" w:themeColor="text1" w:themeTint="0000BF"/>
      <w:kern w:val="2"/>
      <w:sz w:val="24"/>
      <w:szCs w:val="24"/>
      <w:lang w:val="es-ES"/>
    </w:rPr>
  </w:style>
  <w:style w:type="paragraph" w:styleId="ListParagraph">
    <w:name w:val="List Paragraph"/>
    <w:basedOn w:val="Normal"/>
    <w:uiPriority w:val="34"/>
    <w:qFormat w:val="1"/>
    <w:rsid w:val="009B5A99"/>
    <w:pPr>
      <w:spacing w:after="160" w:before="0" w:line="278" w:lineRule="auto"/>
      <w:ind w:left="720"/>
      <w:contextualSpacing w:val="1"/>
    </w:pPr>
    <w:rPr>
      <w:kern w:val="2"/>
      <w:sz w:val="24"/>
      <w:szCs w:val="24"/>
      <w:lang w:val="es-ES"/>
    </w:rPr>
  </w:style>
  <w:style w:type="paragraph" w:styleId="IntenseQuote">
    <w:name w:val="Intense Quote"/>
    <w:basedOn w:val="Normal"/>
    <w:next w:val="Normal"/>
    <w:link w:val="CitadestacadaCar"/>
    <w:uiPriority w:val="30"/>
    <w:qFormat w:val="1"/>
    <w:rsid w:val="009B5A9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i w:val="1"/>
      <w:iCs w:val="1"/>
      <w:color w:val="0f4761" w:themeColor="accent1" w:themeShade="0000BF"/>
      <w:kern w:val="2"/>
      <w:sz w:val="24"/>
      <w:szCs w:val="24"/>
      <w:lang w:val="es-ES"/>
    </w:rPr>
  </w:style>
  <w:style w:type="paragraph" w:styleId="Cabeceraypie">
    <w:name w:val="Cabecera y pie"/>
    <w:basedOn w:val="Normal"/>
    <w:qFormat w:val="1"/>
    <w:pPr/>
    <w:rPr/>
  </w:style>
  <w:style w:type="paragraph" w:styleId="Header">
    <w:name w:val="header"/>
    <w:basedOn w:val="Normal"/>
    <w:link w:val="EncabezadoCar"/>
    <w:uiPriority w:val="99"/>
    <w:unhideWhenUsed w:val="1"/>
    <w:rsid w:val="006035EE"/>
    <w:pPr>
      <w:tabs>
        <w:tab w:val="clear" w:pos="708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Footer">
    <w:name w:val="footer"/>
    <w:basedOn w:val="Normal"/>
    <w:link w:val="PiedepginaCar"/>
    <w:uiPriority w:val="99"/>
    <w:unhideWhenUsed w:val="1"/>
    <w:rsid w:val="006035EE"/>
    <w:pPr>
      <w:tabs>
        <w:tab w:val="clear" w:pos="708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TableofFigures">
    <w:name w:val="table of figures"/>
    <w:basedOn w:val="Normal"/>
    <w:next w:val="Normal"/>
    <w:uiPriority w:val="99"/>
    <w:unhideWhenUsed w:val="1"/>
    <w:rsid w:val="0032014C"/>
    <w:pPr>
      <w:spacing w:after="0" w:before="0"/>
    </w:pPr>
    <w:rPr/>
  </w:style>
  <w:style w:type="paragraph" w:styleId="CommentText">
    <w:name w:val="annotation text"/>
    <w:basedOn w:val="Normal"/>
    <w:link w:val="TextocomentarioCar"/>
    <w:uiPriority w:val="99"/>
    <w:unhideWhenUsed w:val="1"/>
    <w:rsid w:val="0089167F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untodelcomentarioCar"/>
    <w:uiPriority w:val="99"/>
    <w:semiHidden w:val="1"/>
    <w:unhideWhenUsed w:val="1"/>
    <w:qFormat w:val="1"/>
    <w:rsid w:val="0089167F"/>
    <w:pPr/>
    <w:rPr>
      <w:b w:val="1"/>
      <w:bCs w:val="1"/>
    </w:rPr>
  </w:style>
  <w:style w:type="paragraph" w:styleId="Revision">
    <w:name w:val="Revision"/>
    <w:uiPriority w:val="99"/>
    <w:semiHidden w:val="1"/>
    <w:qFormat w:val="1"/>
    <w:rsid w:val="0089167F"/>
    <w:pPr>
      <w:widowControl w:val="1"/>
      <w:bidi w:val="0"/>
      <w:spacing w:after="0" w:before="0" w:line="240" w:lineRule="auto"/>
      <w:jc w:val="left"/>
    </w:pPr>
    <w:rPr>
      <w:rFonts w:ascii="Aptos" w:cs="" w:eastAsia="Aptos" w:hAnsi="Aptos"/>
      <w:color w:val="auto"/>
      <w:kern w:val="0"/>
      <w:sz w:val="22"/>
      <w:szCs w:val="22"/>
      <w:lang w:bidi="ar-SA" w:eastAsia="en-US" w:val="en-US"/>
    </w:rPr>
  </w:style>
  <w:style w:type="numbering" w:styleId="Ningunalista" w:default="1">
    <w:name w:val="Ninguna lista"/>
    <w:uiPriority w:val="99"/>
    <w:semiHidden w:val="1"/>
    <w:unhideWhenUsed w:val="1"/>
    <w:qFormat w:val="1"/>
  </w:style>
  <w:style w:type="table" w:styleId="Tab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aconcuadrcula">
    <w:name w:val="Table Grid"/>
    <w:basedOn w:val="Tablanormal"/>
    <w:uiPriority w:val="39"/>
    <w:rsid w:val="00C32DA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normal5">
    <w:name w:val="Plain Table 5"/>
    <w:basedOn w:val="Tablanormal"/>
    <w:uiPriority w:val="45"/>
    <w:rsid w:val="00980F5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sz w:val="26"/>
      </w:rPr>
      <w:tblPr/>
      <w:tcPr>
        <w:tcBorders>
          <w:bottom w:color="7f7f7f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sz w:val="26"/>
      </w:rPr>
      <w:tblPr/>
      <w:tcPr>
        <w:tcBorders>
          <w:top w:color="7f7f7f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sz w:val="26"/>
      </w:rPr>
      <w:tblPr/>
      <w:tcPr>
        <w:tcBorders>
          <w:right w:color="7f7f7f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sz w:val="26"/>
      </w:rPr>
      <w:tblPr/>
      <w:tcPr>
        <w:tcBorders>
          <w:left w:color="7f7f7f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lanormal4">
    <w:name w:val="Plain Table 4"/>
    <w:basedOn w:val="Tablanormal"/>
    <w:uiPriority w:val="44"/>
    <w:rsid w:val="000309C0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</w:tblStyle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pPr>
        <w:jc w:val="right"/>
      </w:pPr>
      <w:rPr>
        <w:rFonts w:ascii="Play" w:cs="Play" w:eastAsia="Play" w:hAnsi="Play"/>
        <w:i w:val="1"/>
        <w:iCs w:val="1"/>
        <w:sz w:val="26"/>
        <w:szCs w:val="26"/>
      </w:rPr>
      <w:tcPr>
        <w:tcBorders>
          <w:right w:color="7f7f7f" w:space="0" w:sz="4" w:val="single"/>
        </w:tcBorders>
        <w:shd w:fill="ffffff" w:val="clear"/>
      </w:tcPr>
    </w:tblStylePr>
    <w:tblStylePr w:type="firstRow">
      <w:rPr>
        <w:rFonts w:ascii="Play" w:cs="Play" w:eastAsia="Play" w:hAnsi="Play"/>
        <w:i w:val="1"/>
        <w:iCs w:val="1"/>
        <w:sz w:val="26"/>
        <w:szCs w:val="26"/>
      </w:rPr>
      <w:tcPr>
        <w:tcBorders>
          <w:bottom w:color="7f7f7f" w:space="0" w:sz="4" w:val="single"/>
        </w:tcBorders>
        <w:shd w:fill="ffffff" w:val="clear"/>
      </w:tcPr>
    </w:tblStylePr>
    <w:tblStylePr w:type="lastCol">
      <w:rPr>
        <w:rFonts w:ascii="Play" w:cs="Play" w:eastAsia="Play" w:hAnsi="Play"/>
        <w:i w:val="1"/>
        <w:iCs w:val="1"/>
        <w:sz w:val="26"/>
        <w:szCs w:val="26"/>
      </w:rPr>
      <w:tcPr>
        <w:tcBorders>
          <w:left w:color="7f7f7f" w:space="0" w:sz="4" w:val="single"/>
        </w:tcBorders>
        <w:shd w:fill="ffffff" w:val="clear"/>
      </w:tcPr>
    </w:tblStylePr>
    <w:tblStylePr w:type="lastRow">
      <w:rPr>
        <w:rFonts w:ascii="Play" w:cs="Play" w:eastAsia="Play" w:hAnsi="Play"/>
        <w:i w:val="1"/>
        <w:iCs w:val="1"/>
        <w:sz w:val="26"/>
        <w:szCs w:val="26"/>
      </w:rPr>
      <w:tcPr>
        <w:tcBorders>
          <w:top w:color="7f7f7f" w:space="0" w:sz="4" w:val="single"/>
        </w:tcBorders>
        <w:shd w:fill="ffffff" w:val="clear"/>
      </w:tcPr>
    </w:tblStylePr>
    <w:tblStylePr w:type="neCell">
      <w:tcPr>
        <w:tcBorders>
          <w:left w:color="000000" w:space="0" w:sz="0" w:val="nil"/>
        </w:tcBorders>
      </w:tcPr>
    </w:tblStylePr>
    <w:tblStylePr w:type="nwCell">
      <w:tcPr>
        <w:tcBorders>
          <w:right w:color="000000" w:space="0" w:sz="0" w:val="nil"/>
        </w:tcBorders>
      </w:tcPr>
    </w:tblStylePr>
    <w:tblStylePr w:type="seCell">
      <w:tcPr>
        <w:tcBorders>
          <w:left w:color="000000" w:space="0" w:sz="0" w:val="nil"/>
        </w:tcBorders>
      </w:tcPr>
    </w:tblStylePr>
    <w:tblStylePr w:type="swCell">
      <w:tcPr>
        <w:tcBorders>
          <w:right w:color="000000" w:space="0" w:sz="0" w:val="nil"/>
        </w:tcBorders>
      </w:tcPr>
    </w:tblStyle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1.png"/><Relationship Id="rId24" Type="http://schemas.openxmlformats.org/officeDocument/2006/relationships/image" Target="media/image8.png"/><Relationship Id="rId23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26" Type="http://schemas.openxmlformats.org/officeDocument/2006/relationships/image" Target="media/image6.png"/><Relationship Id="rId25" Type="http://schemas.openxmlformats.org/officeDocument/2006/relationships/image" Target="media/image3.png"/><Relationship Id="rId28" Type="http://schemas.openxmlformats.org/officeDocument/2006/relationships/footer" Target="footer7.xml"/><Relationship Id="rId27" Type="http://schemas.openxmlformats.org/officeDocument/2006/relationships/footer" Target="footer6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5" Type="http://schemas.openxmlformats.org/officeDocument/2006/relationships/image" Target="media/image10.png"/><Relationship Id="rId14" Type="http://schemas.openxmlformats.org/officeDocument/2006/relationships/image" Target="media/image4.png"/><Relationship Id="rId17" Type="http://schemas.openxmlformats.org/officeDocument/2006/relationships/image" Target="media/image9.png"/><Relationship Id="rId16" Type="http://schemas.openxmlformats.org/officeDocument/2006/relationships/image" Target="media/image12.png"/><Relationship Id="rId19" Type="http://schemas.openxmlformats.org/officeDocument/2006/relationships/image" Target="media/image7.png"/><Relationship Id="rId18" Type="http://schemas.openxmlformats.org/officeDocument/2006/relationships/image" Target="media/image1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3vrVuChiLfFaPRK8EK6SF2oEAQ==">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2025-12-03T12:22:00Z</dcterms:created>
  <dc:creator>GONZALEZ BERDULLAS PATRICIA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id="2txNX3Ir"/&gt;&lt;style id="http://www.zotero.org/styles/nature" hasBibliography="1" bibliographyStyleHasBeenSet="0"/&gt;&lt;prefs&gt;&lt;pref name="fieldType" value="Field"/&gt;&lt;pref name="automaticJournalAbbreviati</vt:lpwstr>
  </property>
  <property fmtid="{D5CDD505-2E9C-101B-9397-08002B2CF9AE}" pid="3" name="ZOTERO_PREF_2">
    <vt:lpwstr>ons" value="true"/&gt;&lt;/prefs&gt;&lt;/data&gt;</vt:lpwstr>
  </property>
</Properties>
</file>