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52371" w14:textId="275C208C" w:rsidR="00F8050A" w:rsidRDefault="00F8050A" w:rsidP="00F8050A">
      <w:pPr>
        <w:pStyle w:val="11"/>
        <w:adjustRightInd w:val="0"/>
        <w:snapToGrid w:val="0"/>
        <w:spacing w:line="288" w:lineRule="auto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</w:pPr>
      <w:r w:rsidRPr="00F8050A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7B24F390" wp14:editId="647A1D6C">
            <wp:simplePos x="0" y="0"/>
            <wp:positionH relativeFrom="column">
              <wp:posOffset>0</wp:posOffset>
            </wp:positionH>
            <wp:positionV relativeFrom="paragraph">
              <wp:posOffset>212</wp:posOffset>
            </wp:positionV>
            <wp:extent cx="5274310" cy="3515995"/>
            <wp:effectExtent l="0" t="0" r="0" b="1905"/>
            <wp:wrapTopAndBottom/>
            <wp:docPr id="5703143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314311" name="图片 5703143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4E584" w14:textId="1EF16CC3" w:rsidR="00F8050A" w:rsidRPr="00F8050A" w:rsidRDefault="00F8050A" w:rsidP="00F8050A">
      <w:pPr>
        <w:pStyle w:val="11"/>
        <w:adjustRightInd w:val="0"/>
        <w:snapToGrid w:val="0"/>
        <w:spacing w:line="288" w:lineRule="auto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</w:pPr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>Supplementary Figure. 2. ROC curves for differential genera in predicting advanced</w:t>
      </w:r>
      <w:r w:rsidRPr="00F8050A">
        <w:rPr>
          <w:rFonts w:ascii="Times New Roman" w:hAnsi="Times New Roman" w:cs="Times New Roman" w:hint="eastAsia"/>
          <w:b w:val="0"/>
          <w:bCs w:val="0"/>
          <w:color w:val="000000" w:themeColor="text1"/>
          <w:sz w:val="22"/>
          <w:szCs w:val="22"/>
          <w:lang w:eastAsia="zh-CN"/>
        </w:rPr>
        <w:t xml:space="preserve"> </w:t>
      </w:r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>stage NSCLC. ROC curves were constructed for individual differential genera (</w:t>
      </w:r>
      <w:proofErr w:type="spellStart"/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>Pedobacter</w:t>
      </w:r>
      <w:proofErr w:type="spellEnd"/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 xml:space="preserve">, </w:t>
      </w:r>
      <w:proofErr w:type="spellStart"/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>Barnesiella</w:t>
      </w:r>
      <w:proofErr w:type="spellEnd"/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 xml:space="preserve">, </w:t>
      </w:r>
      <w:proofErr w:type="spellStart"/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>unclassified_Bacteroidota</w:t>
      </w:r>
      <w:proofErr w:type="spellEnd"/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 xml:space="preserve">, </w:t>
      </w:r>
      <w:proofErr w:type="spellStart"/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>Cocleimonas</w:t>
      </w:r>
      <w:proofErr w:type="spellEnd"/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 xml:space="preserve">, and </w:t>
      </w:r>
      <w:proofErr w:type="spellStart"/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>Dokdonia</w:t>
      </w:r>
      <w:proofErr w:type="spellEnd"/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>). The combined model achieved an AUC of 0.8</w:t>
      </w:r>
      <w:r w:rsidR="008B18E6">
        <w:rPr>
          <w:rFonts w:ascii="Times New Roman" w:hAnsi="Times New Roman" w:cs="Times New Roman" w:hint="eastAsia"/>
          <w:b w:val="0"/>
          <w:bCs w:val="0"/>
          <w:color w:val="000000" w:themeColor="text1"/>
          <w:sz w:val="22"/>
          <w:szCs w:val="22"/>
          <w:lang w:eastAsia="zh-CN"/>
        </w:rPr>
        <w:t>46</w:t>
      </w:r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 xml:space="preserve"> (95% CI: 0.7</w:t>
      </w:r>
      <w:r w:rsidR="008B18E6">
        <w:rPr>
          <w:rFonts w:ascii="Times New Roman" w:hAnsi="Times New Roman" w:cs="Times New Roman" w:hint="eastAsia"/>
          <w:b w:val="0"/>
          <w:bCs w:val="0"/>
          <w:color w:val="000000" w:themeColor="text1"/>
          <w:sz w:val="22"/>
          <w:szCs w:val="22"/>
          <w:lang w:eastAsia="zh-CN"/>
        </w:rPr>
        <w:t>47</w:t>
      </w:r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>–0.94</w:t>
      </w:r>
      <w:r w:rsidR="008B18E6">
        <w:rPr>
          <w:rFonts w:ascii="Times New Roman" w:hAnsi="Times New Roman" w:cs="Times New Roman" w:hint="eastAsia"/>
          <w:b w:val="0"/>
          <w:bCs w:val="0"/>
          <w:color w:val="000000" w:themeColor="text1"/>
          <w:sz w:val="22"/>
          <w:szCs w:val="22"/>
          <w:lang w:eastAsia="zh-CN"/>
        </w:rPr>
        <w:t>4</w:t>
      </w:r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 xml:space="preserve">), with a sensitivity of </w:t>
      </w:r>
      <w:r w:rsidR="008B18E6">
        <w:rPr>
          <w:rFonts w:ascii="Times New Roman" w:hAnsi="Times New Roman" w:cs="Times New Roman" w:hint="eastAsia"/>
          <w:b w:val="0"/>
          <w:bCs w:val="0"/>
          <w:color w:val="000000" w:themeColor="text1"/>
          <w:sz w:val="22"/>
          <w:szCs w:val="22"/>
          <w:lang w:eastAsia="zh-CN"/>
        </w:rPr>
        <w:t>64.5</w:t>
      </w:r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 xml:space="preserve">% and specificity of </w:t>
      </w:r>
      <w:r w:rsidR="008B18E6">
        <w:rPr>
          <w:rFonts w:ascii="Times New Roman" w:hAnsi="Times New Roman" w:cs="Times New Roman" w:hint="eastAsia"/>
          <w:b w:val="0"/>
          <w:bCs w:val="0"/>
          <w:color w:val="000000" w:themeColor="text1"/>
          <w:sz w:val="22"/>
          <w:szCs w:val="22"/>
          <w:lang w:eastAsia="zh-CN"/>
        </w:rPr>
        <w:t>96.1</w:t>
      </w:r>
      <w:r w:rsidRPr="00F8050A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lang w:eastAsia="zh-CN"/>
        </w:rPr>
        <w:t>% at the optimal threshold determined by the Youden index. Individual genera showed moderate discriminatory performance (AUC range: 0.349–0.708). Abbreviations: AUC, area under the curve; CI, confidence interval.</w:t>
      </w:r>
    </w:p>
    <w:p w14:paraId="11EB83CC" w14:textId="67906A57" w:rsidR="00B5247D" w:rsidRDefault="00B5247D">
      <w:pPr>
        <w:rPr>
          <w:rFonts w:hint="eastAsia"/>
        </w:rPr>
      </w:pPr>
    </w:p>
    <w:sectPr w:rsidR="00B524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23044" w14:textId="77777777" w:rsidR="003B694A" w:rsidRDefault="003B694A" w:rsidP="008B18E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52E5988" w14:textId="77777777" w:rsidR="003B694A" w:rsidRDefault="003B694A" w:rsidP="008B18E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">
    <w:altName w:val="Segoe UI Historic"/>
    <w:charset w:val="00"/>
    <w:family w:val="auto"/>
    <w:pitch w:val="variable"/>
    <w:sig w:usb0="A00002FF" w:usb1="7800205A" w:usb2="14600000" w:usb3="00000000" w:csb0="00000193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DF9C2" w14:textId="77777777" w:rsidR="003B694A" w:rsidRDefault="003B694A" w:rsidP="008B18E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E3C7FB2" w14:textId="77777777" w:rsidR="003B694A" w:rsidRDefault="003B694A" w:rsidP="008B18E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50A"/>
    <w:rsid w:val="003B694A"/>
    <w:rsid w:val="0047139D"/>
    <w:rsid w:val="00485719"/>
    <w:rsid w:val="00510436"/>
    <w:rsid w:val="00571372"/>
    <w:rsid w:val="0065172D"/>
    <w:rsid w:val="008442B3"/>
    <w:rsid w:val="008B18E6"/>
    <w:rsid w:val="00AD0265"/>
    <w:rsid w:val="00B0186D"/>
    <w:rsid w:val="00B5247D"/>
    <w:rsid w:val="00CB5651"/>
    <w:rsid w:val="00DA7B17"/>
    <w:rsid w:val="00F60F28"/>
    <w:rsid w:val="00F8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B6B8F2"/>
  <w15:chartTrackingRefBased/>
  <w15:docId w15:val="{4E1C9E2E-F5F0-DF41-85C1-F78D854FA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805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0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5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050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050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050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050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050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050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805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80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80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8050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8050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8050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8050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8050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805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8050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80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050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805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0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805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05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05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0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805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8050A"/>
    <w:rPr>
      <w:b/>
      <w:bCs/>
      <w:smallCaps/>
      <w:color w:val="0F4761" w:themeColor="accent1" w:themeShade="BF"/>
      <w:spacing w:val="5"/>
    </w:rPr>
  </w:style>
  <w:style w:type="paragraph" w:customStyle="1" w:styleId="11">
    <w:name w:val="正文文本1"/>
    <w:basedOn w:val="a"/>
    <w:rsid w:val="00F8050A"/>
    <w:pPr>
      <w:widowControl/>
      <w:spacing w:after="0" w:line="480" w:lineRule="atLeast"/>
      <w:jc w:val="both"/>
    </w:pPr>
    <w:rPr>
      <w:rFonts w:ascii="Palatino" w:eastAsia="宋体" w:hAnsi="Palatino" w:cs="Palatino"/>
      <w:b/>
      <w:bCs/>
      <w:kern w:val="0"/>
      <w:sz w:val="24"/>
      <w:lang w:eastAsia="en-US"/>
      <w14:ligatures w14:val="none"/>
    </w:rPr>
  </w:style>
  <w:style w:type="paragraph" w:styleId="ae">
    <w:name w:val="header"/>
    <w:basedOn w:val="a"/>
    <w:link w:val="af"/>
    <w:uiPriority w:val="99"/>
    <w:unhideWhenUsed/>
    <w:rsid w:val="008B18E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B18E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B18E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B18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497</Characters>
  <Application>Microsoft Office Word</Application>
  <DocSecurity>0</DocSecurity>
  <Lines>8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k18709</dc:creator>
  <cp:keywords/>
  <dc:description/>
  <cp:lastModifiedBy>k18709</cp:lastModifiedBy>
  <cp:revision>5</cp:revision>
  <dcterms:created xsi:type="dcterms:W3CDTF">2026-06-03T15:12:00Z</dcterms:created>
  <dcterms:modified xsi:type="dcterms:W3CDTF">2026-06-04T16:42:00Z</dcterms:modified>
</cp:coreProperties>
</file>