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EB69E" w14:textId="084E550E" w:rsidR="00632779" w:rsidRPr="0049372B" w:rsidRDefault="0049372B" w:rsidP="0049372B">
      <w:pPr>
        <w:spacing w:line="240" w:lineRule="auto"/>
        <w:rPr>
          <w:rFonts w:eastAsia="AdvPSOP-B"/>
          <w:color w:val="000000"/>
          <w:sz w:val="16"/>
          <w:szCs w:val="16"/>
        </w:rPr>
      </w:pPr>
      <w:r w:rsidRPr="002F67D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Additional File 1</w:t>
      </w:r>
      <w:r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.</w:t>
      </w:r>
      <w:r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 xml:space="preserve"> </w:t>
      </w:r>
      <w:r w:rsidR="00632779" w:rsidRPr="0049372B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Detailed</w:t>
      </w:r>
      <w:r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 xml:space="preserve"> </w:t>
      </w:r>
      <w:r w:rsidR="00632779" w:rsidRPr="0049372B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breakdown of patient exclusion criteria in the test and validation sets</w:t>
      </w:r>
    </w:p>
    <w:tbl>
      <w:tblPr>
        <w:tblStyle w:val="21"/>
        <w:tblW w:w="0" w:type="auto"/>
        <w:tblLook w:val="06A0" w:firstRow="1" w:lastRow="0" w:firstColumn="1" w:lastColumn="0" w:noHBand="1" w:noVBand="1"/>
      </w:tblPr>
      <w:tblGrid>
        <w:gridCol w:w="2765"/>
        <w:gridCol w:w="2765"/>
        <w:gridCol w:w="2766"/>
      </w:tblGrid>
      <w:tr w:rsidR="00632779" w:rsidRPr="0049372B" w14:paraId="59665879" w14:textId="77777777" w:rsidTr="004937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single" w:sz="12" w:space="0" w:color="auto"/>
              <w:bottom w:val="single" w:sz="6" w:space="0" w:color="auto"/>
            </w:tcBorders>
          </w:tcPr>
          <w:p w14:paraId="4105DC29" w14:textId="77777777" w:rsidR="00632779" w:rsidRPr="0049372B" w:rsidRDefault="00632779" w:rsidP="0049372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6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DBF873" w14:textId="77777777" w:rsidR="00632779" w:rsidRPr="0049372B" w:rsidRDefault="00632779" w:rsidP="004937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Test set</w:t>
            </w:r>
          </w:p>
        </w:tc>
        <w:tc>
          <w:tcPr>
            <w:tcW w:w="276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9D7084D" w14:textId="77777777" w:rsidR="00632779" w:rsidRPr="0049372B" w:rsidRDefault="00632779" w:rsidP="004937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Validation set</w:t>
            </w:r>
          </w:p>
        </w:tc>
      </w:tr>
      <w:tr w:rsidR="00632779" w:rsidRPr="0049372B" w14:paraId="078710F3" w14:textId="77777777" w:rsidTr="004937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single" w:sz="6" w:space="0" w:color="auto"/>
            </w:tcBorders>
          </w:tcPr>
          <w:p w14:paraId="465D0661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Initial recruited subjects</w:t>
            </w:r>
          </w:p>
        </w:tc>
        <w:tc>
          <w:tcPr>
            <w:tcW w:w="2765" w:type="dxa"/>
            <w:tcBorders>
              <w:top w:val="single" w:sz="6" w:space="0" w:color="auto"/>
            </w:tcBorders>
            <w:vAlign w:val="center"/>
          </w:tcPr>
          <w:p w14:paraId="79CA8AB5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646</w:t>
            </w:r>
          </w:p>
        </w:tc>
        <w:tc>
          <w:tcPr>
            <w:tcW w:w="2766" w:type="dxa"/>
            <w:tcBorders>
              <w:top w:val="single" w:sz="6" w:space="0" w:color="auto"/>
            </w:tcBorders>
            <w:vAlign w:val="center"/>
          </w:tcPr>
          <w:p w14:paraId="6A3828EE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310</w:t>
            </w:r>
          </w:p>
        </w:tc>
      </w:tr>
      <w:tr w:rsidR="00632779" w:rsidRPr="0049372B" w14:paraId="1E9C7D71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3A1EFA0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Excluded, n (%)</w:t>
            </w:r>
          </w:p>
        </w:tc>
        <w:tc>
          <w:tcPr>
            <w:tcW w:w="2765" w:type="dxa"/>
            <w:vAlign w:val="center"/>
          </w:tcPr>
          <w:p w14:paraId="5672B38D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300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（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46.3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）</w:t>
            </w:r>
          </w:p>
        </w:tc>
        <w:tc>
          <w:tcPr>
            <w:tcW w:w="2766" w:type="dxa"/>
            <w:vAlign w:val="center"/>
          </w:tcPr>
          <w:p w14:paraId="095F0DAE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160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（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51.6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）</w:t>
            </w:r>
          </w:p>
        </w:tc>
      </w:tr>
      <w:tr w:rsidR="00632779" w:rsidRPr="0049372B" w14:paraId="1CA20030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7485187C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Incomplete clinical/laboratory data</w:t>
            </w:r>
          </w:p>
        </w:tc>
        <w:tc>
          <w:tcPr>
            <w:tcW w:w="2765" w:type="dxa"/>
            <w:vAlign w:val="center"/>
          </w:tcPr>
          <w:p w14:paraId="31095558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766" w:type="dxa"/>
            <w:vAlign w:val="center"/>
          </w:tcPr>
          <w:p w14:paraId="4E1BD407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632779" w:rsidRPr="0049372B" w14:paraId="5BE6E728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DEDFDA5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Severe hepatic/renal dysfunction or history of long-term dialysis</w:t>
            </w:r>
          </w:p>
        </w:tc>
        <w:tc>
          <w:tcPr>
            <w:tcW w:w="2765" w:type="dxa"/>
            <w:vAlign w:val="center"/>
          </w:tcPr>
          <w:p w14:paraId="7E284C00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766" w:type="dxa"/>
            <w:vAlign w:val="center"/>
          </w:tcPr>
          <w:p w14:paraId="6AF88A84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</w:tr>
      <w:tr w:rsidR="00632779" w:rsidRPr="0049372B" w14:paraId="233A3ACD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443ED773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Congenital anomalies of the kidney and urinary tract (CAKUT)</w:t>
            </w:r>
          </w:p>
        </w:tc>
        <w:tc>
          <w:tcPr>
            <w:tcW w:w="2765" w:type="dxa"/>
            <w:vAlign w:val="center"/>
          </w:tcPr>
          <w:p w14:paraId="39DC4286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2766" w:type="dxa"/>
            <w:vAlign w:val="center"/>
          </w:tcPr>
          <w:p w14:paraId="51F0F029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632779" w:rsidRPr="0049372B" w14:paraId="4C498C97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0BEE7F27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Combined with other systemic diseases</w:t>
            </w:r>
          </w:p>
        </w:tc>
        <w:tc>
          <w:tcPr>
            <w:tcW w:w="2765" w:type="dxa"/>
            <w:vAlign w:val="center"/>
          </w:tcPr>
          <w:p w14:paraId="5790A2E1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766" w:type="dxa"/>
            <w:vAlign w:val="center"/>
          </w:tcPr>
          <w:p w14:paraId="62C575EA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632779" w:rsidRPr="0049372B" w14:paraId="02D94E1D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3CA35CFD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Lack of renal biopsy or definite podocyte injury</w:t>
            </w:r>
          </w:p>
        </w:tc>
        <w:tc>
          <w:tcPr>
            <w:tcW w:w="2765" w:type="dxa"/>
            <w:vAlign w:val="center"/>
          </w:tcPr>
          <w:p w14:paraId="62333179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2766" w:type="dxa"/>
            <w:vAlign w:val="center"/>
          </w:tcPr>
          <w:p w14:paraId="60FDC772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632779" w:rsidRPr="0049372B" w14:paraId="3AAE6DD8" w14:textId="77777777" w:rsidTr="006327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</w:tcPr>
          <w:p w14:paraId="65965F03" w14:textId="6DCB348C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Unqualified sample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（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non-first morning urine/urine sample during menstruation/hemolysis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）</w:t>
            </w:r>
          </w:p>
        </w:tc>
        <w:tc>
          <w:tcPr>
            <w:tcW w:w="2765" w:type="dxa"/>
            <w:vAlign w:val="center"/>
          </w:tcPr>
          <w:p w14:paraId="54C7E3F0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766" w:type="dxa"/>
            <w:vAlign w:val="center"/>
          </w:tcPr>
          <w:p w14:paraId="1380439C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632779" w:rsidRPr="0049372B" w14:paraId="2C345C02" w14:textId="77777777" w:rsidTr="004937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bottom w:val="nil"/>
            </w:tcBorders>
          </w:tcPr>
          <w:p w14:paraId="50B8DDD2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Lack of available serum/urine samples for ELISA testing</w:t>
            </w:r>
          </w:p>
        </w:tc>
        <w:tc>
          <w:tcPr>
            <w:tcW w:w="2765" w:type="dxa"/>
            <w:tcBorders>
              <w:bottom w:val="nil"/>
            </w:tcBorders>
            <w:vAlign w:val="center"/>
          </w:tcPr>
          <w:p w14:paraId="5F229FC6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2766" w:type="dxa"/>
            <w:tcBorders>
              <w:bottom w:val="nil"/>
            </w:tcBorders>
            <w:vAlign w:val="center"/>
          </w:tcPr>
          <w:p w14:paraId="4E584AA4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83</w:t>
            </w:r>
          </w:p>
        </w:tc>
      </w:tr>
      <w:tr w:rsidR="00632779" w:rsidRPr="0049372B" w14:paraId="476D67EA" w14:textId="77777777" w:rsidTr="004937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5" w:type="dxa"/>
            <w:tcBorders>
              <w:top w:val="nil"/>
              <w:bottom w:val="single" w:sz="12" w:space="0" w:color="auto"/>
            </w:tcBorders>
          </w:tcPr>
          <w:p w14:paraId="6FBA77D0" w14:textId="77777777" w:rsidR="00632779" w:rsidRPr="0049372B" w:rsidRDefault="00632779" w:rsidP="00FF02A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Finally included, n (%)</w:t>
            </w:r>
          </w:p>
        </w:tc>
        <w:tc>
          <w:tcPr>
            <w:tcW w:w="2765" w:type="dxa"/>
            <w:tcBorders>
              <w:top w:val="nil"/>
              <w:bottom w:val="single" w:sz="12" w:space="0" w:color="auto"/>
            </w:tcBorders>
            <w:vAlign w:val="center"/>
          </w:tcPr>
          <w:p w14:paraId="5F936484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（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53.5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）</w:t>
            </w:r>
          </w:p>
        </w:tc>
        <w:tc>
          <w:tcPr>
            <w:tcW w:w="2766" w:type="dxa"/>
            <w:tcBorders>
              <w:top w:val="nil"/>
              <w:bottom w:val="single" w:sz="12" w:space="0" w:color="auto"/>
            </w:tcBorders>
            <w:vAlign w:val="center"/>
          </w:tcPr>
          <w:p w14:paraId="348402D5" w14:textId="77777777" w:rsidR="00632779" w:rsidRPr="0049372B" w:rsidRDefault="00632779" w:rsidP="0063277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150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（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48.4</w:t>
            </w:r>
            <w:r w:rsidRPr="0049372B">
              <w:rPr>
                <w:rFonts w:ascii="Times New Roman" w:hAnsi="Times New Roman" w:cs="Times New Roman"/>
                <w:sz w:val="16"/>
                <w:szCs w:val="16"/>
              </w:rPr>
              <w:t>）</w:t>
            </w:r>
          </w:p>
        </w:tc>
      </w:tr>
    </w:tbl>
    <w:p w14:paraId="377F2EA0" w14:textId="63332F03" w:rsidR="00A767C2" w:rsidRPr="0049372B" w:rsidRDefault="00632779">
      <w:pPr>
        <w:rPr>
          <w:rFonts w:ascii="Times New Roman" w:hAnsi="Times New Roman" w:cs="Times New Roman"/>
          <w:sz w:val="16"/>
          <w:szCs w:val="16"/>
        </w:rPr>
      </w:pPr>
      <w:r w:rsidRPr="0049372B">
        <w:rPr>
          <w:rStyle w:val="af"/>
          <w:rFonts w:ascii="Times New Roman" w:hAnsi="Times New Roman" w:cs="Times New Roman"/>
          <w:color w:val="000000"/>
          <w:sz w:val="16"/>
          <w:szCs w:val="16"/>
        </w:rPr>
        <w:t>Note:</w:t>
      </w:r>
      <w:r w:rsidRPr="0049372B">
        <w:rPr>
          <w:rFonts w:ascii="Times New Roman" w:hAnsi="Times New Roman" w:cs="Times New Roman"/>
          <w:sz w:val="16"/>
          <w:szCs w:val="16"/>
        </w:rPr>
        <w:t xml:space="preserve"> All finally included patients had paired and concurrent serum and urine samples available for analysis.</w:t>
      </w:r>
    </w:p>
    <w:sectPr w:rsidR="00A767C2" w:rsidRPr="00493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dvPSOP-B">
    <w:altName w:val="Calibri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638"/>
    <w:rsid w:val="00350952"/>
    <w:rsid w:val="003E4974"/>
    <w:rsid w:val="00400638"/>
    <w:rsid w:val="0049372B"/>
    <w:rsid w:val="00632779"/>
    <w:rsid w:val="00643235"/>
    <w:rsid w:val="008B675A"/>
    <w:rsid w:val="00A767C2"/>
    <w:rsid w:val="00BD0C0F"/>
    <w:rsid w:val="00BE2D35"/>
    <w:rsid w:val="00C813AA"/>
    <w:rsid w:val="00CA7C01"/>
    <w:rsid w:val="00E95048"/>
    <w:rsid w:val="00EC6F64"/>
    <w:rsid w:val="00EC70EA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E29877"/>
  <w15:chartTrackingRefBased/>
  <w15:docId w15:val="{B35B70C8-1BA2-AA4A-B014-7A7D851C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0063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0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06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063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063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063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063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063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063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0063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006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006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0063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0063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0063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0063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0063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0063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0063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00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063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006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0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006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063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0063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00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0063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0063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0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632779"/>
    <w:rPr>
      <w:b/>
      <w:bCs/>
    </w:rPr>
  </w:style>
  <w:style w:type="table" w:styleId="21">
    <w:name w:val="Plain Table 2"/>
    <w:basedOn w:val="a1"/>
    <w:uiPriority w:val="42"/>
    <w:rsid w:val="0063277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2</cp:revision>
  <dcterms:created xsi:type="dcterms:W3CDTF">2026-02-27T07:57:00Z</dcterms:created>
  <dcterms:modified xsi:type="dcterms:W3CDTF">2026-03-01T09:52:00Z</dcterms:modified>
</cp:coreProperties>
</file>