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A6C12" w:rsidRPr="001E7871" w:rsidRDefault="00000000">
      <w:pPr>
        <w:rPr>
          <w:rFonts w:ascii="Times New Roman" w:hAnsi="Times New Roman"/>
        </w:rPr>
      </w:pPr>
      <w:r w:rsidRPr="001E7871">
        <w:rPr>
          <w:rFonts w:ascii="Times New Roman" w:hAnsi="Times New Roman"/>
        </w:rPr>
        <w:t>Supplementary Information</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2A6C12" w:rsidRPr="001E7871">
        <w:tc>
          <w:tcPr>
            <w:tcW w:w="8296" w:type="dxa"/>
          </w:tcPr>
          <w:p w:rsidR="002A6C12" w:rsidRPr="001E7871" w:rsidRDefault="00000000">
            <w:pPr>
              <w:rPr>
                <w:rFonts w:ascii="Times New Roman" w:hAnsi="Times New Roman"/>
              </w:rPr>
            </w:pPr>
            <w:r w:rsidRPr="001E7871">
              <w:rPr>
                <w:rFonts w:ascii="Times New Roman" w:hAnsi="Times New Roman"/>
              </w:rPr>
              <w:t>Fig. S1 Supplementary colocalization analyses of CTSS with neurons and astrocytes.</w:t>
            </w:r>
            <w:r w:rsidRPr="001E7871">
              <w:rPr>
                <w:rFonts w:ascii="Times New Roman" w:hAnsi="Times New Roman"/>
              </w:rPr>
              <w:br/>
              <w:t xml:space="preserve">Representative immunofluorescence images and line-scan intensity profiles showing the spatial relationship between CTSS and </w:t>
            </w:r>
            <w:proofErr w:type="spellStart"/>
            <w:r w:rsidRPr="001E7871">
              <w:rPr>
                <w:rFonts w:ascii="Times New Roman" w:hAnsi="Times New Roman"/>
              </w:rPr>
              <w:t>NeuN</w:t>
            </w:r>
            <w:proofErr w:type="spellEnd"/>
            <w:r w:rsidRPr="001E7871">
              <w:rPr>
                <w:rFonts w:ascii="Times New Roman" w:hAnsi="Times New Roman"/>
              </w:rPr>
              <w:t xml:space="preserve">⁺ neurons </w:t>
            </w:r>
            <w:bookmarkStart w:id="0" w:name="OLE_LINK54"/>
            <w:r w:rsidRPr="001E7871">
              <w:rPr>
                <w:rFonts w:ascii="Times New Roman" w:hAnsi="Times New Roman"/>
              </w:rPr>
              <w:t>(A) or GFAP⁺ astrocytes (B) in perihematomal regions after intracerebral hemorrhage.</w:t>
            </w:r>
            <w:bookmarkEnd w:id="0"/>
          </w:p>
        </w:tc>
      </w:tr>
      <w:tr w:rsidR="002A6C12" w:rsidRPr="001E7871">
        <w:tc>
          <w:tcPr>
            <w:tcW w:w="8296" w:type="dxa"/>
          </w:tcPr>
          <w:p w:rsidR="002A6C12" w:rsidRPr="001E7871" w:rsidRDefault="00000000">
            <w:pPr>
              <w:rPr>
                <w:rFonts w:ascii="Times New Roman" w:hAnsi="Times New Roman"/>
              </w:rPr>
            </w:pPr>
            <w:r w:rsidRPr="001E7871">
              <w:rPr>
                <w:rFonts w:ascii="Times New Roman" w:hAnsi="Times New Roman"/>
                <w:noProof/>
              </w:rPr>
              <w:drawing>
                <wp:inline distT="0" distB="0" distL="0" distR="0">
                  <wp:extent cx="5274310" cy="189293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1892935"/>
                          </a:xfrm>
                          <a:prstGeom prst="rect">
                            <a:avLst/>
                          </a:prstGeom>
                        </pic:spPr>
                      </pic:pic>
                    </a:graphicData>
                  </a:graphic>
                </wp:inline>
              </w:drawing>
            </w:r>
          </w:p>
        </w:tc>
      </w:tr>
    </w:tbl>
    <w:p w:rsidR="002A6C12" w:rsidRPr="001E7871" w:rsidRDefault="002A6C12">
      <w:pPr>
        <w:rPr>
          <w:rFonts w:ascii="Times New Roman" w:hAnsi="Times New Roman"/>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2A6C12" w:rsidRPr="001E7871">
        <w:tc>
          <w:tcPr>
            <w:tcW w:w="8296" w:type="dxa"/>
          </w:tcPr>
          <w:p w:rsidR="002A6C12" w:rsidRPr="001E7871" w:rsidRDefault="00000000">
            <w:pPr>
              <w:rPr>
                <w:rFonts w:ascii="Times New Roman" w:hAnsi="Times New Roman"/>
              </w:rPr>
            </w:pPr>
            <w:r w:rsidRPr="001E7871">
              <w:rPr>
                <w:rFonts w:ascii="Times New Roman" w:hAnsi="Times New Roman"/>
              </w:rPr>
              <w:t>Fig. S2 Relative abundance of major cell populations across experimental groups.</w:t>
            </w:r>
            <w:r w:rsidRPr="001E7871">
              <w:rPr>
                <w:rFonts w:ascii="Times New Roman" w:hAnsi="Times New Roman"/>
              </w:rPr>
              <w:br/>
              <w:t>Bar plots showing the relative proportions of major cell populations identified by single-cell RNA sequencing in Vehicle- and CTSS inhibitor–treated mice after intracerebral hemorrhage, indicating comparable cellular composition between groups.</w:t>
            </w:r>
          </w:p>
        </w:tc>
      </w:tr>
      <w:tr w:rsidR="002A6C12" w:rsidRPr="001E7871">
        <w:tc>
          <w:tcPr>
            <w:tcW w:w="8296" w:type="dxa"/>
          </w:tcPr>
          <w:p w:rsidR="002A6C12" w:rsidRPr="001E7871" w:rsidRDefault="00000000">
            <w:pPr>
              <w:jc w:val="center"/>
              <w:rPr>
                <w:rFonts w:ascii="Times New Roman" w:hAnsi="Times New Roman"/>
              </w:rPr>
            </w:pPr>
            <w:r w:rsidRPr="001E7871">
              <w:rPr>
                <w:rFonts w:ascii="Times New Roman" w:hAnsi="Times New Roman"/>
                <w:noProof/>
              </w:rPr>
              <w:drawing>
                <wp:inline distT="0" distB="0" distL="0" distR="0">
                  <wp:extent cx="3314700" cy="431990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14727" cy="4320000"/>
                          </a:xfrm>
                          <a:prstGeom prst="rect">
                            <a:avLst/>
                          </a:prstGeom>
                        </pic:spPr>
                      </pic:pic>
                    </a:graphicData>
                  </a:graphic>
                </wp:inline>
              </w:drawing>
            </w:r>
          </w:p>
        </w:tc>
      </w:tr>
    </w:tbl>
    <w:p w:rsidR="002A6C12" w:rsidRPr="001E7871" w:rsidRDefault="002A6C12">
      <w:pPr>
        <w:rPr>
          <w:rFonts w:ascii="Times New Roman" w:hAnsi="Times New Roman"/>
        </w:rPr>
      </w:pPr>
    </w:p>
    <w:p w:rsidR="002A6C12" w:rsidRPr="001E7871" w:rsidRDefault="002A6C12">
      <w:pPr>
        <w:rPr>
          <w:rFonts w:ascii="Times New Roman" w:hAnsi="Times New Roman"/>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2A6C12" w:rsidRPr="001E7871">
        <w:tc>
          <w:tcPr>
            <w:tcW w:w="8296" w:type="dxa"/>
          </w:tcPr>
          <w:p w:rsidR="002A6C12" w:rsidRPr="001E7871" w:rsidRDefault="00000000">
            <w:pPr>
              <w:rPr>
                <w:rFonts w:ascii="Times New Roman" w:hAnsi="Times New Roman"/>
              </w:rPr>
            </w:pPr>
            <w:r w:rsidRPr="001E7871">
              <w:rPr>
                <w:rFonts w:ascii="Times New Roman" w:hAnsi="Times New Roman"/>
              </w:rPr>
              <w:lastRenderedPageBreak/>
              <w:t xml:space="preserve">Fig. S3 </w:t>
            </w:r>
            <w:bookmarkStart w:id="1" w:name="OLE_LINK55"/>
            <w:r w:rsidRPr="001E7871">
              <w:rPr>
                <w:rFonts w:ascii="Times New Roman" w:hAnsi="Times New Roman"/>
              </w:rPr>
              <w:t>GO enrichment analysis of</w:t>
            </w:r>
            <w:bookmarkEnd w:id="1"/>
            <w:r w:rsidRPr="001E7871">
              <w:rPr>
                <w:rFonts w:ascii="Times New Roman" w:hAnsi="Times New Roman"/>
              </w:rPr>
              <w:t xml:space="preserve"> upregulated differentially expressed genes.</w:t>
            </w:r>
            <w:r w:rsidRPr="001E7871">
              <w:rPr>
                <w:rFonts w:ascii="Times New Roman" w:hAnsi="Times New Roman"/>
              </w:rPr>
              <w:br/>
              <w:t>GO enrichment analysis showing that upregulated differentially expressed genes were mainly associated with protein translation and mitochondrial energy metabolism. GO enrichment analysis of Cellular Component (</w:t>
            </w:r>
            <w:proofErr w:type="gramStart"/>
            <w:r w:rsidRPr="001E7871">
              <w:rPr>
                <w:rFonts w:ascii="Times New Roman" w:hAnsi="Times New Roman"/>
              </w:rPr>
              <w:t>A)  GO</w:t>
            </w:r>
            <w:proofErr w:type="gramEnd"/>
            <w:r w:rsidRPr="001E7871">
              <w:rPr>
                <w:rFonts w:ascii="Times New Roman" w:hAnsi="Times New Roman"/>
              </w:rPr>
              <w:t xml:space="preserve"> enrichment analysis of Biological Process (B).</w:t>
            </w:r>
          </w:p>
        </w:tc>
      </w:tr>
      <w:tr w:rsidR="002A6C12" w:rsidRPr="001E7871">
        <w:tc>
          <w:tcPr>
            <w:tcW w:w="8296" w:type="dxa"/>
          </w:tcPr>
          <w:p w:rsidR="002A6C12" w:rsidRPr="001E7871" w:rsidRDefault="00000000">
            <w:pPr>
              <w:rPr>
                <w:rFonts w:ascii="Times New Roman" w:hAnsi="Times New Roman"/>
              </w:rPr>
            </w:pPr>
            <w:r w:rsidRPr="001E7871">
              <w:rPr>
                <w:rFonts w:ascii="Times New Roman" w:hAnsi="Times New Roman"/>
                <w:noProof/>
              </w:rPr>
              <w:drawing>
                <wp:inline distT="0" distB="0" distL="0" distR="0">
                  <wp:extent cx="5309235" cy="215963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09547" cy="2160000"/>
                          </a:xfrm>
                          <a:prstGeom prst="rect">
                            <a:avLst/>
                          </a:prstGeom>
                        </pic:spPr>
                      </pic:pic>
                    </a:graphicData>
                  </a:graphic>
                </wp:inline>
              </w:drawing>
            </w:r>
          </w:p>
        </w:tc>
      </w:tr>
    </w:tbl>
    <w:p w:rsidR="002A6C12" w:rsidRPr="001E7871" w:rsidRDefault="002A6C12">
      <w:pPr>
        <w:rPr>
          <w:rFonts w:ascii="Times New Roman" w:hAnsi="Times New Roman"/>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2A6C12" w:rsidRPr="001E7871">
        <w:tc>
          <w:tcPr>
            <w:tcW w:w="8296" w:type="dxa"/>
          </w:tcPr>
          <w:p w:rsidR="002A6C12" w:rsidRPr="001E7871" w:rsidRDefault="00000000">
            <w:pPr>
              <w:rPr>
                <w:rFonts w:ascii="Times New Roman" w:hAnsi="Times New Roman"/>
              </w:rPr>
            </w:pPr>
            <w:r w:rsidRPr="001E7871">
              <w:rPr>
                <w:rFonts w:ascii="Times New Roman" w:hAnsi="Times New Roman"/>
              </w:rPr>
              <w:t>Fig. S4 Relative abundance of macrophage subpopulations across experimental conditions.</w:t>
            </w:r>
            <w:r w:rsidRPr="001E7871">
              <w:rPr>
                <w:rFonts w:ascii="Times New Roman" w:hAnsi="Times New Roman"/>
              </w:rPr>
              <w:br/>
            </w:r>
            <w:bookmarkStart w:id="2" w:name="OLE_LINK61"/>
            <w:r w:rsidRPr="001E7871">
              <w:rPr>
                <w:rFonts w:ascii="Times New Roman" w:hAnsi="Times New Roman"/>
              </w:rPr>
              <w:t>The relative proportions of macrophage subpopulations were comparable between Vehicle- and CTSS inhibitor–treated groups.</w:t>
            </w:r>
            <w:bookmarkEnd w:id="2"/>
          </w:p>
        </w:tc>
      </w:tr>
      <w:tr w:rsidR="002A6C12" w:rsidRPr="001E7871">
        <w:tc>
          <w:tcPr>
            <w:tcW w:w="8296" w:type="dxa"/>
          </w:tcPr>
          <w:p w:rsidR="002A6C12" w:rsidRPr="001E7871" w:rsidRDefault="00000000">
            <w:pPr>
              <w:jc w:val="center"/>
              <w:rPr>
                <w:rFonts w:ascii="Times New Roman" w:hAnsi="Times New Roman"/>
              </w:rPr>
            </w:pPr>
            <w:r w:rsidRPr="001E7871">
              <w:rPr>
                <w:rFonts w:ascii="Times New Roman" w:hAnsi="Times New Roman"/>
                <w:noProof/>
              </w:rPr>
              <w:drawing>
                <wp:inline distT="0" distB="0" distL="0" distR="0">
                  <wp:extent cx="3320415" cy="431990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3320881" cy="4320000"/>
                          </a:xfrm>
                          <a:prstGeom prst="rect">
                            <a:avLst/>
                          </a:prstGeom>
                        </pic:spPr>
                      </pic:pic>
                    </a:graphicData>
                  </a:graphic>
                </wp:inline>
              </w:drawing>
            </w:r>
          </w:p>
        </w:tc>
      </w:tr>
      <w:tr w:rsidR="002A6C12" w:rsidRPr="001E7871">
        <w:tc>
          <w:tcPr>
            <w:tcW w:w="8296" w:type="dxa"/>
          </w:tcPr>
          <w:p w:rsidR="002A6C12" w:rsidRPr="001E7871" w:rsidRDefault="002A6C12">
            <w:pPr>
              <w:jc w:val="center"/>
              <w:rPr>
                <w:rFonts w:ascii="Times New Roman" w:hAnsi="Times New Roman"/>
              </w:rPr>
            </w:pPr>
          </w:p>
          <w:p w:rsidR="002A6C12" w:rsidRPr="001E7871" w:rsidRDefault="002A6C12">
            <w:pPr>
              <w:jc w:val="center"/>
              <w:rPr>
                <w:rFonts w:ascii="Times New Roman" w:hAnsi="Times New Roman"/>
              </w:rPr>
            </w:pPr>
          </w:p>
        </w:tc>
      </w:tr>
    </w:tbl>
    <w:p w:rsidR="002A6C12" w:rsidRPr="001E7871" w:rsidRDefault="002A6C12">
      <w:pPr>
        <w:rPr>
          <w:rFonts w:ascii="Times New Roman" w:hAnsi="Times New Roman"/>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2A6C12" w:rsidRPr="001E7871">
        <w:tc>
          <w:tcPr>
            <w:tcW w:w="8296" w:type="dxa"/>
          </w:tcPr>
          <w:p w:rsidR="002A6C12" w:rsidRPr="001E7871" w:rsidRDefault="00000000">
            <w:pPr>
              <w:snapToGrid w:val="0"/>
              <w:rPr>
                <w:rFonts w:ascii="Times New Roman" w:hAnsi="Times New Roman"/>
              </w:rPr>
            </w:pPr>
            <w:r w:rsidRPr="001E7871">
              <w:rPr>
                <w:rFonts w:ascii="Times New Roman" w:hAnsi="Times New Roman"/>
              </w:rPr>
              <w:lastRenderedPageBreak/>
              <w:t>Fig. S5 Flow cytometric analysis of phagocytosis-related markers in infiltrating macrophages after CTSS inhibition.</w:t>
            </w:r>
            <w:r w:rsidRPr="001E7871">
              <w:rPr>
                <w:rFonts w:ascii="Times New Roman" w:hAnsi="Times New Roman"/>
              </w:rPr>
              <w:br/>
              <w:t>A Representative flow cytometry gating strategy for identifying CD45^highCD11b⁺F4/80⁺ infiltrating macrophages from the injured ipsilateral hemisphere at day 7 after ICH.</w:t>
            </w:r>
          </w:p>
          <w:p w:rsidR="002A6C12" w:rsidRPr="001E7871" w:rsidRDefault="00000000">
            <w:pPr>
              <w:snapToGrid w:val="0"/>
              <w:rPr>
                <w:rFonts w:ascii="Times New Roman" w:hAnsi="Times New Roman"/>
              </w:rPr>
            </w:pPr>
            <w:r w:rsidRPr="001E7871">
              <w:rPr>
                <w:rFonts w:ascii="Times New Roman" w:hAnsi="Times New Roman"/>
              </w:rPr>
              <w:t>B Representative flow cytometry histograms showing the expression of phagocytosis-related markers in CD45^highCD11b⁺F4/80⁺ macrophages from Vehicle- and Inhibitor-treated mice.</w:t>
            </w:r>
          </w:p>
          <w:p w:rsidR="002A6C12" w:rsidRPr="001E7871" w:rsidRDefault="00000000">
            <w:pPr>
              <w:snapToGrid w:val="0"/>
              <w:rPr>
                <w:rFonts w:ascii="Times New Roman" w:hAnsi="Times New Roman"/>
              </w:rPr>
            </w:pPr>
            <w:r w:rsidRPr="001E7871">
              <w:rPr>
                <w:rFonts w:ascii="Times New Roman" w:hAnsi="Times New Roman"/>
              </w:rPr>
              <w:t>C–D Quantification of CD36 (C) and TREM2 (D) expression in CD45^highCD11b⁺F4/80⁺ macrophages. n = 6 mice per group.</w:t>
            </w:r>
          </w:p>
          <w:p w:rsidR="002A6C12" w:rsidRPr="001E7871" w:rsidRDefault="00000000">
            <w:pPr>
              <w:snapToGrid w:val="0"/>
              <w:rPr>
                <w:rFonts w:ascii="Times New Roman" w:hAnsi="Times New Roman"/>
              </w:rPr>
            </w:pPr>
            <w:r w:rsidRPr="001E7871">
              <w:rPr>
                <w:rFonts w:ascii="Times New Roman" w:hAnsi="Times New Roman"/>
              </w:rPr>
              <w:t>Data are presented as mean ± SD. ns, not significant.</w:t>
            </w:r>
          </w:p>
        </w:tc>
      </w:tr>
      <w:tr w:rsidR="002A6C12" w:rsidRPr="001E7871">
        <w:tc>
          <w:tcPr>
            <w:tcW w:w="8296" w:type="dxa"/>
          </w:tcPr>
          <w:p w:rsidR="002A6C12" w:rsidRPr="001E7871" w:rsidRDefault="00000000">
            <w:pPr>
              <w:jc w:val="center"/>
              <w:rPr>
                <w:rFonts w:ascii="Times New Roman" w:hAnsi="Times New Roman"/>
              </w:rPr>
            </w:pPr>
            <w:r w:rsidRPr="001E7871">
              <w:rPr>
                <w:rFonts w:ascii="Times New Roman" w:hAnsi="Times New Roman"/>
                <w:noProof/>
              </w:rPr>
              <w:drawing>
                <wp:inline distT="0" distB="0" distL="114300" distR="114300">
                  <wp:extent cx="5126990" cy="3004185"/>
                  <wp:effectExtent l="0" t="0" r="3810" b="18415"/>
                  <wp:docPr id="4" name="图片 4" descr="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5"/>
                          <pic:cNvPicPr>
                            <a:picLocks noChangeAspect="1"/>
                          </pic:cNvPicPr>
                        </pic:nvPicPr>
                        <pic:blipFill>
                          <a:blip r:embed="rId10"/>
                          <a:stretch>
                            <a:fillRect/>
                          </a:stretch>
                        </pic:blipFill>
                        <pic:spPr>
                          <a:xfrm>
                            <a:off x="0" y="0"/>
                            <a:ext cx="5126990" cy="3004185"/>
                          </a:xfrm>
                          <a:prstGeom prst="rect">
                            <a:avLst/>
                          </a:prstGeom>
                        </pic:spPr>
                      </pic:pic>
                    </a:graphicData>
                  </a:graphic>
                </wp:inline>
              </w:drawing>
            </w:r>
          </w:p>
        </w:tc>
      </w:tr>
    </w:tbl>
    <w:p w:rsidR="002A6C12" w:rsidRPr="001E7871" w:rsidRDefault="002A6C12">
      <w:pPr>
        <w:rPr>
          <w:rFonts w:ascii="Times New Roman" w:hAnsi="Times New Roman"/>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2A6C12" w:rsidRPr="001E7871">
        <w:tc>
          <w:tcPr>
            <w:tcW w:w="8296" w:type="dxa"/>
          </w:tcPr>
          <w:p w:rsidR="002A6C12" w:rsidRPr="001E7871" w:rsidRDefault="00000000">
            <w:pPr>
              <w:snapToGrid w:val="0"/>
              <w:rPr>
                <w:rStyle w:val="a7"/>
                <w:rFonts w:ascii="Times New Roman" w:hAnsi="Times New Roman"/>
                <w:b w:val="0"/>
                <w:bCs w:val="0"/>
              </w:rPr>
            </w:pPr>
            <w:r w:rsidRPr="001E7871">
              <w:rPr>
                <w:rStyle w:val="a7"/>
                <w:rFonts w:ascii="Times New Roman" w:hAnsi="Times New Roman"/>
                <w:b w:val="0"/>
                <w:bCs w:val="0"/>
              </w:rPr>
              <w:t>Fig. S6 CTSS inhibition does not increase macrophage uptake of myelin debris in vitro.</w:t>
            </w:r>
            <w:r w:rsidRPr="001E7871">
              <w:rPr>
                <w:rStyle w:val="a7"/>
                <w:rFonts w:ascii="Times New Roman" w:hAnsi="Times New Roman"/>
                <w:b w:val="0"/>
                <w:bCs w:val="0"/>
              </w:rPr>
              <w:br/>
              <w:t xml:space="preserve">A Representative immunofluorescence images showing </w:t>
            </w:r>
            <w:proofErr w:type="spellStart"/>
            <w:r w:rsidRPr="001E7871">
              <w:rPr>
                <w:rStyle w:val="a7"/>
                <w:rFonts w:ascii="Times New Roman" w:hAnsi="Times New Roman"/>
                <w:b w:val="0"/>
                <w:bCs w:val="0"/>
              </w:rPr>
              <w:t>DiD</w:t>
            </w:r>
            <w:proofErr w:type="spellEnd"/>
            <w:r w:rsidRPr="001E7871">
              <w:rPr>
                <w:rStyle w:val="a7"/>
                <w:rFonts w:ascii="Times New Roman" w:hAnsi="Times New Roman"/>
                <w:b w:val="0"/>
                <w:bCs w:val="0"/>
              </w:rPr>
              <w:t xml:space="preserve">-labeled myelin debris uptake by Vehicle- or LY3000328-treated BMDMs. BMDMs were stained with F4/80, and nuclei were counterstained with DAPI. Scale bars, 100 </w:t>
            </w:r>
            <w:proofErr w:type="spellStart"/>
            <w:r w:rsidRPr="001E7871">
              <w:rPr>
                <w:rStyle w:val="a7"/>
                <w:rFonts w:ascii="Times New Roman" w:hAnsi="Times New Roman"/>
                <w:b w:val="0"/>
                <w:bCs w:val="0"/>
              </w:rPr>
              <w:t>μm</w:t>
            </w:r>
            <w:proofErr w:type="spellEnd"/>
            <w:r w:rsidRPr="001E7871">
              <w:rPr>
                <w:rStyle w:val="a7"/>
                <w:rFonts w:ascii="Times New Roman" w:hAnsi="Times New Roman"/>
                <w:b w:val="0"/>
                <w:bCs w:val="0"/>
              </w:rPr>
              <w:t>.</w:t>
            </w:r>
            <w:r w:rsidRPr="001E7871">
              <w:rPr>
                <w:rStyle w:val="a7"/>
                <w:rFonts w:ascii="Times New Roman" w:hAnsi="Times New Roman"/>
                <w:b w:val="0"/>
                <w:bCs w:val="0"/>
              </w:rPr>
              <w:br/>
              <w:t xml:space="preserve">B Quantification of </w:t>
            </w:r>
            <w:proofErr w:type="spellStart"/>
            <w:r w:rsidRPr="001E7871">
              <w:rPr>
                <w:rStyle w:val="a7"/>
                <w:rFonts w:ascii="Times New Roman" w:hAnsi="Times New Roman"/>
                <w:b w:val="0"/>
                <w:bCs w:val="0"/>
              </w:rPr>
              <w:t>DiD</w:t>
            </w:r>
            <w:proofErr w:type="spellEnd"/>
            <w:r w:rsidRPr="001E7871">
              <w:rPr>
                <w:rStyle w:val="a7"/>
                <w:rFonts w:ascii="Times New Roman" w:hAnsi="Times New Roman"/>
                <w:b w:val="0"/>
                <w:bCs w:val="0"/>
              </w:rPr>
              <w:t xml:space="preserve"> fluorescence intensity in F4/80⁺ BMDMs. n = 6 independent samples per group.</w:t>
            </w:r>
            <w:r w:rsidRPr="001E7871">
              <w:rPr>
                <w:rStyle w:val="a7"/>
                <w:rFonts w:ascii="Times New Roman" w:hAnsi="Times New Roman"/>
                <w:b w:val="0"/>
                <w:bCs w:val="0"/>
              </w:rPr>
              <w:br/>
              <w:t>Data are presented as mean ± SD. ns, not significant.</w:t>
            </w:r>
          </w:p>
          <w:p w:rsidR="002A6C12" w:rsidRPr="001E7871" w:rsidRDefault="002A6C12">
            <w:pPr>
              <w:rPr>
                <w:rFonts w:ascii="Times New Roman" w:hAnsi="Times New Roman"/>
              </w:rPr>
            </w:pPr>
          </w:p>
        </w:tc>
      </w:tr>
      <w:tr w:rsidR="002A6C12" w:rsidRPr="001E7871">
        <w:tc>
          <w:tcPr>
            <w:tcW w:w="8296" w:type="dxa"/>
          </w:tcPr>
          <w:p w:rsidR="002A6C12" w:rsidRPr="001E7871" w:rsidRDefault="00000000">
            <w:pPr>
              <w:rPr>
                <w:rFonts w:ascii="Times New Roman" w:hAnsi="Times New Roman"/>
              </w:rPr>
            </w:pPr>
            <w:r w:rsidRPr="001E7871">
              <w:rPr>
                <w:rFonts w:ascii="Times New Roman" w:hAnsi="Times New Roman"/>
                <w:noProof/>
              </w:rPr>
              <w:drawing>
                <wp:inline distT="0" distB="0" distL="114300" distR="114300">
                  <wp:extent cx="5128260" cy="1628140"/>
                  <wp:effectExtent l="0" t="0" r="2540" b="22860"/>
                  <wp:docPr id="6" name="图片 6" descr="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6"/>
                          <pic:cNvPicPr>
                            <a:picLocks noChangeAspect="1"/>
                          </pic:cNvPicPr>
                        </pic:nvPicPr>
                        <pic:blipFill>
                          <a:blip r:embed="rId11"/>
                          <a:stretch>
                            <a:fillRect/>
                          </a:stretch>
                        </pic:blipFill>
                        <pic:spPr>
                          <a:xfrm>
                            <a:off x="0" y="0"/>
                            <a:ext cx="5128260" cy="1628140"/>
                          </a:xfrm>
                          <a:prstGeom prst="rect">
                            <a:avLst/>
                          </a:prstGeom>
                        </pic:spPr>
                      </pic:pic>
                    </a:graphicData>
                  </a:graphic>
                </wp:inline>
              </w:drawing>
            </w:r>
          </w:p>
        </w:tc>
      </w:tr>
    </w:tbl>
    <w:p w:rsidR="002A6C12" w:rsidRPr="001E7871" w:rsidRDefault="00000000">
      <w:pPr>
        <w:rPr>
          <w:rFonts w:ascii="Times New Roman" w:hAnsi="Times New Roman"/>
        </w:rPr>
      </w:pPr>
      <w:r w:rsidRPr="001E7871">
        <w:rPr>
          <w:rFonts w:ascii="Times New Roman" w:hAnsi="Times New Roman"/>
        </w:rPr>
        <w:tab/>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2A6C12" w:rsidRPr="001E7871">
        <w:tc>
          <w:tcPr>
            <w:tcW w:w="8296" w:type="dxa"/>
          </w:tcPr>
          <w:p w:rsidR="002A6C12" w:rsidRPr="001E7871" w:rsidRDefault="00000000">
            <w:pPr>
              <w:rPr>
                <w:rFonts w:ascii="Times New Roman" w:hAnsi="Times New Roman"/>
              </w:rPr>
            </w:pPr>
            <w:r w:rsidRPr="001E7871">
              <w:rPr>
                <w:rStyle w:val="a7"/>
                <w:rFonts w:ascii="Times New Roman" w:hAnsi="Times New Roman"/>
                <w:b w:val="0"/>
                <w:bCs w:val="0"/>
              </w:rPr>
              <w:t>Fig.S7 CTSS inhibition reduces oligodendrocyte lipid-receiving programs and macrophage-derived lipid support for OPC differentiation.</w:t>
            </w:r>
            <w:r w:rsidRPr="001E7871">
              <w:rPr>
                <w:rFonts w:ascii="Times New Roman" w:hAnsi="Times New Roman"/>
              </w:rPr>
              <w:br/>
            </w:r>
            <w:r w:rsidRPr="001E7871">
              <w:rPr>
                <w:rStyle w:val="a7"/>
                <w:rFonts w:ascii="Times New Roman" w:hAnsi="Times New Roman"/>
                <w:b w:val="0"/>
                <w:bCs w:val="0"/>
              </w:rPr>
              <w:t>A</w:t>
            </w:r>
            <w:r w:rsidRPr="001E7871">
              <w:rPr>
                <w:rFonts w:ascii="Times New Roman" w:hAnsi="Times New Roman"/>
              </w:rPr>
              <w:t xml:space="preserve"> UMAP visualization of oligodendrocyte-lineage subclusters identified from single-cell RNA-seq data.</w:t>
            </w:r>
            <w:r w:rsidRPr="001E7871">
              <w:rPr>
                <w:rFonts w:ascii="Times New Roman" w:hAnsi="Times New Roman"/>
              </w:rPr>
              <w:br/>
            </w:r>
            <w:r w:rsidRPr="001E7871">
              <w:rPr>
                <w:rStyle w:val="a7"/>
                <w:rFonts w:ascii="Times New Roman" w:hAnsi="Times New Roman"/>
                <w:b w:val="0"/>
                <w:bCs w:val="0"/>
              </w:rPr>
              <w:lastRenderedPageBreak/>
              <w:t>B</w:t>
            </w:r>
            <w:r w:rsidRPr="001E7871">
              <w:rPr>
                <w:rFonts w:ascii="Times New Roman" w:hAnsi="Times New Roman"/>
              </w:rPr>
              <w:t xml:space="preserve"> </w:t>
            </w:r>
            <w:proofErr w:type="spellStart"/>
            <w:r w:rsidRPr="001E7871">
              <w:rPr>
                <w:rFonts w:ascii="Times New Roman" w:hAnsi="Times New Roman"/>
              </w:rPr>
              <w:t>Pseudotime</w:t>
            </w:r>
            <w:proofErr w:type="spellEnd"/>
            <w:r w:rsidRPr="001E7871">
              <w:rPr>
                <w:rFonts w:ascii="Times New Roman" w:hAnsi="Times New Roman"/>
              </w:rPr>
              <w:t xml:space="preserve"> trajectory analysis showing the inferred progression of oligodendrocyte-lineage subclusters.</w:t>
            </w:r>
            <w:r w:rsidRPr="001E7871">
              <w:rPr>
                <w:rFonts w:ascii="Times New Roman" w:hAnsi="Times New Roman"/>
              </w:rPr>
              <w:br/>
            </w:r>
            <w:r w:rsidRPr="001E7871">
              <w:rPr>
                <w:rStyle w:val="a7"/>
                <w:rFonts w:ascii="Times New Roman" w:hAnsi="Times New Roman"/>
                <w:b w:val="0"/>
                <w:bCs w:val="0"/>
              </w:rPr>
              <w:t>C</w:t>
            </w:r>
            <w:r w:rsidRPr="001E7871">
              <w:rPr>
                <w:rFonts w:ascii="Times New Roman" w:hAnsi="Times New Roman"/>
              </w:rPr>
              <w:t xml:space="preserve"> Dot plot showing representative marker genes used for oligodendrocyte-lineage subcluster annotation.</w:t>
            </w:r>
            <w:r w:rsidRPr="001E7871">
              <w:rPr>
                <w:rFonts w:ascii="Times New Roman" w:hAnsi="Times New Roman"/>
              </w:rPr>
              <w:br/>
            </w:r>
            <w:r w:rsidRPr="001E7871">
              <w:rPr>
                <w:rStyle w:val="a7"/>
                <w:rFonts w:ascii="Times New Roman" w:hAnsi="Times New Roman"/>
                <w:b w:val="0"/>
                <w:bCs w:val="0"/>
              </w:rPr>
              <w:t>D</w:t>
            </w:r>
            <w:r w:rsidRPr="001E7871">
              <w:rPr>
                <w:rFonts w:ascii="Times New Roman" w:hAnsi="Times New Roman"/>
              </w:rPr>
              <w:t xml:space="preserve"> Functional enrichment analysis of downregulated pathways in oligodendrocyte-lineage cells after CTSS inhibition, highlighting lipid- and myelination-related biological processes.</w:t>
            </w:r>
            <w:r w:rsidRPr="001E7871">
              <w:rPr>
                <w:rFonts w:ascii="Times New Roman" w:hAnsi="Times New Roman"/>
              </w:rPr>
              <w:br/>
            </w:r>
            <w:r w:rsidRPr="001E7871">
              <w:rPr>
                <w:rStyle w:val="a7"/>
                <w:rFonts w:ascii="Times New Roman" w:hAnsi="Times New Roman"/>
                <w:b w:val="0"/>
                <w:bCs w:val="0"/>
              </w:rPr>
              <w:t>E</w:t>
            </w:r>
            <w:r w:rsidRPr="001E7871">
              <w:rPr>
                <w:rFonts w:ascii="Times New Roman" w:hAnsi="Times New Roman"/>
              </w:rPr>
              <w:t xml:space="preserve"> UMAP feature plot showing </w:t>
            </w:r>
            <w:proofErr w:type="spellStart"/>
            <w:r w:rsidRPr="001E7871">
              <w:rPr>
                <w:rFonts w:ascii="Times New Roman" w:hAnsi="Times New Roman"/>
              </w:rPr>
              <w:t>Vldlr</w:t>
            </w:r>
            <w:proofErr w:type="spellEnd"/>
            <w:r w:rsidRPr="001E7871">
              <w:rPr>
                <w:rFonts w:ascii="Times New Roman" w:hAnsi="Times New Roman"/>
              </w:rPr>
              <w:t xml:space="preserve"> expression in oligodendrocyte-lineage cells.</w:t>
            </w:r>
            <w:r w:rsidRPr="001E7871">
              <w:rPr>
                <w:rFonts w:ascii="Times New Roman" w:hAnsi="Times New Roman"/>
              </w:rPr>
              <w:br/>
            </w:r>
            <w:r w:rsidRPr="001E7871">
              <w:rPr>
                <w:rStyle w:val="a7"/>
                <w:rFonts w:ascii="Times New Roman" w:hAnsi="Times New Roman"/>
                <w:b w:val="0"/>
                <w:bCs w:val="0"/>
              </w:rPr>
              <w:t>F</w:t>
            </w:r>
            <w:r w:rsidRPr="001E7871">
              <w:rPr>
                <w:rFonts w:ascii="Times New Roman" w:hAnsi="Times New Roman"/>
              </w:rPr>
              <w:t xml:space="preserve"> Dot plot showing reduced expression of lipid receptor–related genes, including Lrp1, </w:t>
            </w:r>
            <w:proofErr w:type="spellStart"/>
            <w:r w:rsidRPr="001E7871">
              <w:rPr>
                <w:rFonts w:ascii="Times New Roman" w:hAnsi="Times New Roman"/>
              </w:rPr>
              <w:t>Vldlr</w:t>
            </w:r>
            <w:proofErr w:type="spellEnd"/>
            <w:r w:rsidRPr="001E7871">
              <w:rPr>
                <w:rFonts w:ascii="Times New Roman" w:hAnsi="Times New Roman"/>
              </w:rPr>
              <w:t xml:space="preserve">, and </w:t>
            </w:r>
            <w:proofErr w:type="spellStart"/>
            <w:r w:rsidRPr="001E7871">
              <w:rPr>
                <w:rFonts w:ascii="Times New Roman" w:hAnsi="Times New Roman"/>
              </w:rPr>
              <w:t>Ldlr</w:t>
            </w:r>
            <w:proofErr w:type="spellEnd"/>
            <w:r w:rsidRPr="001E7871">
              <w:rPr>
                <w:rFonts w:ascii="Times New Roman" w:hAnsi="Times New Roman"/>
              </w:rPr>
              <w:t>, in oligodendrocyte-lineage cells after CTSS inhibition.</w:t>
            </w:r>
            <w:r w:rsidRPr="001E7871">
              <w:rPr>
                <w:rFonts w:ascii="Times New Roman" w:hAnsi="Times New Roman"/>
              </w:rPr>
              <w:br/>
            </w:r>
            <w:r w:rsidRPr="001E7871">
              <w:rPr>
                <w:rStyle w:val="a7"/>
                <w:rFonts w:ascii="Times New Roman" w:hAnsi="Times New Roman"/>
                <w:b w:val="0"/>
                <w:bCs w:val="0"/>
              </w:rPr>
              <w:t>G–H</w:t>
            </w:r>
            <w:r w:rsidRPr="001E7871">
              <w:rPr>
                <w:rFonts w:ascii="Times New Roman" w:hAnsi="Times New Roman"/>
              </w:rPr>
              <w:t xml:space="preserve"> Representative Western blots (</w:t>
            </w:r>
            <w:r w:rsidRPr="001E7871">
              <w:rPr>
                <w:rStyle w:val="a7"/>
                <w:rFonts w:ascii="Times New Roman" w:hAnsi="Times New Roman"/>
                <w:b w:val="0"/>
                <w:bCs w:val="0"/>
              </w:rPr>
              <w:t>G</w:t>
            </w:r>
            <w:r w:rsidRPr="001E7871">
              <w:rPr>
                <w:rFonts w:ascii="Times New Roman" w:hAnsi="Times New Roman"/>
              </w:rPr>
              <w:t>) and quantification (</w:t>
            </w:r>
            <w:r w:rsidRPr="001E7871">
              <w:rPr>
                <w:rStyle w:val="a7"/>
                <w:rFonts w:ascii="Times New Roman" w:hAnsi="Times New Roman"/>
                <w:b w:val="0"/>
                <w:bCs w:val="0"/>
              </w:rPr>
              <w:t>H</w:t>
            </w:r>
            <w:r w:rsidRPr="001E7871">
              <w:rPr>
                <w:rFonts w:ascii="Times New Roman" w:hAnsi="Times New Roman"/>
              </w:rPr>
              <w:t>) of LDLR and VLDLR protein levels in perihematomal tissues from Vehicle- and Inhibitor-treated mice after ICH. Data are presented as mean ± SD. *P &lt; 0.05.</w:t>
            </w:r>
          </w:p>
          <w:p w:rsidR="002A6C12" w:rsidRPr="001E7871" w:rsidRDefault="002A6C12">
            <w:pPr>
              <w:rPr>
                <w:rFonts w:ascii="Times New Roman" w:hAnsi="Times New Roman"/>
              </w:rPr>
            </w:pPr>
          </w:p>
        </w:tc>
      </w:tr>
      <w:tr w:rsidR="002A6C12" w:rsidRPr="001E7871">
        <w:tc>
          <w:tcPr>
            <w:tcW w:w="8296" w:type="dxa"/>
          </w:tcPr>
          <w:p w:rsidR="002A6C12" w:rsidRPr="001E7871" w:rsidRDefault="002A6C12">
            <w:pPr>
              <w:rPr>
                <w:rFonts w:ascii="Times New Roman" w:hAnsi="Times New Roman"/>
              </w:rPr>
            </w:pPr>
          </w:p>
          <w:p w:rsidR="002A6C12" w:rsidRPr="001E7871" w:rsidRDefault="00000000">
            <w:pPr>
              <w:jc w:val="center"/>
              <w:rPr>
                <w:rFonts w:ascii="Times New Roman" w:hAnsi="Times New Roman"/>
              </w:rPr>
            </w:pPr>
            <w:r w:rsidRPr="001E7871">
              <w:rPr>
                <w:rFonts w:ascii="Times New Roman" w:hAnsi="Times New Roman"/>
                <w:noProof/>
              </w:rPr>
              <w:drawing>
                <wp:inline distT="0" distB="0" distL="0" distR="0">
                  <wp:extent cx="5274310" cy="477647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4776470"/>
                          </a:xfrm>
                          <a:prstGeom prst="rect">
                            <a:avLst/>
                          </a:prstGeom>
                        </pic:spPr>
                      </pic:pic>
                    </a:graphicData>
                  </a:graphic>
                </wp:inline>
              </w:drawing>
            </w:r>
          </w:p>
          <w:p w:rsidR="002A6C12" w:rsidRPr="001E7871" w:rsidRDefault="002A6C12">
            <w:pPr>
              <w:rPr>
                <w:rFonts w:ascii="Times New Roman" w:hAnsi="Times New Roman"/>
              </w:rPr>
            </w:pPr>
          </w:p>
        </w:tc>
      </w:tr>
    </w:tbl>
    <w:p w:rsidR="002A6C12" w:rsidRPr="001E7871" w:rsidRDefault="002A6C12">
      <w:pPr>
        <w:rPr>
          <w:rFonts w:ascii="Times New Roman" w:hAnsi="Times New Roman"/>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2A6C12" w:rsidRPr="001E7871">
        <w:tc>
          <w:tcPr>
            <w:tcW w:w="8296" w:type="dxa"/>
          </w:tcPr>
          <w:p w:rsidR="00C751CC" w:rsidRPr="001E7871" w:rsidRDefault="00C751CC" w:rsidP="00C751CC">
            <w:pPr>
              <w:rPr>
                <w:rFonts w:ascii="Times New Roman" w:hAnsi="Times New Roman"/>
              </w:rPr>
            </w:pPr>
            <w:r w:rsidRPr="001E7871">
              <w:rPr>
                <w:rFonts w:ascii="Times New Roman" w:hAnsi="Times New Roman"/>
              </w:rPr>
              <w:t>Fig. S8. Hematoma volume and iron deposition after ICH in Vehicle- and CTSS inhibitor-treated mice.</w:t>
            </w:r>
          </w:p>
          <w:p w:rsidR="002A6C12" w:rsidRPr="001E7871" w:rsidRDefault="001E7871" w:rsidP="00C751CC">
            <w:pPr>
              <w:rPr>
                <w:rFonts w:ascii="Times New Roman" w:hAnsi="Times New Roman"/>
              </w:rPr>
            </w:pPr>
            <w:r w:rsidRPr="001E7871">
              <w:rPr>
                <w:rStyle w:val="a7"/>
                <w:rFonts w:ascii="Times New Roman" w:hAnsi="Times New Roman"/>
                <w:b w:val="0"/>
                <w:bCs w:val="0"/>
              </w:rPr>
              <w:t>A</w:t>
            </w:r>
            <w:r w:rsidRPr="001E7871">
              <w:rPr>
                <w:rFonts w:ascii="Times New Roman" w:hAnsi="Times New Roman"/>
              </w:rPr>
              <w:t xml:space="preserve"> Representative coronal brain slices at day 7 after ICH showing gross hematoma distribution in </w:t>
            </w:r>
            <w:r w:rsidRPr="001E7871">
              <w:rPr>
                <w:rFonts w:ascii="Times New Roman" w:hAnsi="Times New Roman"/>
              </w:rPr>
              <w:lastRenderedPageBreak/>
              <w:t>Vehicle- (top row) and Inhibitor-treated (bottom row) mice.</w:t>
            </w:r>
            <w:r w:rsidRPr="001E7871">
              <w:rPr>
                <w:rFonts w:ascii="Times New Roman" w:hAnsi="Times New Roman"/>
              </w:rPr>
              <w:br/>
            </w:r>
            <w:r w:rsidRPr="001E7871">
              <w:rPr>
                <w:rStyle w:val="a7"/>
                <w:rFonts w:ascii="Times New Roman" w:hAnsi="Times New Roman"/>
                <w:b w:val="0"/>
                <w:bCs w:val="0"/>
              </w:rPr>
              <w:t>B</w:t>
            </w:r>
            <w:r w:rsidRPr="001E7871">
              <w:rPr>
                <w:rFonts w:ascii="Times New Roman" w:hAnsi="Times New Roman"/>
              </w:rPr>
              <w:t xml:space="preserve"> Quantification of hematoma volume from coronal slices (n = 5 per group). Data are presented as mean ± SD; statistical analysis was performed using unpaired t-test.</w:t>
            </w:r>
            <w:r w:rsidRPr="001E7871">
              <w:rPr>
                <w:rFonts w:ascii="Times New Roman" w:hAnsi="Times New Roman"/>
              </w:rPr>
              <w:br/>
            </w:r>
            <w:r w:rsidRPr="001E7871">
              <w:rPr>
                <w:rStyle w:val="a7"/>
                <w:rFonts w:ascii="Times New Roman" w:hAnsi="Times New Roman"/>
                <w:b w:val="0"/>
                <w:bCs w:val="0"/>
              </w:rPr>
              <w:t>C</w:t>
            </w:r>
            <w:r w:rsidRPr="001E7871">
              <w:rPr>
                <w:rFonts w:ascii="Times New Roman" w:hAnsi="Times New Roman"/>
              </w:rPr>
              <w:t xml:space="preserve"> Representative </w:t>
            </w:r>
            <w:proofErr w:type="spellStart"/>
            <w:r w:rsidRPr="001E7871">
              <w:rPr>
                <w:rFonts w:ascii="Times New Roman" w:hAnsi="Times New Roman"/>
              </w:rPr>
              <w:t>Perls</w:t>
            </w:r>
            <w:proofErr w:type="spellEnd"/>
            <w:r w:rsidRPr="001E7871">
              <w:rPr>
                <w:rFonts w:ascii="Times New Roman" w:hAnsi="Times New Roman"/>
              </w:rPr>
              <w:t>’ Prussian blue-stained sections at day 7 (left) and day 14 (right) after ICH, illustrating iron deposition in perihematomal regions.</w:t>
            </w:r>
            <w:r w:rsidRPr="001E7871">
              <w:rPr>
                <w:rFonts w:ascii="Times New Roman" w:hAnsi="Times New Roman"/>
              </w:rPr>
              <w:br/>
            </w:r>
            <w:r w:rsidRPr="001E7871">
              <w:rPr>
                <w:rStyle w:val="a7"/>
                <w:rFonts w:ascii="Times New Roman" w:hAnsi="Times New Roman"/>
                <w:b w:val="0"/>
                <w:bCs w:val="0"/>
              </w:rPr>
              <w:t>D–E</w:t>
            </w:r>
            <w:r w:rsidRPr="001E7871">
              <w:rPr>
                <w:rFonts w:ascii="Times New Roman" w:hAnsi="Times New Roman"/>
              </w:rPr>
              <w:t xml:space="preserve"> Quantification of </w:t>
            </w:r>
            <w:proofErr w:type="spellStart"/>
            <w:r w:rsidRPr="001E7871">
              <w:rPr>
                <w:rFonts w:ascii="Times New Roman" w:hAnsi="Times New Roman"/>
              </w:rPr>
              <w:t>Perls</w:t>
            </w:r>
            <w:proofErr w:type="spellEnd"/>
            <w:r w:rsidRPr="001E7871">
              <w:rPr>
                <w:rFonts w:ascii="Times New Roman" w:hAnsi="Times New Roman"/>
              </w:rPr>
              <w:t xml:space="preserve">-positive area in perihematomal regions at day 7 (D) and day 14 (E). n = 5 per group. Data are presented as mean ± SD. No significant differences were observed between Vehicle- and CTSS inhibitor-treated groups at either time point. Scale bars: 1 mm for gross slices, 500 </w:t>
            </w:r>
            <w:proofErr w:type="spellStart"/>
            <w:r w:rsidRPr="001E7871">
              <w:rPr>
                <w:rFonts w:ascii="Times New Roman" w:hAnsi="Times New Roman"/>
              </w:rPr>
              <w:t>μm</w:t>
            </w:r>
            <w:proofErr w:type="spellEnd"/>
            <w:r w:rsidRPr="001E7871">
              <w:rPr>
                <w:rFonts w:ascii="Times New Roman" w:hAnsi="Times New Roman"/>
              </w:rPr>
              <w:t xml:space="preserve"> for </w:t>
            </w:r>
            <w:proofErr w:type="spellStart"/>
            <w:r w:rsidRPr="001E7871">
              <w:rPr>
                <w:rFonts w:ascii="Times New Roman" w:hAnsi="Times New Roman"/>
              </w:rPr>
              <w:t>Perls</w:t>
            </w:r>
            <w:proofErr w:type="spellEnd"/>
            <w:r w:rsidRPr="001E7871">
              <w:rPr>
                <w:rFonts w:ascii="Times New Roman" w:hAnsi="Times New Roman"/>
              </w:rPr>
              <w:t>-stained sections.</w:t>
            </w:r>
          </w:p>
        </w:tc>
      </w:tr>
      <w:tr w:rsidR="002A6C12" w:rsidRPr="001E7871">
        <w:tc>
          <w:tcPr>
            <w:tcW w:w="8296" w:type="dxa"/>
          </w:tcPr>
          <w:p w:rsidR="002A6C12" w:rsidRPr="001E7871" w:rsidRDefault="002A6C12">
            <w:pPr>
              <w:rPr>
                <w:rFonts w:ascii="Times New Roman" w:hAnsi="Times New Roman"/>
              </w:rPr>
            </w:pPr>
          </w:p>
          <w:p w:rsidR="002A6C12" w:rsidRPr="001E7871" w:rsidRDefault="00C751CC">
            <w:pPr>
              <w:jc w:val="center"/>
              <w:rPr>
                <w:rFonts w:ascii="Times New Roman" w:hAnsi="Times New Roman"/>
              </w:rPr>
            </w:pPr>
            <w:r w:rsidRPr="001E7871">
              <w:rPr>
                <w:rFonts w:ascii="Times New Roman" w:hAnsi="Times New Roman"/>
                <w:noProof/>
              </w:rPr>
              <w:drawing>
                <wp:inline distT="0" distB="0" distL="0" distR="0">
                  <wp:extent cx="5274310" cy="386461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864610"/>
                          </a:xfrm>
                          <a:prstGeom prst="rect">
                            <a:avLst/>
                          </a:prstGeom>
                        </pic:spPr>
                      </pic:pic>
                    </a:graphicData>
                  </a:graphic>
                </wp:inline>
              </w:drawing>
            </w:r>
          </w:p>
          <w:p w:rsidR="002A6C12" w:rsidRPr="001E7871" w:rsidRDefault="002A6C12">
            <w:pPr>
              <w:rPr>
                <w:rFonts w:ascii="Times New Roman" w:hAnsi="Times New Roman"/>
              </w:rPr>
            </w:pPr>
          </w:p>
        </w:tc>
      </w:tr>
    </w:tbl>
    <w:p w:rsidR="002A6C12" w:rsidRPr="001E7871" w:rsidRDefault="002A6C12">
      <w:pPr>
        <w:rPr>
          <w:rFonts w:ascii="Times New Roman" w:hAnsi="Times New Roman"/>
        </w:rPr>
      </w:pPr>
    </w:p>
    <w:p w:rsidR="002A6C12" w:rsidRPr="001E7871" w:rsidRDefault="002A6C12">
      <w:pPr>
        <w:rPr>
          <w:rFonts w:ascii="Times New Roman" w:hAnsi="Times New Roman"/>
        </w:rPr>
      </w:pPr>
    </w:p>
    <w:p w:rsidR="002A6C12" w:rsidRPr="001E7871" w:rsidRDefault="002A6C12">
      <w:pPr>
        <w:rPr>
          <w:rFonts w:ascii="Times New Roman" w:hAnsi="Times New Roman"/>
        </w:rPr>
      </w:pPr>
    </w:p>
    <w:p w:rsidR="002A6C12" w:rsidRPr="001E7871" w:rsidRDefault="002A6C12">
      <w:pPr>
        <w:rPr>
          <w:rFonts w:ascii="Times New Roman" w:hAnsi="Times New Roman"/>
        </w:rPr>
      </w:pPr>
    </w:p>
    <w:p w:rsidR="002A6C12" w:rsidRPr="001E7871" w:rsidRDefault="002A6C12">
      <w:pPr>
        <w:rPr>
          <w:rFonts w:ascii="Times New Roman" w:hAnsi="Times New Roman"/>
        </w:rPr>
      </w:pPr>
    </w:p>
    <w:p w:rsidR="002A6C12" w:rsidRPr="001E7871" w:rsidRDefault="002A6C12">
      <w:pPr>
        <w:rPr>
          <w:rFonts w:ascii="Times New Roman" w:hAnsi="Times New Roman"/>
        </w:rPr>
      </w:pPr>
    </w:p>
    <w:p w:rsidR="002A6C12" w:rsidRPr="001E7871" w:rsidRDefault="002A6C12">
      <w:pPr>
        <w:rPr>
          <w:rFonts w:ascii="Times New Roman" w:hAnsi="Times New Roman"/>
        </w:rPr>
      </w:pPr>
    </w:p>
    <w:p w:rsidR="002A6C12" w:rsidRPr="001E7871" w:rsidRDefault="002A6C12">
      <w:pPr>
        <w:rPr>
          <w:rFonts w:ascii="Times New Roman" w:hAnsi="Times New Roman"/>
        </w:rPr>
      </w:pPr>
    </w:p>
    <w:p w:rsidR="002A6C12" w:rsidRPr="001E7871" w:rsidRDefault="002A6C12">
      <w:pPr>
        <w:rPr>
          <w:rFonts w:ascii="Times New Roman" w:hAnsi="Times New Roman"/>
        </w:rPr>
      </w:pPr>
    </w:p>
    <w:p w:rsidR="002A6C12" w:rsidRPr="001E7871" w:rsidRDefault="002A6C12">
      <w:pPr>
        <w:rPr>
          <w:rFonts w:ascii="Times New Roman" w:hAnsi="Times New Roman"/>
        </w:rPr>
      </w:pPr>
    </w:p>
    <w:p w:rsidR="002A6C12" w:rsidRPr="001E7871" w:rsidRDefault="002A6C12">
      <w:pPr>
        <w:rPr>
          <w:rFonts w:ascii="Times New Roman" w:hAnsi="Times New Roman"/>
        </w:rPr>
      </w:pPr>
    </w:p>
    <w:p w:rsidR="002A6C12" w:rsidRDefault="002A6C12">
      <w:pPr>
        <w:rPr>
          <w:rFonts w:ascii="Times New Roman" w:hAnsi="Times New Roman"/>
        </w:rPr>
      </w:pPr>
    </w:p>
    <w:p w:rsidR="00DF5823" w:rsidRPr="001E7871" w:rsidRDefault="00DF5823">
      <w:pPr>
        <w:rPr>
          <w:rFonts w:ascii="Times New Roman" w:hAnsi="Times New Roman"/>
        </w:rPr>
      </w:pPr>
    </w:p>
    <w:p w:rsidR="002A6C12" w:rsidRDefault="00000000">
      <w:pPr>
        <w:rPr>
          <w:rFonts w:ascii="Times New Roman" w:hAnsi="Times New Roman"/>
        </w:rPr>
      </w:pPr>
      <w:r w:rsidRPr="001E7871">
        <w:rPr>
          <w:rFonts w:ascii="Times New Roman" w:hAnsi="Times New Roman"/>
        </w:rPr>
        <w:lastRenderedPageBreak/>
        <w:t>Blot images</w:t>
      </w:r>
    </w:p>
    <w:p w:rsidR="00D455CF" w:rsidRPr="001E7871" w:rsidRDefault="00D721FE">
      <w:pPr>
        <w:rPr>
          <w:rFonts w:ascii="Times New Roman" w:hAnsi="Times New Roman"/>
        </w:rPr>
      </w:pPr>
      <w:r w:rsidRPr="00D721FE">
        <w:rPr>
          <w:rFonts w:ascii="Times New Roman" w:hAnsi="Times New Roman"/>
        </w:rPr>
        <w:t>For each Western blot experiment, target proteins and the corresponding β-Actin or GAPDH loading controls were detected on the same membrane.</w:t>
      </w:r>
    </w:p>
    <w:tbl>
      <w:tblPr>
        <w:tblStyle w:val="a6"/>
        <w:tblW w:w="0" w:type="auto"/>
        <w:tblLook w:val="04A0" w:firstRow="1" w:lastRow="0" w:firstColumn="1" w:lastColumn="0" w:noHBand="0" w:noVBand="1"/>
      </w:tblPr>
      <w:tblGrid>
        <w:gridCol w:w="8296"/>
      </w:tblGrid>
      <w:tr w:rsidR="002A6C12" w:rsidRPr="001E7871">
        <w:tc>
          <w:tcPr>
            <w:tcW w:w="8296" w:type="dxa"/>
          </w:tcPr>
          <w:p w:rsidR="002A6C12" w:rsidRPr="001E7871" w:rsidRDefault="00000000">
            <w:pPr>
              <w:tabs>
                <w:tab w:val="left" w:pos="716"/>
              </w:tabs>
              <w:rPr>
                <w:rFonts w:ascii="Times New Roman" w:hAnsi="Times New Roman"/>
              </w:rPr>
            </w:pPr>
            <w:r w:rsidRPr="001E7871">
              <w:rPr>
                <w:rFonts w:ascii="Times New Roman" w:hAnsi="Times New Roman"/>
              </w:rPr>
              <w:t>Fig 1A</w:t>
            </w:r>
          </w:p>
        </w:tc>
      </w:tr>
      <w:tr w:rsidR="002A6C12" w:rsidRPr="001E7871">
        <w:tc>
          <w:tcPr>
            <w:tcW w:w="8296" w:type="dxa"/>
          </w:tcPr>
          <w:p w:rsidR="002A6C12" w:rsidRPr="001E7871" w:rsidRDefault="007E1BF5">
            <w:pPr>
              <w:tabs>
                <w:tab w:val="left" w:pos="716"/>
              </w:tabs>
              <w:rPr>
                <w:rFonts w:ascii="Times New Roman" w:hAnsi="Times New Roman"/>
              </w:rPr>
            </w:pPr>
            <w:r>
              <w:rPr>
                <w:rFonts w:ascii="Times New Roman" w:hAnsi="Times New Roman"/>
                <w:noProof/>
              </w:rPr>
              <w:drawing>
                <wp:inline distT="0" distB="0" distL="0" distR="0">
                  <wp:extent cx="5016500" cy="48768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16500" cy="4876800"/>
                          </a:xfrm>
                          <a:prstGeom prst="rect">
                            <a:avLst/>
                          </a:prstGeom>
                        </pic:spPr>
                      </pic:pic>
                    </a:graphicData>
                  </a:graphic>
                </wp:inline>
              </w:drawing>
            </w:r>
          </w:p>
        </w:tc>
      </w:tr>
      <w:tr w:rsidR="002A6C12" w:rsidRPr="001E7871">
        <w:tc>
          <w:tcPr>
            <w:tcW w:w="8296" w:type="dxa"/>
          </w:tcPr>
          <w:p w:rsidR="002A6C12" w:rsidRPr="001E7871" w:rsidRDefault="00000000">
            <w:pPr>
              <w:tabs>
                <w:tab w:val="left" w:pos="716"/>
              </w:tabs>
              <w:rPr>
                <w:rFonts w:ascii="Times New Roman" w:hAnsi="Times New Roman"/>
              </w:rPr>
            </w:pPr>
            <w:bookmarkStart w:id="3" w:name="_Hlk218688404"/>
            <w:r w:rsidRPr="001E7871">
              <w:rPr>
                <w:rFonts w:ascii="Times New Roman" w:hAnsi="Times New Roman"/>
              </w:rPr>
              <w:t>Fig 4</w:t>
            </w:r>
            <w:r w:rsidR="00F3172C">
              <w:rPr>
                <w:rFonts w:ascii="Times New Roman" w:hAnsi="Times New Roman"/>
              </w:rPr>
              <w:t>C</w:t>
            </w:r>
          </w:p>
        </w:tc>
      </w:tr>
      <w:bookmarkEnd w:id="3"/>
      <w:tr w:rsidR="002A6C12" w:rsidRPr="001E7871">
        <w:tc>
          <w:tcPr>
            <w:tcW w:w="8296" w:type="dxa"/>
          </w:tcPr>
          <w:p w:rsidR="002A6C12" w:rsidRPr="001E7871" w:rsidRDefault="00DF5823">
            <w:pPr>
              <w:tabs>
                <w:tab w:val="left" w:pos="716"/>
              </w:tabs>
              <w:rPr>
                <w:rFonts w:ascii="Times New Roman" w:hAnsi="Times New Roman"/>
              </w:rPr>
            </w:pPr>
            <w:r>
              <w:rPr>
                <w:rFonts w:ascii="Times New Roman" w:hAnsi="Times New Roman"/>
                <w:noProof/>
              </w:rPr>
              <w:lastRenderedPageBreak/>
              <w:drawing>
                <wp:inline distT="0" distB="0" distL="0" distR="0">
                  <wp:extent cx="5194300" cy="49403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94300" cy="4940300"/>
                          </a:xfrm>
                          <a:prstGeom prst="rect">
                            <a:avLst/>
                          </a:prstGeom>
                        </pic:spPr>
                      </pic:pic>
                    </a:graphicData>
                  </a:graphic>
                </wp:inline>
              </w:drawing>
            </w:r>
          </w:p>
        </w:tc>
      </w:tr>
      <w:tr w:rsidR="002A6C12" w:rsidRPr="001E7871">
        <w:tc>
          <w:tcPr>
            <w:tcW w:w="8296" w:type="dxa"/>
          </w:tcPr>
          <w:p w:rsidR="002A6C12" w:rsidRPr="001E7871" w:rsidRDefault="00000000">
            <w:pPr>
              <w:tabs>
                <w:tab w:val="left" w:pos="716"/>
              </w:tabs>
              <w:rPr>
                <w:rFonts w:ascii="Times New Roman" w:hAnsi="Times New Roman"/>
              </w:rPr>
            </w:pPr>
            <w:bookmarkStart w:id="4" w:name="OLE_LINK60"/>
            <w:r w:rsidRPr="001E7871">
              <w:rPr>
                <w:rFonts w:ascii="Times New Roman" w:hAnsi="Times New Roman"/>
              </w:rPr>
              <w:t xml:space="preserve">Fig </w:t>
            </w:r>
            <w:bookmarkEnd w:id="4"/>
            <w:r w:rsidR="00F00DA1">
              <w:rPr>
                <w:rFonts w:ascii="Times New Roman" w:hAnsi="Times New Roman"/>
              </w:rPr>
              <w:t>6E</w:t>
            </w:r>
          </w:p>
        </w:tc>
      </w:tr>
      <w:tr w:rsidR="002A6C12" w:rsidRPr="001E7871">
        <w:tc>
          <w:tcPr>
            <w:tcW w:w="8296" w:type="dxa"/>
          </w:tcPr>
          <w:p w:rsidR="002A6C12" w:rsidRPr="001E7871" w:rsidRDefault="00F00DA1">
            <w:pPr>
              <w:tabs>
                <w:tab w:val="left" w:pos="716"/>
              </w:tabs>
              <w:rPr>
                <w:rFonts w:ascii="Times New Roman" w:hAnsi="Times New Roman"/>
              </w:rPr>
            </w:pPr>
            <w:r>
              <w:rPr>
                <w:rFonts w:ascii="Times New Roman" w:hAnsi="Times New Roman"/>
                <w:noProof/>
              </w:rPr>
              <w:drawing>
                <wp:inline distT="0" distB="0" distL="0" distR="0">
                  <wp:extent cx="5274310" cy="326453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3264535"/>
                          </a:xfrm>
                          <a:prstGeom prst="rect">
                            <a:avLst/>
                          </a:prstGeom>
                        </pic:spPr>
                      </pic:pic>
                    </a:graphicData>
                  </a:graphic>
                </wp:inline>
              </w:drawing>
            </w:r>
          </w:p>
        </w:tc>
      </w:tr>
      <w:tr w:rsidR="002A6C12" w:rsidRPr="001E7871">
        <w:tc>
          <w:tcPr>
            <w:tcW w:w="8296" w:type="dxa"/>
          </w:tcPr>
          <w:p w:rsidR="002A6C12" w:rsidRPr="001E7871" w:rsidRDefault="00000000">
            <w:pPr>
              <w:tabs>
                <w:tab w:val="left" w:pos="716"/>
              </w:tabs>
              <w:rPr>
                <w:rFonts w:ascii="Times New Roman" w:hAnsi="Times New Roman"/>
              </w:rPr>
            </w:pPr>
            <w:r w:rsidRPr="001E7871">
              <w:rPr>
                <w:rFonts w:ascii="Times New Roman" w:hAnsi="Times New Roman"/>
              </w:rPr>
              <w:t xml:space="preserve">Fig </w:t>
            </w:r>
            <w:r w:rsidR="00F00DA1">
              <w:rPr>
                <w:rFonts w:ascii="Times New Roman" w:hAnsi="Times New Roman"/>
              </w:rPr>
              <w:t>S7</w:t>
            </w:r>
          </w:p>
        </w:tc>
      </w:tr>
      <w:tr w:rsidR="002A6C12" w:rsidRPr="001E7871">
        <w:tc>
          <w:tcPr>
            <w:tcW w:w="8296" w:type="dxa"/>
          </w:tcPr>
          <w:p w:rsidR="002A6C12" w:rsidRPr="001E7871" w:rsidRDefault="00D42F2F">
            <w:pPr>
              <w:tabs>
                <w:tab w:val="left" w:pos="716"/>
              </w:tabs>
              <w:rPr>
                <w:rFonts w:ascii="Times New Roman" w:hAnsi="Times New Roman"/>
              </w:rPr>
            </w:pPr>
            <w:r>
              <w:rPr>
                <w:rFonts w:ascii="Times New Roman" w:hAnsi="Times New Roman"/>
                <w:noProof/>
              </w:rPr>
              <w:lastRenderedPageBreak/>
              <w:drawing>
                <wp:inline distT="0" distB="0" distL="0" distR="0">
                  <wp:extent cx="5274310" cy="6031230"/>
                  <wp:effectExtent l="0" t="0" r="0" b="127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6031230"/>
                          </a:xfrm>
                          <a:prstGeom prst="rect">
                            <a:avLst/>
                          </a:prstGeom>
                        </pic:spPr>
                      </pic:pic>
                    </a:graphicData>
                  </a:graphic>
                </wp:inline>
              </w:drawing>
            </w:r>
          </w:p>
        </w:tc>
      </w:tr>
    </w:tbl>
    <w:p w:rsidR="002A6C12" w:rsidRPr="001E7871" w:rsidRDefault="002A6C12">
      <w:pPr>
        <w:pStyle w:val="msolistparagraph0"/>
        <w:widowControl/>
        <w:spacing w:line="360" w:lineRule="auto"/>
        <w:ind w:firstLineChars="0" w:firstLine="0"/>
        <w:rPr>
          <w:rFonts w:ascii="Times New Roman" w:hAnsi="Times New Roman"/>
          <w:sz w:val="24"/>
        </w:rPr>
      </w:pPr>
    </w:p>
    <w:p w:rsidR="002A6C12" w:rsidRPr="001E7871" w:rsidRDefault="00000000">
      <w:pPr>
        <w:pStyle w:val="msolistparagraph0"/>
        <w:widowControl/>
        <w:spacing w:line="360" w:lineRule="auto"/>
        <w:ind w:firstLineChars="0" w:firstLine="0"/>
        <w:rPr>
          <w:rFonts w:ascii="Times New Roman" w:hAnsi="Times New Roman"/>
          <w:sz w:val="24"/>
        </w:rPr>
      </w:pPr>
      <w:r w:rsidRPr="001E7871">
        <w:rPr>
          <w:rFonts w:ascii="Times New Roman" w:hAnsi="Times New Roman"/>
          <w:sz w:val="24"/>
        </w:rPr>
        <w:t>Sup Method</w:t>
      </w:r>
    </w:p>
    <w:p w:rsidR="002A6C12" w:rsidRPr="001E7871" w:rsidRDefault="00000000">
      <w:pPr>
        <w:pStyle w:val="msolistparagraph0"/>
        <w:widowControl/>
        <w:spacing w:line="360" w:lineRule="auto"/>
        <w:ind w:firstLineChars="0" w:firstLine="0"/>
        <w:rPr>
          <w:rFonts w:ascii="Times New Roman" w:eastAsia="Times New Roman Regular" w:hAnsi="Times New Roman"/>
          <w:sz w:val="24"/>
        </w:rPr>
      </w:pPr>
      <w:r w:rsidRPr="001E7871">
        <w:rPr>
          <w:rFonts w:ascii="Times New Roman" w:eastAsia="Times New Roman Regular" w:hAnsi="Times New Roman"/>
          <w:sz w:val="24"/>
        </w:rPr>
        <w:t>Differential gene expression analysis</w:t>
      </w:r>
    </w:p>
    <w:p w:rsidR="002A6C12" w:rsidRPr="001E7871" w:rsidRDefault="00000000">
      <w:pPr>
        <w:pStyle w:val="a5"/>
        <w:widowControl/>
        <w:spacing w:line="360" w:lineRule="auto"/>
        <w:jc w:val="both"/>
        <w:rPr>
          <w:rFonts w:ascii="Times New Roman" w:eastAsia="Times New Roman Regular" w:hAnsi="Times New Roman"/>
          <w:kern w:val="2"/>
        </w:rPr>
      </w:pPr>
      <w:r w:rsidRPr="001E7871">
        <w:rPr>
          <w:rFonts w:ascii="Times New Roman" w:eastAsia="Times New Roman Regular" w:hAnsi="Times New Roman"/>
          <w:kern w:val="2"/>
        </w:rPr>
        <w:t xml:space="preserve">Differentially expressed genes (DEGs) were identified using Seurat (v5.3.0). Cells were normalized and compared across clusters or experimental groups. Genes were considered differentially expressed if they were detected in at least 25% of cells in either group, showed an absolute log2 fold change greater than 0.25, and passed multiple </w:t>
      </w:r>
      <w:r w:rsidRPr="001E7871">
        <w:rPr>
          <w:rFonts w:ascii="Times New Roman" w:eastAsia="Times New Roman Regular" w:hAnsi="Times New Roman"/>
          <w:kern w:val="2"/>
        </w:rPr>
        <w:lastRenderedPageBreak/>
        <w:t>testing correction with an adjusted P value &lt; 0.05. The resulting DEG lists were exported for subsequent functional enrichment analyses.</w:t>
      </w:r>
    </w:p>
    <w:p w:rsidR="002A6C12" w:rsidRPr="001E7871" w:rsidRDefault="002A6C12">
      <w:pPr>
        <w:pStyle w:val="a5"/>
        <w:widowControl/>
        <w:spacing w:line="360" w:lineRule="auto"/>
        <w:jc w:val="both"/>
        <w:rPr>
          <w:rFonts w:ascii="Times New Roman" w:eastAsia="Times New Roman Regular" w:hAnsi="Times New Roman"/>
          <w:kern w:val="2"/>
        </w:rPr>
      </w:pPr>
    </w:p>
    <w:p w:rsidR="002A6C12" w:rsidRPr="001E7871" w:rsidRDefault="00000000">
      <w:pPr>
        <w:pStyle w:val="msolistparagraph0"/>
        <w:widowControl/>
        <w:spacing w:line="360" w:lineRule="auto"/>
        <w:ind w:firstLineChars="0" w:firstLine="0"/>
        <w:rPr>
          <w:rFonts w:ascii="Times New Roman" w:eastAsia="Times New Roman Regular" w:hAnsi="Times New Roman"/>
          <w:sz w:val="24"/>
        </w:rPr>
      </w:pPr>
      <w:r w:rsidRPr="001E7871">
        <w:rPr>
          <w:rFonts w:ascii="Times New Roman" w:eastAsia="Times New Roman Regular" w:hAnsi="Times New Roman"/>
          <w:sz w:val="24"/>
        </w:rPr>
        <w:t>Functional enrichment analysis (GO, KEGG, GSEA)</w:t>
      </w:r>
    </w:p>
    <w:p w:rsidR="002A6C12" w:rsidRPr="001E7871" w:rsidRDefault="00000000">
      <w:pPr>
        <w:pStyle w:val="a5"/>
        <w:widowControl/>
        <w:spacing w:line="360" w:lineRule="auto"/>
        <w:jc w:val="both"/>
        <w:rPr>
          <w:rFonts w:ascii="Times New Roman" w:eastAsia="Times New Roman Regular" w:hAnsi="Times New Roman"/>
          <w:kern w:val="2"/>
        </w:rPr>
      </w:pPr>
      <w:r w:rsidRPr="001E7871">
        <w:rPr>
          <w:rFonts w:ascii="Times New Roman" w:eastAsia="Times New Roman Regular" w:hAnsi="Times New Roman"/>
          <w:kern w:val="2"/>
        </w:rPr>
        <w:t xml:space="preserve">GO biological process (BP) and KEGG pathway enrichment analyses were performed using </w:t>
      </w:r>
      <w:proofErr w:type="spellStart"/>
      <w:r w:rsidRPr="001E7871">
        <w:rPr>
          <w:rFonts w:ascii="Times New Roman" w:eastAsia="Times New Roman Regular" w:hAnsi="Times New Roman"/>
          <w:kern w:val="2"/>
        </w:rPr>
        <w:t>clusterProfiler</w:t>
      </w:r>
      <w:proofErr w:type="spellEnd"/>
      <w:r w:rsidRPr="001E7871">
        <w:rPr>
          <w:rFonts w:ascii="Times New Roman" w:eastAsia="Times New Roman Regular" w:hAnsi="Times New Roman"/>
          <w:kern w:val="2"/>
        </w:rPr>
        <w:t>, with the mouse genome as the background. Enriched terms were defined by a P value &lt; 0.05 and at least three associated genes. Activation or inhibition of pathways was further evaluated by z-score calculation. Gene set enrichment analysis (GSEA) was conducted with cluster Profiler, ranking genes by average log2 fold change between groups, and significant enrichment was defined as FDR &lt; 0.25.</w:t>
      </w:r>
    </w:p>
    <w:p w:rsidR="002A6C12" w:rsidRPr="001E7871" w:rsidRDefault="002A6C12">
      <w:pPr>
        <w:pStyle w:val="a5"/>
        <w:widowControl/>
        <w:spacing w:line="360" w:lineRule="auto"/>
        <w:jc w:val="both"/>
        <w:rPr>
          <w:rFonts w:ascii="Times New Roman" w:eastAsia="Times New Roman Regular" w:hAnsi="Times New Roman"/>
          <w:kern w:val="2"/>
        </w:rPr>
      </w:pPr>
    </w:p>
    <w:p w:rsidR="002A6C12" w:rsidRPr="001E7871" w:rsidRDefault="00000000">
      <w:pPr>
        <w:pStyle w:val="msolistparagraph0"/>
        <w:widowControl/>
        <w:spacing w:line="360" w:lineRule="auto"/>
        <w:ind w:firstLineChars="0" w:firstLine="0"/>
        <w:rPr>
          <w:rFonts w:ascii="Times New Roman" w:eastAsia="Times New Roman Regular" w:hAnsi="Times New Roman"/>
          <w:sz w:val="24"/>
        </w:rPr>
      </w:pPr>
      <w:r w:rsidRPr="001E7871">
        <w:rPr>
          <w:rFonts w:ascii="Times New Roman" w:eastAsia="Times New Roman Regular" w:hAnsi="Times New Roman"/>
          <w:sz w:val="24"/>
        </w:rPr>
        <w:t>Cell cycle classification</w:t>
      </w:r>
    </w:p>
    <w:p w:rsidR="002A6C12" w:rsidRPr="001E7871" w:rsidRDefault="00000000">
      <w:pPr>
        <w:pStyle w:val="a5"/>
        <w:widowControl/>
        <w:spacing w:line="360" w:lineRule="auto"/>
        <w:jc w:val="both"/>
        <w:rPr>
          <w:rFonts w:ascii="Times New Roman" w:eastAsia="Times New Roman Regular" w:hAnsi="Times New Roman"/>
          <w:kern w:val="2"/>
        </w:rPr>
      </w:pPr>
      <w:r w:rsidRPr="001E7871">
        <w:rPr>
          <w:rFonts w:ascii="Times New Roman" w:eastAsia="Times New Roman Regular" w:hAnsi="Times New Roman"/>
          <w:kern w:val="2"/>
        </w:rPr>
        <w:t>Cell cycle phases were determined in Seurat (v5.3.0) based on the relative expression of curated S phase and G2/M phase marker genes. Cells were assigned to G1, S, or G2/M phase, and the proportion of each phase was compared across conditions.</w:t>
      </w:r>
    </w:p>
    <w:p w:rsidR="002A6C12" w:rsidRPr="001E7871" w:rsidRDefault="002A6C12">
      <w:pPr>
        <w:pStyle w:val="a5"/>
        <w:widowControl/>
        <w:spacing w:line="360" w:lineRule="auto"/>
        <w:jc w:val="both"/>
        <w:rPr>
          <w:rFonts w:ascii="Times New Roman" w:eastAsia="Times New Roman Regular" w:hAnsi="Times New Roman"/>
          <w:kern w:val="2"/>
        </w:rPr>
      </w:pPr>
    </w:p>
    <w:p w:rsidR="002A6C12" w:rsidRPr="001E7871" w:rsidRDefault="00000000">
      <w:pPr>
        <w:pStyle w:val="msolistparagraph0"/>
        <w:widowControl/>
        <w:spacing w:line="360" w:lineRule="auto"/>
        <w:ind w:firstLineChars="0" w:firstLine="0"/>
        <w:rPr>
          <w:rFonts w:ascii="Times New Roman" w:eastAsia="Times New Roman Regular" w:hAnsi="Times New Roman"/>
          <w:sz w:val="24"/>
        </w:rPr>
      </w:pPr>
      <w:proofErr w:type="spellStart"/>
      <w:r w:rsidRPr="001E7871">
        <w:rPr>
          <w:rFonts w:ascii="Times New Roman" w:eastAsia="Times New Roman Regular" w:hAnsi="Times New Roman"/>
          <w:sz w:val="24"/>
        </w:rPr>
        <w:t>Pseudotime</w:t>
      </w:r>
      <w:proofErr w:type="spellEnd"/>
      <w:r w:rsidRPr="001E7871">
        <w:rPr>
          <w:rFonts w:ascii="Times New Roman" w:eastAsia="Times New Roman Regular" w:hAnsi="Times New Roman"/>
          <w:sz w:val="24"/>
        </w:rPr>
        <w:t xml:space="preserve"> analysis</w:t>
      </w:r>
    </w:p>
    <w:p w:rsidR="002A6C12" w:rsidRPr="001E7871" w:rsidRDefault="00000000">
      <w:pPr>
        <w:pStyle w:val="a5"/>
        <w:widowControl/>
        <w:spacing w:line="360" w:lineRule="auto"/>
        <w:jc w:val="both"/>
        <w:rPr>
          <w:rFonts w:ascii="Times New Roman" w:eastAsia="Times New Roman Regular" w:hAnsi="Times New Roman"/>
          <w:kern w:val="2"/>
        </w:rPr>
      </w:pPr>
      <w:r w:rsidRPr="001E7871">
        <w:rPr>
          <w:rFonts w:ascii="Times New Roman" w:eastAsia="Times New Roman Regular" w:hAnsi="Times New Roman"/>
          <w:kern w:val="2"/>
        </w:rPr>
        <w:t xml:space="preserve">Cellular trajectories were reconstructed using Monocle2 (v2.26.0) and Monocle3 (v1.3.1). Highly variable genes identified in Seurat were selected as ordering features. Dimensional reduction was performed with the </w:t>
      </w:r>
      <w:proofErr w:type="spellStart"/>
      <w:r w:rsidRPr="001E7871">
        <w:rPr>
          <w:rFonts w:ascii="Times New Roman" w:eastAsia="Times New Roman Regular" w:hAnsi="Times New Roman"/>
          <w:kern w:val="2"/>
        </w:rPr>
        <w:t>DDRTree</w:t>
      </w:r>
      <w:proofErr w:type="spellEnd"/>
      <w:r w:rsidRPr="001E7871">
        <w:rPr>
          <w:rFonts w:ascii="Times New Roman" w:eastAsia="Times New Roman Regular" w:hAnsi="Times New Roman"/>
          <w:kern w:val="2"/>
        </w:rPr>
        <w:t xml:space="preserve"> algorithm, and </w:t>
      </w:r>
      <w:proofErr w:type="spellStart"/>
      <w:r w:rsidRPr="001E7871">
        <w:rPr>
          <w:rFonts w:ascii="Times New Roman" w:eastAsia="Times New Roman Regular" w:hAnsi="Times New Roman"/>
          <w:kern w:val="2"/>
        </w:rPr>
        <w:t>pseudotime</w:t>
      </w:r>
      <w:proofErr w:type="spellEnd"/>
      <w:r w:rsidRPr="001E7871">
        <w:rPr>
          <w:rFonts w:ascii="Times New Roman" w:eastAsia="Times New Roman Regular" w:hAnsi="Times New Roman"/>
          <w:kern w:val="2"/>
        </w:rPr>
        <w:t xml:space="preserve"> was inferred with </w:t>
      </w:r>
      <w:proofErr w:type="spellStart"/>
      <w:r w:rsidRPr="001E7871">
        <w:rPr>
          <w:rFonts w:ascii="Times New Roman" w:eastAsia="Times New Roman Regular" w:hAnsi="Times New Roman"/>
          <w:kern w:val="2"/>
        </w:rPr>
        <w:t>order_cells</w:t>
      </w:r>
      <w:proofErr w:type="spellEnd"/>
      <w:r w:rsidRPr="001E7871">
        <w:rPr>
          <w:rFonts w:ascii="Times New Roman" w:eastAsia="Times New Roman Regular" w:hAnsi="Times New Roman"/>
          <w:kern w:val="2"/>
        </w:rPr>
        <w:t xml:space="preserve">. Trajectories were visualized on UMAP coordinates, with the root node manually designated as the starting state. Gene expression dynamics were profiled along </w:t>
      </w:r>
      <w:proofErr w:type="spellStart"/>
      <w:r w:rsidRPr="001E7871">
        <w:rPr>
          <w:rFonts w:ascii="Times New Roman" w:eastAsia="Times New Roman Regular" w:hAnsi="Times New Roman"/>
          <w:kern w:val="2"/>
        </w:rPr>
        <w:t>pseudotime</w:t>
      </w:r>
      <w:proofErr w:type="spellEnd"/>
      <w:r w:rsidRPr="001E7871">
        <w:rPr>
          <w:rFonts w:ascii="Times New Roman" w:eastAsia="Times New Roman Regular" w:hAnsi="Times New Roman"/>
          <w:kern w:val="2"/>
        </w:rPr>
        <w:t xml:space="preserve"> to reveal stage-specific transcriptional programs.</w:t>
      </w:r>
    </w:p>
    <w:p w:rsidR="002A6C12" w:rsidRPr="001E7871" w:rsidRDefault="002A6C12">
      <w:pPr>
        <w:tabs>
          <w:tab w:val="left" w:pos="716"/>
        </w:tabs>
        <w:rPr>
          <w:rFonts w:ascii="Times New Roman" w:hAnsi="Times New Roman"/>
        </w:rPr>
      </w:pPr>
    </w:p>
    <w:sectPr w:rsidR="002A6C12" w:rsidRPr="001E7871">
      <w:footerReference w:type="even" r:id="rId18"/>
      <w:footerReference w:type="default" r:id="rId19"/>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33CFE" w:rsidRDefault="00333CFE">
      <w:r>
        <w:separator/>
      </w:r>
    </w:p>
  </w:endnote>
  <w:endnote w:type="continuationSeparator" w:id="0">
    <w:p w:rsidR="00333CFE" w:rsidRDefault="00333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Times New Roman Regular">
    <w:altName w:val="Times New Roman"/>
    <w:panose1 w:val="020B0604020202020204"/>
    <w:charset w:val="00"/>
    <w:family w:val="auto"/>
    <w:pitch w:val="default"/>
    <w:sig w:usb0="E0000AFF" w:usb1="00007843" w:usb2="00000001" w:usb3="00000000" w:csb0="400001BF" w:csb1="DFF7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1"/>
    </w:sdtPr>
    <w:sdtContent>
      <w:p w:rsidR="002A6C12" w:rsidRDefault="00000000">
        <w:pPr>
          <w:pStyle w:val="a3"/>
          <w:framePr w:wrap="auto"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rsidR="002A6C12" w:rsidRDefault="002A6C12">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611316189"/>
    </w:sdtPr>
    <w:sdtContent>
      <w:p w:rsidR="002A6C12" w:rsidRDefault="00000000">
        <w:pPr>
          <w:pStyle w:val="a3"/>
          <w:framePr w:wrap="auto"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rPr>
          <w:t>1</w:t>
        </w:r>
        <w:r>
          <w:rPr>
            <w:rStyle w:val="a8"/>
          </w:rPr>
          <w:fldChar w:fldCharType="end"/>
        </w:r>
      </w:p>
    </w:sdtContent>
  </w:sdt>
  <w:p w:rsidR="002A6C12" w:rsidRDefault="002A6C1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33CFE" w:rsidRDefault="00333CFE">
      <w:r>
        <w:separator/>
      </w:r>
    </w:p>
  </w:footnote>
  <w:footnote w:type="continuationSeparator" w:id="0">
    <w:p w:rsidR="00333CFE" w:rsidRDefault="00333C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
  <w:bordersDoNotSurroundHeader/>
  <w:bordersDoNotSurroundFooter/>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70B"/>
    <w:rsid w:val="D4DB851F"/>
    <w:rsid w:val="F6FFF89F"/>
    <w:rsid w:val="F7FFA584"/>
    <w:rsid w:val="000271A9"/>
    <w:rsid w:val="000274DE"/>
    <w:rsid w:val="00092576"/>
    <w:rsid w:val="000A34BF"/>
    <w:rsid w:val="000C76B7"/>
    <w:rsid w:val="000E5326"/>
    <w:rsid w:val="00102ED4"/>
    <w:rsid w:val="001234B3"/>
    <w:rsid w:val="00152301"/>
    <w:rsid w:val="00165D03"/>
    <w:rsid w:val="001772DF"/>
    <w:rsid w:val="00184619"/>
    <w:rsid w:val="00195883"/>
    <w:rsid w:val="001E7871"/>
    <w:rsid w:val="001F47BC"/>
    <w:rsid w:val="0020181D"/>
    <w:rsid w:val="002A6C12"/>
    <w:rsid w:val="002C54C4"/>
    <w:rsid w:val="002E4A83"/>
    <w:rsid w:val="00333CFE"/>
    <w:rsid w:val="003547DE"/>
    <w:rsid w:val="00362877"/>
    <w:rsid w:val="003852FC"/>
    <w:rsid w:val="00392CF2"/>
    <w:rsid w:val="003C3AAE"/>
    <w:rsid w:val="003C5540"/>
    <w:rsid w:val="00446CF1"/>
    <w:rsid w:val="00454EF4"/>
    <w:rsid w:val="00477D72"/>
    <w:rsid w:val="004E097A"/>
    <w:rsid w:val="0051070B"/>
    <w:rsid w:val="0052389A"/>
    <w:rsid w:val="005C6D8D"/>
    <w:rsid w:val="005D5820"/>
    <w:rsid w:val="005F4B04"/>
    <w:rsid w:val="006A7361"/>
    <w:rsid w:val="006D3C73"/>
    <w:rsid w:val="00710EF4"/>
    <w:rsid w:val="00776B0C"/>
    <w:rsid w:val="007A5DDF"/>
    <w:rsid w:val="007C59E0"/>
    <w:rsid w:val="007D00A1"/>
    <w:rsid w:val="007E1BF5"/>
    <w:rsid w:val="00863A35"/>
    <w:rsid w:val="008704FF"/>
    <w:rsid w:val="008939C6"/>
    <w:rsid w:val="008A39B7"/>
    <w:rsid w:val="008C11C9"/>
    <w:rsid w:val="008E02D9"/>
    <w:rsid w:val="008F4CA3"/>
    <w:rsid w:val="009C346C"/>
    <w:rsid w:val="009E51C2"/>
    <w:rsid w:val="00A2156C"/>
    <w:rsid w:val="00AE47F6"/>
    <w:rsid w:val="00B805E3"/>
    <w:rsid w:val="00BB0E3D"/>
    <w:rsid w:val="00BB2270"/>
    <w:rsid w:val="00C43A8B"/>
    <w:rsid w:val="00C67E5C"/>
    <w:rsid w:val="00C751CC"/>
    <w:rsid w:val="00CD33E1"/>
    <w:rsid w:val="00D26DD7"/>
    <w:rsid w:val="00D42F2F"/>
    <w:rsid w:val="00D455CF"/>
    <w:rsid w:val="00D721FE"/>
    <w:rsid w:val="00DD32DC"/>
    <w:rsid w:val="00DF5823"/>
    <w:rsid w:val="00E45E6F"/>
    <w:rsid w:val="00E54B5A"/>
    <w:rsid w:val="00EF4A8E"/>
    <w:rsid w:val="00F00DA1"/>
    <w:rsid w:val="00F3172C"/>
    <w:rsid w:val="00F746EF"/>
    <w:rsid w:val="00FC0382"/>
    <w:rsid w:val="00FC79D2"/>
    <w:rsid w:val="00FD3317"/>
    <w:rsid w:val="0EE62B4A"/>
    <w:rsid w:val="61E7804D"/>
    <w:rsid w:val="7AFFF680"/>
    <w:rsid w:val="7F9EE1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7FC8578"/>
  <w15:docId w15:val="{14C3D934-A35A-184F-9A77-EB96C0072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Normal (Web)"/>
    <w:basedOn w:val="a"/>
    <w:uiPriority w:val="99"/>
    <w:semiHidden/>
    <w:unhideWhenUsed/>
    <w:pPr>
      <w:spacing w:beforeAutospacing="1" w:afterAutospacing="1"/>
      <w:jc w:val="left"/>
    </w:pPr>
    <w:rPr>
      <w:kern w:val="0"/>
      <w:sz w:val="24"/>
      <w:szCs w:val="24"/>
    </w:rPr>
  </w:style>
  <w:style w:type="table" w:styleId="a6">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Pr>
      <w:b/>
      <w:bCs/>
    </w:rPr>
  </w:style>
  <w:style w:type="character" w:styleId="a8">
    <w:name w:val="page number"/>
    <w:basedOn w:val="a0"/>
    <w:uiPriority w:val="99"/>
    <w:semiHidden/>
    <w:unhideWhenUsed/>
  </w:style>
  <w:style w:type="character" w:styleId="a9">
    <w:name w:val="line number"/>
    <w:basedOn w:val="a0"/>
    <w:uiPriority w:val="99"/>
    <w:semiHidden/>
    <w:unhideWhenUsed/>
  </w:style>
  <w:style w:type="character" w:customStyle="1" w:styleId="a4">
    <w:name w:val="页脚 字符"/>
    <w:basedOn w:val="a0"/>
    <w:link w:val="a3"/>
    <w:uiPriority w:val="99"/>
    <w:rPr>
      <w:rFonts w:ascii="Calibri" w:eastAsia="宋体" w:hAnsi="Calibri" w:cs="Times New Roman"/>
      <w:sz w:val="18"/>
      <w:szCs w:val="18"/>
    </w:rPr>
  </w:style>
  <w:style w:type="paragraph" w:customStyle="1" w:styleId="msolistparagraph0">
    <w:name w:val="msolistparagraph"/>
    <w:basedOn w:val="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956</Words>
  <Characters>5455</Characters>
  <Application>Microsoft Office Word</Application>
  <DocSecurity>0</DocSecurity>
  <Lines>45</Lines>
  <Paragraphs>12</Paragraphs>
  <ScaleCrop>false</ScaleCrop>
  <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291974343@qq.com</dc:creator>
  <cp:lastModifiedBy>Author</cp:lastModifiedBy>
  <cp:revision>19</cp:revision>
  <dcterms:created xsi:type="dcterms:W3CDTF">2026-01-07T15:34:00Z</dcterms:created>
  <dcterms:modified xsi:type="dcterms:W3CDTF">2026-06-02T03:57:00Z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2052-7.3.1.8967</vt:lpwstr>
  </property>
  <property fmtid="{D5CDD505-2E9C-101B-9397-08002B2CF9AE}" pid="3" name="ICV">
    <vt:lpwstr>5A1D967A106AA3B4A416826992B844C0_42</vt:lpwstr>
  </property>
</Properties>
</file>