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C329" w14:textId="6C51882B" w:rsidR="00F207C8" w:rsidRPr="00436303" w:rsidRDefault="006730F9" w:rsidP="0043630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6730F9">
        <w:rPr>
          <w:rFonts w:ascii="Times New Roman" w:eastAsia="Times New Roman" w:hAnsi="Times New Roman" w:cs="Times New Roman"/>
          <w:b/>
          <w:color w:val="000000"/>
        </w:rPr>
        <w:t>Table S</w:t>
      </w:r>
      <w:r w:rsidR="009F2942">
        <w:rPr>
          <w:rFonts w:ascii="Times New Roman" w:eastAsia="Times New Roman" w:hAnsi="Times New Roman" w:cs="Times New Roman" w:hint="eastAsia"/>
          <w:b/>
          <w:color w:val="000000"/>
          <w:lang w:eastAsia="zh-CN"/>
        </w:rPr>
        <w:t>8</w:t>
      </w:r>
      <w:r w:rsidRPr="006730F9">
        <w:rPr>
          <w:rFonts w:ascii="Times New Roman" w:eastAsia="Times New Roman" w:hAnsi="Times New Roman" w:cs="Times New Roman"/>
          <w:b/>
          <w:color w:val="000000"/>
        </w:rPr>
        <w:t xml:space="preserve">. Subgroup-specific effects of </w:t>
      </w:r>
      <w:r>
        <w:rPr>
          <w:rFonts w:ascii="Times New Roman" w:hAnsi="Times New Roman" w:cs="Times New Roman" w:hint="eastAsia"/>
          <w:b/>
          <w:color w:val="000000"/>
          <w:lang w:eastAsia="zh-CN"/>
        </w:rPr>
        <w:t>DTI</w:t>
      </w:r>
      <w:r w:rsidRPr="006730F9">
        <w:rPr>
          <w:rFonts w:ascii="Times New Roman" w:eastAsia="Times New Roman" w:hAnsi="Times New Roman" w:cs="Times New Roman"/>
          <w:b/>
          <w:color w:val="000000"/>
        </w:rPr>
        <w:t xml:space="preserve"> on day 3 embryo utilization rate stratified by patient and treatment characteristics</w:t>
      </w:r>
    </w:p>
    <w:tbl>
      <w:tblPr>
        <w:tblW w:w="5000" w:type="pct"/>
        <w:jc w:val="center"/>
        <w:tblLayout w:type="fixed"/>
        <w:tblLook w:val="0420" w:firstRow="1" w:lastRow="0" w:firstColumn="0" w:lastColumn="0" w:noHBand="0" w:noVBand="1"/>
      </w:tblPr>
      <w:tblGrid>
        <w:gridCol w:w="2086"/>
        <w:gridCol w:w="2503"/>
        <w:gridCol w:w="834"/>
        <w:gridCol w:w="2503"/>
        <w:gridCol w:w="2085"/>
        <w:gridCol w:w="2816"/>
        <w:gridCol w:w="1384"/>
        <w:gridCol w:w="1187"/>
      </w:tblGrid>
      <w:tr w:rsidR="00876D2A" w14:paraId="51952699" w14:textId="77777777" w:rsidTr="003F4CBA">
        <w:trPr>
          <w:jc w:val="center"/>
        </w:trPr>
        <w:tc>
          <w:tcPr>
            <w:tcW w:w="208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1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Stratification</w:t>
            </w:r>
          </w:p>
        </w:tc>
        <w:tc>
          <w:tcPr>
            <w:tcW w:w="2503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2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834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3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2503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4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β Coefficient</w:t>
            </w:r>
          </w:p>
        </w:tc>
        <w:tc>
          <w:tcPr>
            <w:tcW w:w="2085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5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2816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6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 Value</w:t>
            </w:r>
          </w:p>
        </w:tc>
        <w:tc>
          <w:tcPr>
            <w:tcW w:w="1384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7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1187" w:type="dxa"/>
            <w:tcBorders>
              <w:top w:val="single" w:sz="16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8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R²</w:t>
            </w:r>
          </w:p>
        </w:tc>
      </w:tr>
      <w:tr w:rsidR="00876D2A" w14:paraId="519526A2" w14:textId="77777777" w:rsidTr="003F4CBA">
        <w:trPr>
          <w:jc w:val="center"/>
        </w:trPr>
        <w:tc>
          <w:tcPr>
            <w:tcW w:w="2086" w:type="dxa"/>
            <w:vMerge w:val="restart"/>
            <w:tcBorders>
              <w:top w:val="single" w:sz="16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A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Age Group</w:t>
            </w:r>
          </w:p>
        </w:tc>
        <w:tc>
          <w:tcPr>
            <w:tcW w:w="250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&lt;35 years</w:t>
            </w:r>
          </w:p>
        </w:tc>
        <w:tc>
          <w:tcPr>
            <w:tcW w:w="83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</w:t>
            </w:r>
          </w:p>
        </w:tc>
        <w:tc>
          <w:tcPr>
            <w:tcW w:w="250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208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[0.015, 0.084]</w:t>
            </w:r>
          </w:p>
        </w:tc>
        <w:tc>
          <w:tcPr>
            <w:tcW w:w="2816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9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744) = 3.88</w:t>
            </w:r>
          </w:p>
        </w:tc>
        <w:tc>
          <w:tcPr>
            <w:tcW w:w="138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18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8.51%</w:t>
            </w:r>
          </w:p>
        </w:tc>
      </w:tr>
      <w:tr w:rsidR="00876D2A" w14:paraId="519526AB" w14:textId="77777777" w:rsidTr="003F4CBA">
        <w:trPr>
          <w:jc w:val="center"/>
        </w:trPr>
        <w:tc>
          <w:tcPr>
            <w:tcW w:w="2086" w:type="dxa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3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35-37 years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-0.010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[-0.085, 0.065]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181) = 0.07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0.934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3.22%</w:t>
            </w:r>
          </w:p>
        </w:tc>
      </w:tr>
      <w:tr w:rsidR="00876D2A" w14:paraId="519526B4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C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≥38 years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A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[-0.030, 0.158]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215) = 1.67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2.60%</w:t>
            </w:r>
          </w:p>
        </w:tc>
      </w:tr>
      <w:tr w:rsidR="00876D2A" w14:paraId="519526BD" w14:textId="77777777" w:rsidTr="003F4CBA">
        <w:trPr>
          <w:jc w:val="center"/>
        </w:trPr>
        <w:tc>
          <w:tcPr>
            <w:tcW w:w="208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5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AMH Group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&lt;1.2 ng/mL</w:t>
            </w:r>
          </w:p>
        </w:tc>
        <w:tc>
          <w:tcPr>
            <w:tcW w:w="83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08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[-0.098, 0.132]</w:t>
            </w:r>
          </w:p>
        </w:tc>
        <w:tc>
          <w:tcPr>
            <w:tcW w:w="2816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198) = 1.23</w:t>
            </w:r>
          </w:p>
        </w:tc>
        <w:tc>
          <w:tcPr>
            <w:tcW w:w="138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0.295</w:t>
            </w:r>
          </w:p>
        </w:tc>
        <w:tc>
          <w:tcPr>
            <w:tcW w:w="118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2.20%</w:t>
            </w:r>
          </w:p>
        </w:tc>
      </w:tr>
      <w:tr w:rsidR="00876D2A" w14:paraId="519526C6" w14:textId="77777777" w:rsidTr="003F4CBA">
        <w:trPr>
          <w:jc w:val="center"/>
        </w:trPr>
        <w:tc>
          <w:tcPr>
            <w:tcW w:w="2086" w:type="dxa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E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B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1.2-3.5 ng/mL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473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[-0.033, 0.061]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469) = 0.74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7.38%</w:t>
            </w:r>
          </w:p>
        </w:tc>
      </w:tr>
      <w:tr w:rsidR="00876D2A" w14:paraId="519526CF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7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&gt;3.5 ng/mL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[0.014, 0.091]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473) = 3.61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C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6.58%</w:t>
            </w:r>
          </w:p>
        </w:tc>
      </w:tr>
      <w:tr w:rsidR="00876D2A" w14:paraId="519526D8" w14:textId="77777777" w:rsidTr="003F4CBA">
        <w:trPr>
          <w:jc w:val="center"/>
        </w:trPr>
        <w:tc>
          <w:tcPr>
            <w:tcW w:w="208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0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Ovarian Response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Poor (≤3 oocytes)</w:t>
            </w:r>
          </w:p>
        </w:tc>
        <w:tc>
          <w:tcPr>
            <w:tcW w:w="83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208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[-0.110, 0.182]</w:t>
            </w:r>
          </w:p>
        </w:tc>
        <w:tc>
          <w:tcPr>
            <w:tcW w:w="2816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162) = 0.42</w:t>
            </w:r>
          </w:p>
        </w:tc>
        <w:tc>
          <w:tcPr>
            <w:tcW w:w="138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118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2.56%</w:t>
            </w:r>
          </w:p>
        </w:tc>
      </w:tr>
      <w:tr w:rsidR="00876D2A" w14:paraId="519526E1" w14:textId="77777777" w:rsidTr="003F4CBA">
        <w:trPr>
          <w:jc w:val="center"/>
        </w:trPr>
        <w:tc>
          <w:tcPr>
            <w:tcW w:w="2086" w:type="dxa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9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Suboptimal (4-9)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-0.025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[-0.078, 0.029]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338) = 1.91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D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7.10%</w:t>
            </w:r>
          </w:p>
        </w:tc>
      </w:tr>
      <w:tr w:rsidR="00876D2A" w14:paraId="519526EA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2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Normal (10-15)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[-0.002, 0.092]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332) = 1.92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8.89%</w:t>
            </w:r>
          </w:p>
        </w:tc>
      </w:tr>
      <w:tr w:rsidR="00876D2A" w14:paraId="519526F3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B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High (&gt;15)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E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[-0.005, 0.089]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304) = 2.06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11.01%</w:t>
            </w:r>
          </w:p>
        </w:tc>
      </w:tr>
      <w:tr w:rsidR="00876D2A" w14:paraId="519526FC" w14:textId="77777777" w:rsidTr="003F4CBA">
        <w:trPr>
          <w:jc w:val="center"/>
        </w:trPr>
        <w:tc>
          <w:tcPr>
            <w:tcW w:w="208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4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Stimulation Protocol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GnRH Agonist</w:t>
            </w:r>
          </w:p>
        </w:tc>
        <w:tc>
          <w:tcPr>
            <w:tcW w:w="83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208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[0.017, 0.117]</w:t>
            </w:r>
          </w:p>
        </w:tc>
        <w:tc>
          <w:tcPr>
            <w:tcW w:w="2816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424) = 4.48</w:t>
            </w:r>
          </w:p>
        </w:tc>
        <w:tc>
          <w:tcPr>
            <w:tcW w:w="138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18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4.86%</w:t>
            </w:r>
          </w:p>
        </w:tc>
      </w:tr>
      <w:tr w:rsidR="00876D2A" w14:paraId="51952705" w14:textId="77777777" w:rsidTr="003F4CBA">
        <w:trPr>
          <w:jc w:val="center"/>
        </w:trPr>
        <w:tc>
          <w:tcPr>
            <w:tcW w:w="2086" w:type="dxa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D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GnRH Antagonist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6F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[0.012, 0.130]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336) = 2.76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5.93%</w:t>
            </w:r>
          </w:p>
        </w:tc>
      </w:tr>
      <w:tr w:rsidR="00876D2A" w14:paraId="5195270E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6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Progestin-Primed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[-0.047, 0.074]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353) = 0.33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7.51%</w:t>
            </w:r>
          </w:p>
        </w:tc>
      </w:tr>
      <w:tr w:rsidR="00876D2A" w14:paraId="51952717" w14:textId="77777777" w:rsidTr="003F4CBA">
        <w:trPr>
          <w:jc w:val="center"/>
        </w:trPr>
        <w:tc>
          <w:tcPr>
            <w:tcW w:w="208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0F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BMI Group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&lt;18.5 kg/m²</w:t>
            </w:r>
          </w:p>
        </w:tc>
        <w:tc>
          <w:tcPr>
            <w:tcW w:w="83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208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[-0.070, 0.185]</w:t>
            </w:r>
          </w:p>
        </w:tc>
        <w:tc>
          <w:tcPr>
            <w:tcW w:w="2816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86) = 0.80</w:t>
            </w:r>
          </w:p>
        </w:tc>
        <w:tc>
          <w:tcPr>
            <w:tcW w:w="138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0.453</w:t>
            </w:r>
          </w:p>
        </w:tc>
        <w:tc>
          <w:tcPr>
            <w:tcW w:w="118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4.52%</w:t>
            </w:r>
          </w:p>
        </w:tc>
      </w:tr>
      <w:tr w:rsidR="00876D2A" w14:paraId="51952720" w14:textId="77777777" w:rsidTr="003F4CBA">
        <w:trPr>
          <w:jc w:val="center"/>
        </w:trPr>
        <w:tc>
          <w:tcPr>
            <w:tcW w:w="2086" w:type="dxa"/>
            <w:vMerge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8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18.5-24.9 kg/m²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817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[-0.008, 0.064]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813) = 1.15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0.316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1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5.07%</w:t>
            </w:r>
          </w:p>
        </w:tc>
      </w:tr>
      <w:tr w:rsidR="00876D2A" w14:paraId="51952729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1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≥25 kg/m²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[0.024, 0.148]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241) = 4.31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single" w:sz="8" w:space="0" w:color="999999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8.16%</w:t>
            </w:r>
          </w:p>
        </w:tc>
      </w:tr>
      <w:tr w:rsidR="00876D2A" w14:paraId="51952732" w14:textId="77777777" w:rsidTr="003F4CBA">
        <w:trPr>
          <w:jc w:val="center"/>
        </w:trPr>
        <w:tc>
          <w:tcPr>
            <w:tcW w:w="2086" w:type="dxa"/>
            <w:vMerge w:val="restart"/>
            <w:tcBorders>
              <w:top w:val="single" w:sz="8" w:space="0" w:color="999999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A" w14:textId="77777777" w:rsidR="00876D2A" w:rsidRDefault="00F207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AFC Group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B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&lt;5</w:t>
            </w:r>
          </w:p>
        </w:tc>
        <w:tc>
          <w:tcPr>
            <w:tcW w:w="83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C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2503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2085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[-0.105, 0.173]</w:t>
            </w:r>
          </w:p>
        </w:tc>
        <w:tc>
          <w:tcPr>
            <w:tcW w:w="2816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2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129) = 0.79</w:t>
            </w:r>
          </w:p>
        </w:tc>
        <w:tc>
          <w:tcPr>
            <w:tcW w:w="1384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0.457</w:t>
            </w:r>
          </w:p>
        </w:tc>
        <w:tc>
          <w:tcPr>
            <w:tcW w:w="1187" w:type="dxa"/>
            <w:tcBorders>
              <w:top w:val="single" w:sz="8" w:space="0" w:color="999999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1.56%</w:t>
            </w:r>
          </w:p>
        </w:tc>
      </w:tr>
      <w:tr w:rsidR="00876D2A" w14:paraId="5195273B" w14:textId="77777777" w:rsidTr="003F4CBA">
        <w:trPr>
          <w:jc w:val="center"/>
        </w:trPr>
        <w:tc>
          <w:tcPr>
            <w:tcW w:w="2086" w:type="dxa"/>
            <w:vMerge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3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4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5-15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5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6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7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[-0.025, 0.063]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8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562) = 0.44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9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0.644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A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5.56%</w:t>
            </w:r>
          </w:p>
        </w:tc>
      </w:tr>
      <w:tr w:rsidR="00876D2A" w14:paraId="51952744" w14:textId="77777777" w:rsidTr="003F4CBA">
        <w:trPr>
          <w:jc w:val="center"/>
        </w:trPr>
        <w:tc>
          <w:tcPr>
            <w:tcW w:w="2086" w:type="dxa"/>
            <w:vMerge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C" w14:textId="77777777" w:rsidR="00876D2A" w:rsidRDefault="00876D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D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&gt;15</w:t>
            </w:r>
          </w:p>
        </w:tc>
        <w:tc>
          <w:tcPr>
            <w:tcW w:w="83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E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2503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3F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208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0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[0.015, 0.095]</w:t>
            </w:r>
          </w:p>
        </w:tc>
        <w:tc>
          <w:tcPr>
            <w:tcW w:w="281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1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F(2, 449) = 4.03</w:t>
            </w:r>
          </w:p>
        </w:tc>
        <w:tc>
          <w:tcPr>
            <w:tcW w:w="1384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2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187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3" w14:textId="77777777" w:rsidR="00876D2A" w:rsidRDefault="00F207C8" w:rsidP="00E271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7.31%</w:t>
            </w:r>
          </w:p>
        </w:tc>
      </w:tr>
      <w:tr w:rsidR="00876D2A" w14:paraId="51952746" w14:textId="77777777" w:rsidTr="003F4CBA">
        <w:trPr>
          <w:jc w:val="center"/>
        </w:trPr>
        <w:tc>
          <w:tcPr>
            <w:tcW w:w="15398" w:type="dxa"/>
            <w:gridSpan w:val="8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5" w14:textId="75EB515A" w:rsidR="00876D2A" w:rsidRPr="00607253" w:rsidRDefault="003F4CBA" w:rsidP="006072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Data are presented as β coefficients with 95% confidence intervals (CI), F statistics in the format F(df1, df2), P values, and R² values for each subgroup. The β coefficient represents the effect of denudation-to-ICSI interval on day 3 embryo utilization r</w:t>
            </w:r>
            <w:r w:rsidRPr="003F4CBA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>ate. Six stratification variables are analyzed: Age Group (ESHRE criteria: &lt;35, 35-37, ≥38 years), AMH Group (POSEIDON criteria: &lt;1.2, 1.2-3.5, &gt;3.5 ng/mL), Ovarian Response (Bologna criteria based on oocyte yield: Poor ≤3, Suboptimal 4-9, Normal 10-15, High &gt;15), Stimulation Protocol (GnRH Agonist, Antagonist, Progestin-Primed), BMI Group (WHO criteria: &lt;18.5, 18.5-24.9, ≥25 kg/m²), and AFC Group (POSEIDON criteria: &lt;5, 5-15, &gt;15).</w:t>
            </w:r>
          </w:p>
        </w:tc>
      </w:tr>
      <w:tr w:rsidR="00876D2A" w14:paraId="5195274A" w14:textId="77777777" w:rsidTr="003F4CBA">
        <w:trPr>
          <w:jc w:val="center"/>
        </w:trPr>
        <w:tc>
          <w:tcPr>
            <w:tcW w:w="15398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9" w14:textId="7904639C" w:rsidR="00876D2A" w:rsidRPr="00607253" w:rsidRDefault="003F4CBA" w:rsidP="006072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All subgroup models use the same specification as the final optimized model: d3_utilization ~ </w:t>
            </w:r>
            <w:proofErr w:type="spellStart"/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rcs</w:t>
            </w:r>
            <w:proofErr w:type="spellEnd"/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(</w:t>
            </w:r>
            <w:proofErr w:type="spellStart"/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time_denude_to_icsi</w:t>
            </w:r>
            <w:proofErr w:type="spellEnd"/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3) + </w:t>
            </w:r>
            <w:proofErr w:type="spellStart"/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b_fsh</w:t>
            </w:r>
            <w:proofErr w:type="spellEnd"/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+ e2_per_mii, where time-to-ICSI is modeled using restricted cubic splines with 3 knots to capture potential nonlinear effects. The F statistic evaluates the joint significance of the time-to-ICSI effect, with df1=2 representing the numerator degrees of freedom for the two RCS components (linear and nonlinear terms), and df2 representing the denominator degrees of freedom calculated as subgroup sample size minus 4 (N-4, accounting for the intercept and three predictors). R² indicates the proportion of variance explained by the full model.</w:t>
            </w:r>
          </w:p>
        </w:tc>
      </w:tr>
      <w:tr w:rsidR="00876D2A" w14:paraId="5195274E" w14:textId="77777777" w:rsidTr="003F4CBA">
        <w:trPr>
          <w:jc w:val="center"/>
        </w:trPr>
        <w:tc>
          <w:tcPr>
            <w:tcW w:w="15398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5274D" w14:textId="2BBE77BF" w:rsidR="00876D2A" w:rsidRPr="00607253" w:rsidRDefault="003F4CBA" w:rsidP="006072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The Mild protocol group (n=27) is excluded from analysis due to insufficient sample size (&lt;30), resulting in 19 subgroups analyzed. Five of 19 subgroups (26.3%) show statistically significant effects: Age &lt;35 years, AMH &gt;3.5 ng/mL, GnRH Agonist protocol, B</w:t>
            </w:r>
            <w:r w:rsidRPr="003F4CBA">
              <w:rPr>
                <w:rFonts w:ascii="Times New Roman" w:eastAsia="Times New Roman" w:hAnsi="Times New Roman" w:cs="Times New Roman" w:hint="eastAsia"/>
                <w:i/>
                <w:iCs/>
                <w:color w:val="000000"/>
                <w:sz w:val="16"/>
                <w:szCs w:val="16"/>
              </w:rPr>
              <w:t>MI ≥25 kg/m², and AFC &gt;15. Notably, 17 subgroups (89.5%) exhibit consistent positive effect direction. The absence of statistical significance in 14 subgroups reflects insufficient statistical power rather than true null effects. Formal interaction analysi</w:t>
            </w:r>
            <w:r w:rsidRPr="003F4CB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 (Table S9) confirms no significant interactions between time-to-ICSI and any stratification variable after FDR correction for multiple testing (all FDR Q&gt;0.10), supporting effect stability across patient subgroups and the clinical applicability of unified time management recommendations.</w:t>
            </w:r>
          </w:p>
        </w:tc>
      </w:tr>
      <w:tr w:rsidR="003F4CBA" w14:paraId="5E5C01D8" w14:textId="77777777" w:rsidTr="003F4CBA">
        <w:trPr>
          <w:jc w:val="center"/>
        </w:trPr>
        <w:tc>
          <w:tcPr>
            <w:tcW w:w="15398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8C08" w14:textId="2B601717" w:rsidR="003F4CBA" w:rsidRPr="003F4CBA" w:rsidRDefault="001B0D45" w:rsidP="0060725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102" w:right="10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1B0D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Abbreviations: AFC, antral follicle count; AMH, anti-Müllerian hormone; BMI, body mass index; CI, confidence interval; </w:t>
            </w:r>
            <w:proofErr w:type="spellStart"/>
            <w:r w:rsidRPr="001B0D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df</w:t>
            </w:r>
            <w:proofErr w:type="spellEnd"/>
            <w:r w:rsidRPr="001B0D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degrees of freedom; ESHRE, European Society of Human Reproduction and Embryology; FDR, false discovery rate; GnRH, gonadotropin-releasing hormone; ICSI, intracytoplasmic sperm injection; POSEIDON, Patient-Oriented Strategies Encompassing </w:t>
            </w:r>
            <w:proofErr w:type="spellStart"/>
            <w:r w:rsidRPr="001B0D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IndividualizeD</w:t>
            </w:r>
            <w:proofErr w:type="spellEnd"/>
            <w:r w:rsidRPr="001B0D45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Oocyte Number; RCS, restricted cubic spline; WHO, World Health Organization.</w:t>
            </w:r>
          </w:p>
        </w:tc>
      </w:tr>
    </w:tbl>
    <w:p w14:paraId="5195274F" w14:textId="77777777" w:rsidR="00F207C8" w:rsidRPr="001168DD" w:rsidRDefault="00F207C8">
      <w:pPr>
        <w:rPr>
          <w:sz w:val="6"/>
          <w:szCs w:val="6"/>
        </w:rPr>
      </w:pPr>
    </w:p>
    <w:sectPr w:rsidR="00F207C8" w:rsidRPr="001168DD" w:rsidSect="00E2717E">
      <w:type w:val="continuous"/>
      <w:pgSz w:w="16838" w:h="11906" w:orient="landscape"/>
      <w:pgMar w:top="720" w:right="720" w:bottom="720" w:left="72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4053675">
    <w:abstractNumId w:val="1"/>
  </w:num>
  <w:num w:numId="2" w16cid:durableId="792872486">
    <w:abstractNumId w:val="2"/>
  </w:num>
  <w:num w:numId="3" w16cid:durableId="182453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D2A"/>
    <w:rsid w:val="00030560"/>
    <w:rsid w:val="000E1E8E"/>
    <w:rsid w:val="001168DD"/>
    <w:rsid w:val="001B0D45"/>
    <w:rsid w:val="003A4BFF"/>
    <w:rsid w:val="003F4CBA"/>
    <w:rsid w:val="003F6BF3"/>
    <w:rsid w:val="00436303"/>
    <w:rsid w:val="00607253"/>
    <w:rsid w:val="006730F9"/>
    <w:rsid w:val="007B4A59"/>
    <w:rsid w:val="007D29AC"/>
    <w:rsid w:val="00876D2A"/>
    <w:rsid w:val="008922A5"/>
    <w:rsid w:val="009F2942"/>
    <w:rsid w:val="00E2717E"/>
    <w:rsid w:val="00F207C8"/>
    <w:rsid w:val="00F5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95268C"/>
  <w15:docId w15:val="{3297393F-5AB0-6F4C-A757-EA14C328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Xi Luo</cp:lastModifiedBy>
  <cp:revision>22</cp:revision>
  <dcterms:created xsi:type="dcterms:W3CDTF">2017-02-28T11:18:00Z</dcterms:created>
  <dcterms:modified xsi:type="dcterms:W3CDTF">2026-01-15T09:56:00Z</dcterms:modified>
  <cp:category/>
</cp:coreProperties>
</file>