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4B67" w14:textId="1D48570B" w:rsidR="0078002C" w:rsidRPr="008A13B5" w:rsidRDefault="00121793" w:rsidP="008A13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121793">
        <w:rPr>
          <w:rFonts w:ascii="Times New Roman" w:eastAsia="Times New Roman" w:hAnsi="Times New Roman" w:cs="Times New Roman"/>
          <w:b/>
          <w:color w:val="000000"/>
        </w:rPr>
        <w:t>Table S</w:t>
      </w:r>
      <w:r w:rsidR="007327E9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9</w:t>
      </w:r>
      <w:r w:rsidRPr="00121793">
        <w:rPr>
          <w:rFonts w:ascii="Times New Roman" w:eastAsia="Times New Roman" w:hAnsi="Times New Roman" w:cs="Times New Roman"/>
          <w:b/>
          <w:color w:val="000000"/>
        </w:rPr>
        <w:t xml:space="preserve">. Heterogeneity statistics for </w:t>
      </w:r>
      <w:r>
        <w:rPr>
          <w:rFonts w:ascii="Times New Roman" w:hAnsi="Times New Roman" w:cs="Times New Roman" w:hint="eastAsia"/>
          <w:b/>
          <w:color w:val="000000"/>
          <w:lang w:eastAsia="zh-CN"/>
        </w:rPr>
        <w:t>DTI</w:t>
      </w:r>
      <w:r w:rsidRPr="00121793">
        <w:rPr>
          <w:rFonts w:ascii="Times New Roman" w:eastAsia="Times New Roman" w:hAnsi="Times New Roman" w:cs="Times New Roman"/>
          <w:b/>
          <w:color w:val="000000"/>
        </w:rPr>
        <w:t xml:space="preserve"> effect on day 3 embryo utilization rate across patient and treatment subgroups</w:t>
      </w:r>
    </w:p>
    <w:tbl>
      <w:tblPr>
        <w:tblW w:w="5000" w:type="pct"/>
        <w:jc w:val="center"/>
        <w:tblLayout w:type="fixed"/>
        <w:tblLook w:val="0420" w:firstRow="1" w:lastRow="0" w:firstColumn="0" w:lastColumn="0" w:noHBand="0" w:noVBand="1"/>
      </w:tblPr>
      <w:tblGrid>
        <w:gridCol w:w="3909"/>
        <w:gridCol w:w="1467"/>
        <w:gridCol w:w="1955"/>
        <w:gridCol w:w="978"/>
        <w:gridCol w:w="1711"/>
        <w:gridCol w:w="1467"/>
        <w:gridCol w:w="1467"/>
        <w:gridCol w:w="2444"/>
      </w:tblGrid>
      <w:tr w:rsidR="00E332FC" w14:paraId="3CE91559" w14:textId="77777777" w:rsidTr="00DB14A6">
        <w:trPr>
          <w:tblHeader/>
          <w:jc w:val="center"/>
        </w:trPr>
        <w:tc>
          <w:tcPr>
            <w:tcW w:w="3909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1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Stratification Variable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2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 Subgroups</w:t>
            </w:r>
          </w:p>
        </w:tc>
        <w:tc>
          <w:tcPr>
            <w:tcW w:w="195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3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Cochran's Q</w:t>
            </w:r>
          </w:p>
        </w:tc>
        <w:tc>
          <w:tcPr>
            <w:tcW w:w="97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4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71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5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6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I² (%)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7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τ²</w:t>
            </w:r>
          </w:p>
        </w:tc>
        <w:tc>
          <w:tcPr>
            <w:tcW w:w="244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8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Heterogeneity Level</w:t>
            </w:r>
          </w:p>
        </w:tc>
      </w:tr>
      <w:tr w:rsidR="00E332FC" w14:paraId="3CE91562" w14:textId="77777777" w:rsidTr="00DB14A6">
        <w:trPr>
          <w:jc w:val="center"/>
        </w:trPr>
        <w:tc>
          <w:tcPr>
            <w:tcW w:w="390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A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 Group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B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C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97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D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E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0.326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5F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146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0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244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1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</w:tr>
      <w:tr w:rsidR="00E332FC" w14:paraId="3CE9156B" w14:textId="77777777" w:rsidTr="00DB14A6">
        <w:trPr>
          <w:jc w:val="center"/>
        </w:trPr>
        <w:tc>
          <w:tcPr>
            <w:tcW w:w="3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3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AMH Group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4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5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6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7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0.433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8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9" w14:textId="61AF4894" w:rsidR="00E332FC" w:rsidRDefault="00B01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24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A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</w:tr>
      <w:tr w:rsidR="00E332FC" w14:paraId="3CE91574" w14:textId="77777777" w:rsidTr="00DB14A6">
        <w:trPr>
          <w:jc w:val="center"/>
        </w:trPr>
        <w:tc>
          <w:tcPr>
            <w:tcW w:w="3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C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Ovarian Response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D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E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6F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0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1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34.2%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2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24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3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E332FC" w14:paraId="3CE9157D" w14:textId="77777777" w:rsidTr="00DB14A6">
        <w:trPr>
          <w:jc w:val="center"/>
        </w:trPr>
        <w:tc>
          <w:tcPr>
            <w:tcW w:w="3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5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Protocol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6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7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8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9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0.322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A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11.7%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B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24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C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</w:tr>
      <w:tr w:rsidR="00E332FC" w14:paraId="3CE91586" w14:textId="77777777" w:rsidTr="00DB14A6">
        <w:trPr>
          <w:jc w:val="center"/>
        </w:trPr>
        <w:tc>
          <w:tcPr>
            <w:tcW w:w="3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E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 Group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7F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0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1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2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3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21.8%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4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24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5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</w:tr>
      <w:tr w:rsidR="00E332FC" w14:paraId="3CE9158F" w14:textId="77777777" w:rsidTr="00DB14A6">
        <w:trPr>
          <w:jc w:val="center"/>
        </w:trPr>
        <w:tc>
          <w:tcPr>
            <w:tcW w:w="3909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7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AFC Group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8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9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A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B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0.485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C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  <w:tc>
          <w:tcPr>
            <w:tcW w:w="146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D" w14:textId="7E1D0E82" w:rsidR="00E332FC" w:rsidRDefault="00B01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244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8E" w14:textId="77777777" w:rsidR="00E332FC" w:rsidRDefault="007800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</w:tr>
      <w:tr w:rsidR="00E332FC" w14:paraId="3CE91591" w14:textId="77777777" w:rsidTr="00DB14A6">
        <w:trPr>
          <w:jc w:val="center"/>
        </w:trPr>
        <w:tc>
          <w:tcPr>
            <w:tcW w:w="15398" w:type="dxa"/>
            <w:gridSpan w:val="8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90" w14:textId="5856AE2F" w:rsidR="00E332FC" w:rsidRPr="008142E2" w:rsidRDefault="001F4B30" w:rsidP="00814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F4B3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Data are presented as N Subgroups indicates the number of strata within each stratification variable; Cochran's Q and degrees of freedom (</w:t>
            </w:r>
            <w:proofErr w:type="spellStart"/>
            <w:r w:rsidRPr="001F4B3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df</w:t>
            </w:r>
            <w:proofErr w:type="spellEnd"/>
            <w:r w:rsidRPr="001F4B3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) are presented as integers; P values are presented to three decimal places; I² (percentage of variation attributable to heterogeneity) is presented as a percentage; τ² (between-subgroup variance) is presented to four decimal places; Heterogeneity Level is categorized based on I² thresholds.</w:t>
            </w:r>
          </w:p>
        </w:tc>
      </w:tr>
      <w:tr w:rsidR="00E332FC" w14:paraId="3CE91595" w14:textId="77777777" w:rsidTr="00DB14A6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94" w14:textId="18AEF83B" w:rsidR="00E332FC" w:rsidRPr="008142E2" w:rsidRDefault="00DB14A6" w:rsidP="00814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Heterogeneity across subgroups is assessed using Cochran's Q test, I² statistic, and τ² estimate. Cochran's Q follows a chi-squared distribution with degrees of freedom (</w:t>
            </w:r>
            <w:proofErr w:type="spellStart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df</w:t>
            </w:r>
            <w:proofErr w:type="spellEnd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) = number of subgroups - 1, testing whether subgroup effects are homogeneous. I² quantifies the percentage of total variation across subgroups due to true heterogeneity rather than sampling error, calculated as I² = </w:t>
            </w:r>
            <w:proofErr w:type="gramStart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max(</w:t>
            </w:r>
            <w:proofErr w:type="gramEnd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0, [(Q - </w:t>
            </w:r>
            <w:proofErr w:type="spellStart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df</w:t>
            </w:r>
            <w:proofErr w:type="spellEnd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)/Q] × 100%). τ² represents the between-subgroup variance estimated using the </w:t>
            </w:r>
            <w:proofErr w:type="spellStart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DerSimonian</w:t>
            </w:r>
            <w:proofErr w:type="spellEnd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-Laird method. Heterogeneity levels are classified as: Low (I²&lt;25%), Moderate (I²=25-50%), High (I²=50-75%), or Very High (I²&gt;75%).</w:t>
            </w:r>
          </w:p>
        </w:tc>
      </w:tr>
      <w:tr w:rsidR="00E332FC" w14:paraId="3CE91599" w14:textId="77777777" w:rsidTr="00DB14A6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598" w14:textId="51543C9B" w:rsidR="00E332FC" w:rsidRPr="008142E2" w:rsidRDefault="00DB14A6" w:rsidP="00814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Five of six stratifications (83.3%) show low heterogeneity (I²&lt;25%), indicating stable time-to-ICSI effects across patient subgroups. Only Ovarian Response exhibits moderate heterogeneity (I²=34.2%, Q=4.56, P=0.207), though the Q test remains non-significant, suggesting the observed variation is likely due to random sampling error rather than true effect modification. All six stratifications have non-significant Q tests (all P&gt;0.05), and the absence of significant interactions in formal testing (Table S</w:t>
            </w:r>
            <w:r w:rsidR="001B6508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  <w:lang w:eastAsia="zh-CN"/>
              </w:rPr>
              <w:t>7</w:t>
            </w:r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, all FDR Q&gt;0.10) further supports the consistency of time effects across subgroups. These findings demonstrate the robustness and generalizability of the time-to-ICSI effect, supporting unified clinical recommendations without stratification.</w:t>
            </w:r>
          </w:p>
        </w:tc>
      </w:tr>
      <w:tr w:rsidR="00DB14A6" w14:paraId="22B65869" w14:textId="77777777" w:rsidTr="00DB14A6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1B47F" w14:textId="60538E76" w:rsidR="00DB14A6" w:rsidRPr="00DB14A6" w:rsidRDefault="00DB14A6" w:rsidP="00814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Abbreviations: AFC, antral follicle count; AMH, anti-Müllerian hormone; BMI, body mass index; </w:t>
            </w:r>
            <w:proofErr w:type="spellStart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df</w:t>
            </w:r>
            <w:proofErr w:type="spellEnd"/>
            <w:r w:rsidRPr="00DB14A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, degrees of freedom; FDR, false discovery rate; ICSI, intracytoplasmic sperm injection.</w:t>
            </w:r>
          </w:p>
        </w:tc>
      </w:tr>
    </w:tbl>
    <w:p w14:paraId="3CE9159A" w14:textId="77777777" w:rsidR="0078002C" w:rsidRDefault="0078002C"/>
    <w:sectPr w:rsidR="0078002C" w:rsidSect="00520028">
      <w:type w:val="continuous"/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6014293">
    <w:abstractNumId w:val="1"/>
  </w:num>
  <w:num w:numId="2" w16cid:durableId="1938975828">
    <w:abstractNumId w:val="2"/>
  </w:num>
  <w:num w:numId="3" w16cid:durableId="4840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2FC"/>
    <w:rsid w:val="00030560"/>
    <w:rsid w:val="00121793"/>
    <w:rsid w:val="001B6508"/>
    <w:rsid w:val="001F4B30"/>
    <w:rsid w:val="003F6BF3"/>
    <w:rsid w:val="00520028"/>
    <w:rsid w:val="005B5589"/>
    <w:rsid w:val="007327E9"/>
    <w:rsid w:val="0078002C"/>
    <w:rsid w:val="008142E2"/>
    <w:rsid w:val="008A13B5"/>
    <w:rsid w:val="00B01D5F"/>
    <w:rsid w:val="00C925F8"/>
    <w:rsid w:val="00DB14A6"/>
    <w:rsid w:val="00E332FC"/>
    <w:rsid w:val="00E5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9154C"/>
  <w15:docId w15:val="{3297393F-5AB0-6F4C-A757-EA14C328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19</cp:revision>
  <dcterms:created xsi:type="dcterms:W3CDTF">2017-02-28T11:18:00Z</dcterms:created>
  <dcterms:modified xsi:type="dcterms:W3CDTF">2026-04-23T03:18:00Z</dcterms:modified>
  <cp:category/>
</cp:coreProperties>
</file>