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751E0" w14:textId="7F75F4F9" w:rsidR="008A6D4C" w:rsidRPr="00050FBA" w:rsidRDefault="00050FBA" w:rsidP="00050FBA">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b/>
          <w:color w:val="000000"/>
          <w:lang w:eastAsia="zh-CN"/>
        </w:rPr>
      </w:pPr>
      <w:r w:rsidRPr="00050FBA">
        <w:rPr>
          <w:rFonts w:ascii="Times New Roman" w:eastAsia="Times New Roman" w:hAnsi="Times New Roman" w:cs="Times New Roman"/>
          <w:b/>
          <w:color w:val="000000"/>
        </w:rPr>
        <w:t>Table S1</w:t>
      </w:r>
      <w:r w:rsidR="00D42FCB">
        <w:rPr>
          <w:rFonts w:ascii="Times New Roman" w:eastAsia="Times New Roman" w:hAnsi="Times New Roman" w:cs="Times New Roman" w:hint="eastAsia"/>
          <w:b/>
          <w:color w:val="000000"/>
          <w:lang w:eastAsia="zh-CN"/>
        </w:rPr>
        <w:t>0</w:t>
      </w:r>
      <w:r w:rsidRPr="00050FBA">
        <w:rPr>
          <w:rFonts w:ascii="Times New Roman" w:eastAsia="Times New Roman" w:hAnsi="Times New Roman" w:cs="Times New Roman"/>
          <w:b/>
          <w:color w:val="000000"/>
        </w:rPr>
        <w:t>. Comprehensive robustness analysis summary with component-wise scores and overall rating</w:t>
      </w:r>
    </w:p>
    <w:tbl>
      <w:tblPr>
        <w:tblW w:w="5000" w:type="pct"/>
        <w:jc w:val="center"/>
        <w:tblLayout w:type="fixed"/>
        <w:tblLook w:val="0420" w:firstRow="1" w:lastRow="0" w:firstColumn="0" w:lastColumn="0" w:noHBand="0" w:noVBand="1"/>
      </w:tblPr>
      <w:tblGrid>
        <w:gridCol w:w="1886"/>
        <w:gridCol w:w="3457"/>
        <w:gridCol w:w="2828"/>
        <w:gridCol w:w="1571"/>
        <w:gridCol w:w="1257"/>
        <w:gridCol w:w="1257"/>
        <w:gridCol w:w="1571"/>
        <w:gridCol w:w="1571"/>
      </w:tblGrid>
      <w:tr w:rsidR="004F287D" w14:paraId="7A2A01CB" w14:textId="77777777" w:rsidTr="008A6D4C">
        <w:trPr>
          <w:tblHeader/>
          <w:jc w:val="center"/>
        </w:trPr>
        <w:tc>
          <w:tcPr>
            <w:tcW w:w="1886" w:type="dxa"/>
            <w:tcBorders>
              <w:top w:val="single" w:sz="16" w:space="0" w:color="000000"/>
              <w:left w:val="none" w:sz="0" w:space="0" w:color="000000"/>
              <w:bottom w:val="single" w:sz="16" w:space="0" w:color="000000"/>
              <w:right w:val="none" w:sz="0" w:space="0" w:color="000000"/>
            </w:tcBorders>
            <w:shd w:val="clear" w:color="auto" w:fill="F0F0F0"/>
            <w:tcMar>
              <w:top w:w="0" w:type="dxa"/>
              <w:left w:w="0" w:type="dxa"/>
              <w:bottom w:w="0" w:type="dxa"/>
              <w:right w:w="0" w:type="dxa"/>
            </w:tcMar>
            <w:vAlign w:val="center"/>
          </w:tcPr>
          <w:p w14:paraId="7A2A01C3"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Dimension</w:t>
            </w:r>
          </w:p>
        </w:tc>
        <w:tc>
          <w:tcPr>
            <w:tcW w:w="3457" w:type="dxa"/>
            <w:tcBorders>
              <w:top w:val="single" w:sz="16" w:space="0" w:color="000000"/>
              <w:left w:val="none" w:sz="0" w:space="0" w:color="000000"/>
              <w:bottom w:val="single" w:sz="16" w:space="0" w:color="000000"/>
              <w:right w:val="none" w:sz="0" w:space="0" w:color="000000"/>
            </w:tcBorders>
            <w:shd w:val="clear" w:color="auto" w:fill="F0F0F0"/>
            <w:tcMar>
              <w:top w:w="0" w:type="dxa"/>
              <w:left w:w="0" w:type="dxa"/>
              <w:bottom w:w="0" w:type="dxa"/>
              <w:right w:w="0" w:type="dxa"/>
            </w:tcMar>
            <w:vAlign w:val="center"/>
          </w:tcPr>
          <w:p w14:paraId="7A2A01C4"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Criterion</w:t>
            </w:r>
          </w:p>
        </w:tc>
        <w:tc>
          <w:tcPr>
            <w:tcW w:w="2828" w:type="dxa"/>
            <w:tcBorders>
              <w:top w:val="single" w:sz="16" w:space="0" w:color="000000"/>
              <w:left w:val="none" w:sz="0" w:space="0" w:color="000000"/>
              <w:bottom w:val="single" w:sz="16" w:space="0" w:color="000000"/>
              <w:right w:val="none" w:sz="0" w:space="0" w:color="000000"/>
            </w:tcBorders>
            <w:shd w:val="clear" w:color="auto" w:fill="F0F0F0"/>
            <w:tcMar>
              <w:top w:w="0" w:type="dxa"/>
              <w:left w:w="0" w:type="dxa"/>
              <w:bottom w:w="0" w:type="dxa"/>
              <w:right w:w="0" w:type="dxa"/>
            </w:tcMar>
            <w:vAlign w:val="center"/>
          </w:tcPr>
          <w:p w14:paraId="7A2A01C5"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Excellence Threshold</w:t>
            </w:r>
          </w:p>
        </w:tc>
        <w:tc>
          <w:tcPr>
            <w:tcW w:w="1571" w:type="dxa"/>
            <w:tcBorders>
              <w:top w:val="single" w:sz="16" w:space="0" w:color="000000"/>
              <w:left w:val="none" w:sz="0" w:space="0" w:color="000000"/>
              <w:bottom w:val="single" w:sz="16" w:space="0" w:color="000000"/>
              <w:right w:val="none" w:sz="0" w:space="0" w:color="000000"/>
            </w:tcBorders>
            <w:shd w:val="clear" w:color="auto" w:fill="F0F0F0"/>
            <w:tcMar>
              <w:top w:w="0" w:type="dxa"/>
              <w:left w:w="0" w:type="dxa"/>
              <w:bottom w:w="0" w:type="dxa"/>
              <w:right w:w="0" w:type="dxa"/>
            </w:tcMar>
            <w:vAlign w:val="center"/>
          </w:tcPr>
          <w:p w14:paraId="7A2A01C6"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Observed Value</w:t>
            </w:r>
          </w:p>
        </w:tc>
        <w:tc>
          <w:tcPr>
            <w:tcW w:w="1257" w:type="dxa"/>
            <w:tcBorders>
              <w:top w:val="single" w:sz="16" w:space="0" w:color="000000"/>
              <w:left w:val="none" w:sz="0" w:space="0" w:color="000000"/>
              <w:bottom w:val="single" w:sz="16" w:space="0" w:color="000000"/>
              <w:right w:val="none" w:sz="0" w:space="0" w:color="000000"/>
            </w:tcBorders>
            <w:shd w:val="clear" w:color="auto" w:fill="F0F0F0"/>
            <w:tcMar>
              <w:top w:w="0" w:type="dxa"/>
              <w:left w:w="0" w:type="dxa"/>
              <w:bottom w:w="0" w:type="dxa"/>
              <w:right w:w="0" w:type="dxa"/>
            </w:tcMar>
            <w:vAlign w:val="center"/>
          </w:tcPr>
          <w:p w14:paraId="7A2A01C7"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Score</w:t>
            </w:r>
          </w:p>
        </w:tc>
        <w:tc>
          <w:tcPr>
            <w:tcW w:w="1257" w:type="dxa"/>
            <w:tcBorders>
              <w:top w:val="single" w:sz="16" w:space="0" w:color="000000"/>
              <w:left w:val="none" w:sz="0" w:space="0" w:color="000000"/>
              <w:bottom w:val="single" w:sz="16" w:space="0" w:color="000000"/>
              <w:right w:val="none" w:sz="0" w:space="0" w:color="000000"/>
            </w:tcBorders>
            <w:shd w:val="clear" w:color="auto" w:fill="F0F0F0"/>
            <w:tcMar>
              <w:top w:w="0" w:type="dxa"/>
              <w:left w:w="0" w:type="dxa"/>
              <w:bottom w:w="0" w:type="dxa"/>
              <w:right w:w="0" w:type="dxa"/>
            </w:tcMar>
            <w:vAlign w:val="center"/>
          </w:tcPr>
          <w:p w14:paraId="7A2A01C8"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Weight</w:t>
            </w:r>
          </w:p>
        </w:tc>
        <w:tc>
          <w:tcPr>
            <w:tcW w:w="1571" w:type="dxa"/>
            <w:tcBorders>
              <w:top w:val="single" w:sz="16" w:space="0" w:color="000000"/>
              <w:left w:val="none" w:sz="0" w:space="0" w:color="000000"/>
              <w:bottom w:val="single" w:sz="16" w:space="0" w:color="000000"/>
              <w:right w:val="none" w:sz="0" w:space="0" w:color="000000"/>
            </w:tcBorders>
            <w:shd w:val="clear" w:color="auto" w:fill="F0F0F0"/>
            <w:tcMar>
              <w:top w:w="0" w:type="dxa"/>
              <w:left w:w="0" w:type="dxa"/>
              <w:bottom w:w="0" w:type="dxa"/>
              <w:right w:w="0" w:type="dxa"/>
            </w:tcMar>
            <w:vAlign w:val="center"/>
          </w:tcPr>
          <w:p w14:paraId="7A2A01C9"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Weighted Score</w:t>
            </w:r>
          </w:p>
        </w:tc>
        <w:tc>
          <w:tcPr>
            <w:tcW w:w="1571" w:type="dxa"/>
            <w:tcBorders>
              <w:top w:val="single" w:sz="16" w:space="0" w:color="000000"/>
              <w:left w:val="none" w:sz="0" w:space="0" w:color="000000"/>
              <w:bottom w:val="single" w:sz="16" w:space="0" w:color="000000"/>
              <w:right w:val="none" w:sz="0" w:space="0" w:color="000000"/>
            </w:tcBorders>
            <w:shd w:val="clear" w:color="auto" w:fill="F0F0F0"/>
            <w:tcMar>
              <w:top w:w="0" w:type="dxa"/>
              <w:left w:w="0" w:type="dxa"/>
              <w:bottom w:w="0" w:type="dxa"/>
              <w:right w:w="0" w:type="dxa"/>
            </w:tcMar>
            <w:vAlign w:val="center"/>
          </w:tcPr>
          <w:p w14:paraId="7A2A01CA"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Rating</w:t>
            </w:r>
          </w:p>
        </w:tc>
      </w:tr>
      <w:tr w:rsidR="004F287D" w14:paraId="7A2A01D4" w14:textId="77777777" w:rsidTr="008A6D4C">
        <w:trPr>
          <w:jc w:val="center"/>
        </w:trPr>
        <w:tc>
          <w:tcPr>
            <w:tcW w:w="1886" w:type="dxa"/>
            <w:vMerge w:val="restart"/>
            <w:tcBorders>
              <w:top w:val="single" w:sz="16" w:space="0" w:color="000000"/>
              <w:left w:val="none" w:sz="0" w:space="0" w:color="000000"/>
              <w:bottom w:val="single" w:sz="8" w:space="0" w:color="999999"/>
              <w:right w:val="none" w:sz="0" w:space="0" w:color="000000"/>
            </w:tcBorders>
            <w:shd w:val="clear" w:color="auto" w:fill="F0F0F0"/>
            <w:tcMar>
              <w:top w:w="0" w:type="dxa"/>
              <w:left w:w="0" w:type="dxa"/>
              <w:bottom w:w="0" w:type="dxa"/>
              <w:right w:w="0" w:type="dxa"/>
            </w:tcMar>
            <w:vAlign w:val="center"/>
          </w:tcPr>
          <w:p w14:paraId="7A2A01CC"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Statistical Inference</w:t>
            </w:r>
          </w:p>
        </w:tc>
        <w:tc>
          <w:tcPr>
            <w:tcW w:w="3457" w:type="dxa"/>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CD"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Weighted Bootstrap Coefficient CV</w:t>
            </w:r>
          </w:p>
        </w:tc>
        <w:tc>
          <w:tcPr>
            <w:tcW w:w="2828" w:type="dxa"/>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CE"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CV &lt; 0.10</w:t>
            </w:r>
          </w:p>
        </w:tc>
        <w:tc>
          <w:tcPr>
            <w:tcW w:w="1571" w:type="dxa"/>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CF"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0.1403</w:t>
            </w:r>
          </w:p>
        </w:tc>
        <w:tc>
          <w:tcPr>
            <w:tcW w:w="1257" w:type="dxa"/>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D0"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6/10</w:t>
            </w:r>
          </w:p>
        </w:tc>
        <w:tc>
          <w:tcPr>
            <w:tcW w:w="1257" w:type="dxa"/>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D1"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20%</w:t>
            </w:r>
          </w:p>
        </w:tc>
        <w:tc>
          <w:tcPr>
            <w:tcW w:w="1571" w:type="dxa"/>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D2"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1.20</w:t>
            </w:r>
          </w:p>
        </w:tc>
        <w:tc>
          <w:tcPr>
            <w:tcW w:w="1571" w:type="dxa"/>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D3"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Fair</w:t>
            </w:r>
          </w:p>
        </w:tc>
      </w:tr>
      <w:tr w:rsidR="004F287D" w14:paraId="7A2A01DD" w14:textId="77777777" w:rsidTr="008A6D4C">
        <w:trPr>
          <w:jc w:val="center"/>
        </w:trPr>
        <w:tc>
          <w:tcPr>
            <w:tcW w:w="1886" w:type="dxa"/>
            <w:vMerge/>
            <w:tcBorders>
              <w:top w:val="single" w:sz="8" w:space="0" w:color="999999"/>
              <w:left w:val="none" w:sz="0" w:space="0" w:color="000000"/>
              <w:bottom w:val="none" w:sz="0" w:space="0" w:color="000000"/>
              <w:right w:val="none" w:sz="0" w:space="0" w:color="000000"/>
            </w:tcBorders>
            <w:shd w:val="clear" w:color="auto" w:fill="F0F0F0"/>
            <w:tcMar>
              <w:top w:w="0" w:type="dxa"/>
              <w:left w:w="0" w:type="dxa"/>
              <w:bottom w:w="0" w:type="dxa"/>
              <w:right w:w="0" w:type="dxa"/>
            </w:tcMar>
            <w:vAlign w:val="center"/>
          </w:tcPr>
          <w:p w14:paraId="7A2A01D5" w14:textId="77777777" w:rsidR="004F287D" w:rsidRDefault="004F287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p>
        </w:tc>
        <w:tc>
          <w:tcPr>
            <w:tcW w:w="34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D6"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Robust Standard Error Consistency</w:t>
            </w:r>
          </w:p>
        </w:tc>
        <w:tc>
          <w:tcPr>
            <w:tcW w:w="28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D7"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SE change &lt; 10%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D8"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10.02%</w:t>
            </w:r>
          </w:p>
        </w:tc>
        <w:tc>
          <w:tcPr>
            <w:tcW w:w="12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D9"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7/10</w:t>
            </w:r>
          </w:p>
        </w:tc>
        <w:tc>
          <w:tcPr>
            <w:tcW w:w="12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DA"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DB"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0.70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DC"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Good</w:t>
            </w:r>
          </w:p>
        </w:tc>
      </w:tr>
      <w:tr w:rsidR="004F287D" w14:paraId="7A2A01E6" w14:textId="77777777" w:rsidTr="008A6D4C">
        <w:trPr>
          <w:jc w:val="center"/>
        </w:trPr>
        <w:tc>
          <w:tcPr>
            <w:tcW w:w="1886" w:type="dxa"/>
            <w:vMerge/>
            <w:tcBorders>
              <w:top w:val="none" w:sz="0" w:space="0" w:color="000000"/>
              <w:left w:val="none" w:sz="0" w:space="0" w:color="000000"/>
              <w:bottom w:val="none" w:sz="0" w:space="0" w:color="000000"/>
              <w:right w:val="none" w:sz="0" w:space="0" w:color="000000"/>
            </w:tcBorders>
            <w:shd w:val="clear" w:color="auto" w:fill="F0F0F0"/>
            <w:tcMar>
              <w:top w:w="0" w:type="dxa"/>
              <w:left w:w="0" w:type="dxa"/>
              <w:bottom w:w="0" w:type="dxa"/>
              <w:right w:w="0" w:type="dxa"/>
            </w:tcMar>
            <w:vAlign w:val="center"/>
          </w:tcPr>
          <w:p w14:paraId="7A2A01DE" w14:textId="77777777" w:rsidR="004F287D" w:rsidRDefault="004F287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p>
        </w:tc>
        <w:tc>
          <w:tcPr>
            <w:tcW w:w="34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DF"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Confidence Interval Consistency</w:t>
            </w:r>
          </w:p>
        </w:tc>
        <w:tc>
          <w:tcPr>
            <w:tcW w:w="28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E0"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All 3 CIs exclude zero</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E1"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100.00%</w:t>
            </w:r>
          </w:p>
        </w:tc>
        <w:tc>
          <w:tcPr>
            <w:tcW w:w="12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E2"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10/10</w:t>
            </w:r>
          </w:p>
        </w:tc>
        <w:tc>
          <w:tcPr>
            <w:tcW w:w="12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E3"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E4"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E5"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Excellent</w:t>
            </w:r>
          </w:p>
        </w:tc>
      </w:tr>
      <w:tr w:rsidR="004F287D" w14:paraId="7A2A01EF" w14:textId="77777777" w:rsidTr="008A6D4C">
        <w:trPr>
          <w:jc w:val="center"/>
        </w:trPr>
        <w:tc>
          <w:tcPr>
            <w:tcW w:w="1886" w:type="dxa"/>
            <w:vMerge/>
            <w:tcBorders>
              <w:top w:val="none" w:sz="0" w:space="0" w:color="000000"/>
              <w:left w:val="none" w:sz="0" w:space="0" w:color="000000"/>
              <w:bottom w:val="single" w:sz="8" w:space="0" w:color="999999"/>
              <w:right w:val="none" w:sz="0" w:space="0" w:color="000000"/>
            </w:tcBorders>
            <w:shd w:val="clear" w:color="auto" w:fill="E8F4F8"/>
            <w:tcMar>
              <w:top w:w="0" w:type="dxa"/>
              <w:left w:w="0" w:type="dxa"/>
              <w:bottom w:w="0" w:type="dxa"/>
              <w:right w:w="0" w:type="dxa"/>
            </w:tcMar>
            <w:vAlign w:val="center"/>
          </w:tcPr>
          <w:p w14:paraId="7A2A01E7" w14:textId="77777777" w:rsidR="004F287D" w:rsidRDefault="004F287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p>
        </w:tc>
        <w:tc>
          <w:tcPr>
            <w:tcW w:w="3457" w:type="dxa"/>
            <w:tcBorders>
              <w:top w:val="none" w:sz="0" w:space="0" w:color="000000"/>
              <w:left w:val="none" w:sz="0" w:space="0" w:color="000000"/>
              <w:bottom w:val="single" w:sz="8" w:space="0" w:color="999999"/>
              <w:right w:val="none" w:sz="0" w:space="0" w:color="000000"/>
            </w:tcBorders>
            <w:shd w:val="clear" w:color="auto" w:fill="E8F4F8"/>
            <w:tcMar>
              <w:top w:w="0" w:type="dxa"/>
              <w:left w:w="0" w:type="dxa"/>
              <w:bottom w:w="0" w:type="dxa"/>
              <w:right w:w="0" w:type="dxa"/>
            </w:tcMar>
            <w:vAlign w:val="center"/>
          </w:tcPr>
          <w:p w14:paraId="7A2A01E8"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Subtotal (3 criteria)</w:t>
            </w:r>
          </w:p>
        </w:tc>
        <w:tc>
          <w:tcPr>
            <w:tcW w:w="2828" w:type="dxa"/>
            <w:tcBorders>
              <w:top w:val="none" w:sz="0" w:space="0" w:color="000000"/>
              <w:left w:val="none" w:sz="0" w:space="0" w:color="000000"/>
              <w:bottom w:val="single" w:sz="8" w:space="0" w:color="999999"/>
              <w:right w:val="none" w:sz="0" w:space="0" w:color="000000"/>
            </w:tcBorders>
            <w:shd w:val="clear" w:color="auto" w:fill="E8F4F8"/>
            <w:tcMar>
              <w:top w:w="0" w:type="dxa"/>
              <w:left w:w="0" w:type="dxa"/>
              <w:bottom w:w="0" w:type="dxa"/>
              <w:right w:w="0" w:type="dxa"/>
            </w:tcMar>
            <w:vAlign w:val="center"/>
          </w:tcPr>
          <w:p w14:paraId="7A2A01E9"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t>
            </w:r>
          </w:p>
        </w:tc>
        <w:tc>
          <w:tcPr>
            <w:tcW w:w="1571" w:type="dxa"/>
            <w:tcBorders>
              <w:top w:val="none" w:sz="0" w:space="0" w:color="000000"/>
              <w:left w:val="none" w:sz="0" w:space="0" w:color="000000"/>
              <w:bottom w:val="single" w:sz="8" w:space="0" w:color="999999"/>
              <w:right w:val="none" w:sz="0" w:space="0" w:color="000000"/>
            </w:tcBorders>
            <w:shd w:val="clear" w:color="auto" w:fill="E8F4F8"/>
            <w:tcMar>
              <w:top w:w="0" w:type="dxa"/>
              <w:left w:w="0" w:type="dxa"/>
              <w:bottom w:w="0" w:type="dxa"/>
              <w:right w:w="0" w:type="dxa"/>
            </w:tcMar>
            <w:vAlign w:val="center"/>
          </w:tcPr>
          <w:p w14:paraId="7A2A01EA"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t>
            </w:r>
          </w:p>
        </w:tc>
        <w:tc>
          <w:tcPr>
            <w:tcW w:w="1257" w:type="dxa"/>
            <w:tcBorders>
              <w:top w:val="none" w:sz="0" w:space="0" w:color="000000"/>
              <w:left w:val="none" w:sz="0" w:space="0" w:color="000000"/>
              <w:bottom w:val="single" w:sz="8" w:space="0" w:color="999999"/>
              <w:right w:val="none" w:sz="0" w:space="0" w:color="000000"/>
            </w:tcBorders>
            <w:shd w:val="clear" w:color="auto" w:fill="E8F4F8"/>
            <w:tcMar>
              <w:top w:w="0" w:type="dxa"/>
              <w:left w:w="0" w:type="dxa"/>
              <w:bottom w:w="0" w:type="dxa"/>
              <w:right w:w="0" w:type="dxa"/>
            </w:tcMar>
            <w:vAlign w:val="center"/>
          </w:tcPr>
          <w:p w14:paraId="7A2A01EB"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7.3/10</w:t>
            </w:r>
          </w:p>
        </w:tc>
        <w:tc>
          <w:tcPr>
            <w:tcW w:w="1257" w:type="dxa"/>
            <w:tcBorders>
              <w:top w:val="none" w:sz="0" w:space="0" w:color="000000"/>
              <w:left w:val="none" w:sz="0" w:space="0" w:color="000000"/>
              <w:bottom w:val="single" w:sz="8" w:space="0" w:color="999999"/>
              <w:right w:val="none" w:sz="0" w:space="0" w:color="000000"/>
            </w:tcBorders>
            <w:shd w:val="clear" w:color="auto" w:fill="E8F4F8"/>
            <w:tcMar>
              <w:top w:w="0" w:type="dxa"/>
              <w:left w:w="0" w:type="dxa"/>
              <w:bottom w:w="0" w:type="dxa"/>
              <w:right w:w="0" w:type="dxa"/>
            </w:tcMar>
            <w:vAlign w:val="center"/>
          </w:tcPr>
          <w:p w14:paraId="7A2A01EC"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40%</w:t>
            </w:r>
          </w:p>
        </w:tc>
        <w:tc>
          <w:tcPr>
            <w:tcW w:w="1571" w:type="dxa"/>
            <w:tcBorders>
              <w:top w:val="none" w:sz="0" w:space="0" w:color="000000"/>
              <w:left w:val="none" w:sz="0" w:space="0" w:color="000000"/>
              <w:bottom w:val="single" w:sz="8" w:space="0" w:color="999999"/>
              <w:right w:val="none" w:sz="0" w:space="0" w:color="000000"/>
            </w:tcBorders>
            <w:shd w:val="clear" w:color="auto" w:fill="E8F4F8"/>
            <w:tcMar>
              <w:top w:w="0" w:type="dxa"/>
              <w:left w:w="0" w:type="dxa"/>
              <w:bottom w:w="0" w:type="dxa"/>
              <w:right w:w="0" w:type="dxa"/>
            </w:tcMar>
            <w:vAlign w:val="center"/>
          </w:tcPr>
          <w:p w14:paraId="7A2A01ED"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2.90</w:t>
            </w:r>
          </w:p>
        </w:tc>
        <w:tc>
          <w:tcPr>
            <w:tcW w:w="1571" w:type="dxa"/>
            <w:tcBorders>
              <w:top w:val="none" w:sz="0" w:space="0" w:color="000000"/>
              <w:left w:val="none" w:sz="0" w:space="0" w:color="000000"/>
              <w:bottom w:val="single" w:sz="8" w:space="0" w:color="999999"/>
              <w:right w:val="none" w:sz="0" w:space="0" w:color="000000"/>
            </w:tcBorders>
            <w:shd w:val="clear" w:color="auto" w:fill="E8F4F8"/>
            <w:tcMar>
              <w:top w:w="0" w:type="dxa"/>
              <w:left w:w="0" w:type="dxa"/>
              <w:bottom w:w="0" w:type="dxa"/>
              <w:right w:w="0" w:type="dxa"/>
            </w:tcMar>
            <w:vAlign w:val="center"/>
          </w:tcPr>
          <w:p w14:paraId="7A2A01EE"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Good</w:t>
            </w:r>
          </w:p>
        </w:tc>
      </w:tr>
      <w:tr w:rsidR="004F287D" w14:paraId="7A2A01F8" w14:textId="77777777" w:rsidTr="008A6D4C">
        <w:trPr>
          <w:jc w:val="center"/>
        </w:trPr>
        <w:tc>
          <w:tcPr>
            <w:tcW w:w="1886" w:type="dxa"/>
            <w:vMerge w:val="restart"/>
            <w:tcBorders>
              <w:top w:val="single" w:sz="8" w:space="0" w:color="999999"/>
              <w:left w:val="none" w:sz="0" w:space="0" w:color="000000"/>
              <w:bottom w:val="single" w:sz="8" w:space="0" w:color="999999"/>
              <w:right w:val="none" w:sz="0" w:space="0" w:color="000000"/>
            </w:tcBorders>
            <w:shd w:val="clear" w:color="auto" w:fill="F0F0F0"/>
            <w:tcMar>
              <w:top w:w="0" w:type="dxa"/>
              <w:left w:w="0" w:type="dxa"/>
              <w:bottom w:w="0" w:type="dxa"/>
              <w:right w:w="0" w:type="dxa"/>
            </w:tcMar>
            <w:vAlign w:val="center"/>
          </w:tcPr>
          <w:p w14:paraId="7A2A01F0"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Data Robustness</w:t>
            </w:r>
          </w:p>
        </w:tc>
        <w:tc>
          <w:tcPr>
            <w:tcW w:w="3457" w:type="dxa"/>
            <w:tcBorders>
              <w:top w:val="single" w:sz="8" w:space="0" w:color="999999"/>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F1"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Influential Point Deletion Stability</w:t>
            </w:r>
          </w:p>
        </w:tc>
        <w:tc>
          <w:tcPr>
            <w:tcW w:w="2828" w:type="dxa"/>
            <w:tcBorders>
              <w:top w:val="single" w:sz="8" w:space="0" w:color="999999"/>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F2"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Significant after removing 8% influential points</w:t>
            </w:r>
          </w:p>
        </w:tc>
        <w:tc>
          <w:tcPr>
            <w:tcW w:w="1571" w:type="dxa"/>
            <w:tcBorders>
              <w:top w:val="single" w:sz="8" w:space="0" w:color="999999"/>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F3"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100.00%</w:t>
            </w:r>
          </w:p>
        </w:tc>
        <w:tc>
          <w:tcPr>
            <w:tcW w:w="1257" w:type="dxa"/>
            <w:tcBorders>
              <w:top w:val="single" w:sz="8" w:space="0" w:color="999999"/>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F4"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10/10</w:t>
            </w:r>
          </w:p>
        </w:tc>
        <w:tc>
          <w:tcPr>
            <w:tcW w:w="1257" w:type="dxa"/>
            <w:tcBorders>
              <w:top w:val="single" w:sz="8" w:space="0" w:color="999999"/>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F5"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15%</w:t>
            </w:r>
          </w:p>
        </w:tc>
        <w:tc>
          <w:tcPr>
            <w:tcW w:w="1571" w:type="dxa"/>
            <w:tcBorders>
              <w:top w:val="single" w:sz="8" w:space="0" w:color="999999"/>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F6"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1.50</w:t>
            </w:r>
          </w:p>
        </w:tc>
        <w:tc>
          <w:tcPr>
            <w:tcW w:w="1571" w:type="dxa"/>
            <w:tcBorders>
              <w:top w:val="single" w:sz="8" w:space="0" w:color="999999"/>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F7"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Excellent</w:t>
            </w:r>
          </w:p>
        </w:tc>
      </w:tr>
      <w:tr w:rsidR="004F287D" w14:paraId="7A2A0201" w14:textId="77777777" w:rsidTr="008A6D4C">
        <w:trPr>
          <w:jc w:val="center"/>
        </w:trPr>
        <w:tc>
          <w:tcPr>
            <w:tcW w:w="1886" w:type="dxa"/>
            <w:vMerge/>
            <w:tcBorders>
              <w:top w:val="single" w:sz="8" w:space="0" w:color="999999"/>
              <w:left w:val="none" w:sz="0" w:space="0" w:color="000000"/>
              <w:bottom w:val="none" w:sz="0" w:space="0" w:color="000000"/>
              <w:right w:val="none" w:sz="0" w:space="0" w:color="000000"/>
            </w:tcBorders>
            <w:shd w:val="clear" w:color="auto" w:fill="F0F0F0"/>
            <w:tcMar>
              <w:top w:w="0" w:type="dxa"/>
              <w:left w:w="0" w:type="dxa"/>
              <w:bottom w:w="0" w:type="dxa"/>
              <w:right w:w="0" w:type="dxa"/>
            </w:tcMar>
            <w:vAlign w:val="center"/>
          </w:tcPr>
          <w:p w14:paraId="7A2A01F9" w14:textId="77777777" w:rsidR="004F287D" w:rsidRDefault="004F287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p>
        </w:tc>
        <w:tc>
          <w:tcPr>
            <w:tcW w:w="34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FA"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Extreme Value Treatment Stability</w:t>
            </w:r>
          </w:p>
        </w:tc>
        <w:tc>
          <w:tcPr>
            <w:tcW w:w="28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FB"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Significant after 5% Winsorization</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FC"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100.00%</w:t>
            </w:r>
          </w:p>
        </w:tc>
        <w:tc>
          <w:tcPr>
            <w:tcW w:w="12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FD"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10/10</w:t>
            </w:r>
          </w:p>
        </w:tc>
        <w:tc>
          <w:tcPr>
            <w:tcW w:w="12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FE"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1FF"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200"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Excellent</w:t>
            </w:r>
          </w:p>
        </w:tc>
      </w:tr>
      <w:tr w:rsidR="004F287D" w14:paraId="7A2A020A" w14:textId="77777777" w:rsidTr="008A6D4C">
        <w:trPr>
          <w:jc w:val="center"/>
        </w:trPr>
        <w:tc>
          <w:tcPr>
            <w:tcW w:w="1886" w:type="dxa"/>
            <w:vMerge/>
            <w:tcBorders>
              <w:top w:val="none" w:sz="0" w:space="0" w:color="000000"/>
              <w:left w:val="none" w:sz="0" w:space="0" w:color="000000"/>
              <w:bottom w:val="none" w:sz="0" w:space="0" w:color="000000"/>
              <w:right w:val="none" w:sz="0" w:space="0" w:color="000000"/>
            </w:tcBorders>
            <w:shd w:val="clear" w:color="auto" w:fill="F0F0F0"/>
            <w:tcMar>
              <w:top w:w="0" w:type="dxa"/>
              <w:left w:w="0" w:type="dxa"/>
              <w:bottom w:w="0" w:type="dxa"/>
              <w:right w:w="0" w:type="dxa"/>
            </w:tcMar>
            <w:vAlign w:val="center"/>
          </w:tcPr>
          <w:p w14:paraId="7A2A0202" w14:textId="77777777" w:rsidR="004F287D" w:rsidRDefault="004F287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p>
        </w:tc>
        <w:tc>
          <w:tcPr>
            <w:tcW w:w="34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203"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Random Subsampling Significance Retention</w:t>
            </w:r>
          </w:p>
        </w:tc>
        <w:tc>
          <w:tcPr>
            <w:tcW w:w="28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204"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Retention rate &gt; 95%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205"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92.00%</w:t>
            </w:r>
          </w:p>
        </w:tc>
        <w:tc>
          <w:tcPr>
            <w:tcW w:w="12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206"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8/10</w:t>
            </w:r>
          </w:p>
        </w:tc>
        <w:tc>
          <w:tcPr>
            <w:tcW w:w="12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207"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15%</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208"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1.20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209"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Very Good</w:t>
            </w:r>
          </w:p>
        </w:tc>
      </w:tr>
      <w:tr w:rsidR="004F287D" w14:paraId="7A2A0213" w14:textId="77777777" w:rsidTr="008A6D4C">
        <w:trPr>
          <w:jc w:val="center"/>
        </w:trPr>
        <w:tc>
          <w:tcPr>
            <w:tcW w:w="1886" w:type="dxa"/>
            <w:vMerge/>
            <w:tcBorders>
              <w:top w:val="none" w:sz="0" w:space="0" w:color="000000"/>
              <w:left w:val="none" w:sz="0" w:space="0" w:color="000000"/>
              <w:bottom w:val="single" w:sz="8" w:space="0" w:color="999999"/>
              <w:right w:val="none" w:sz="0" w:space="0" w:color="000000"/>
            </w:tcBorders>
            <w:shd w:val="clear" w:color="auto" w:fill="E8F4F8"/>
            <w:tcMar>
              <w:top w:w="0" w:type="dxa"/>
              <w:left w:w="0" w:type="dxa"/>
              <w:bottom w:w="0" w:type="dxa"/>
              <w:right w:w="0" w:type="dxa"/>
            </w:tcMar>
            <w:vAlign w:val="center"/>
          </w:tcPr>
          <w:p w14:paraId="7A2A020B" w14:textId="77777777" w:rsidR="004F287D" w:rsidRDefault="004F287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p>
        </w:tc>
        <w:tc>
          <w:tcPr>
            <w:tcW w:w="3457" w:type="dxa"/>
            <w:tcBorders>
              <w:top w:val="none" w:sz="0" w:space="0" w:color="000000"/>
              <w:left w:val="none" w:sz="0" w:space="0" w:color="000000"/>
              <w:bottom w:val="single" w:sz="8" w:space="0" w:color="999999"/>
              <w:right w:val="none" w:sz="0" w:space="0" w:color="000000"/>
            </w:tcBorders>
            <w:shd w:val="clear" w:color="auto" w:fill="E8F4F8"/>
            <w:tcMar>
              <w:top w:w="0" w:type="dxa"/>
              <w:left w:w="0" w:type="dxa"/>
              <w:bottom w:w="0" w:type="dxa"/>
              <w:right w:w="0" w:type="dxa"/>
            </w:tcMar>
            <w:vAlign w:val="center"/>
          </w:tcPr>
          <w:p w14:paraId="7A2A020C"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Subtotal (3 criteria)</w:t>
            </w:r>
          </w:p>
        </w:tc>
        <w:tc>
          <w:tcPr>
            <w:tcW w:w="2828" w:type="dxa"/>
            <w:tcBorders>
              <w:top w:val="none" w:sz="0" w:space="0" w:color="000000"/>
              <w:left w:val="none" w:sz="0" w:space="0" w:color="000000"/>
              <w:bottom w:val="single" w:sz="8" w:space="0" w:color="999999"/>
              <w:right w:val="none" w:sz="0" w:space="0" w:color="000000"/>
            </w:tcBorders>
            <w:shd w:val="clear" w:color="auto" w:fill="E8F4F8"/>
            <w:tcMar>
              <w:top w:w="0" w:type="dxa"/>
              <w:left w:w="0" w:type="dxa"/>
              <w:bottom w:w="0" w:type="dxa"/>
              <w:right w:w="0" w:type="dxa"/>
            </w:tcMar>
            <w:vAlign w:val="center"/>
          </w:tcPr>
          <w:p w14:paraId="7A2A020D"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t>
            </w:r>
          </w:p>
        </w:tc>
        <w:tc>
          <w:tcPr>
            <w:tcW w:w="1571" w:type="dxa"/>
            <w:tcBorders>
              <w:top w:val="none" w:sz="0" w:space="0" w:color="000000"/>
              <w:left w:val="none" w:sz="0" w:space="0" w:color="000000"/>
              <w:bottom w:val="single" w:sz="8" w:space="0" w:color="999999"/>
              <w:right w:val="none" w:sz="0" w:space="0" w:color="000000"/>
            </w:tcBorders>
            <w:shd w:val="clear" w:color="auto" w:fill="E8F4F8"/>
            <w:tcMar>
              <w:top w:w="0" w:type="dxa"/>
              <w:left w:w="0" w:type="dxa"/>
              <w:bottom w:w="0" w:type="dxa"/>
              <w:right w:w="0" w:type="dxa"/>
            </w:tcMar>
            <w:vAlign w:val="center"/>
          </w:tcPr>
          <w:p w14:paraId="7A2A020E"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t>
            </w:r>
          </w:p>
        </w:tc>
        <w:tc>
          <w:tcPr>
            <w:tcW w:w="1257" w:type="dxa"/>
            <w:tcBorders>
              <w:top w:val="none" w:sz="0" w:space="0" w:color="000000"/>
              <w:left w:val="none" w:sz="0" w:space="0" w:color="000000"/>
              <w:bottom w:val="single" w:sz="8" w:space="0" w:color="999999"/>
              <w:right w:val="none" w:sz="0" w:space="0" w:color="000000"/>
            </w:tcBorders>
            <w:shd w:val="clear" w:color="auto" w:fill="E8F4F8"/>
            <w:tcMar>
              <w:top w:w="0" w:type="dxa"/>
              <w:left w:w="0" w:type="dxa"/>
              <w:bottom w:w="0" w:type="dxa"/>
              <w:right w:w="0" w:type="dxa"/>
            </w:tcMar>
            <w:vAlign w:val="center"/>
          </w:tcPr>
          <w:p w14:paraId="7A2A020F"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9.2/10</w:t>
            </w:r>
          </w:p>
        </w:tc>
        <w:tc>
          <w:tcPr>
            <w:tcW w:w="1257" w:type="dxa"/>
            <w:tcBorders>
              <w:top w:val="none" w:sz="0" w:space="0" w:color="000000"/>
              <w:left w:val="none" w:sz="0" w:space="0" w:color="000000"/>
              <w:bottom w:val="single" w:sz="8" w:space="0" w:color="999999"/>
              <w:right w:val="none" w:sz="0" w:space="0" w:color="000000"/>
            </w:tcBorders>
            <w:shd w:val="clear" w:color="auto" w:fill="E8F4F8"/>
            <w:tcMar>
              <w:top w:w="0" w:type="dxa"/>
              <w:left w:w="0" w:type="dxa"/>
              <w:bottom w:w="0" w:type="dxa"/>
              <w:right w:w="0" w:type="dxa"/>
            </w:tcMar>
            <w:vAlign w:val="center"/>
          </w:tcPr>
          <w:p w14:paraId="7A2A0210"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40%</w:t>
            </w:r>
          </w:p>
        </w:tc>
        <w:tc>
          <w:tcPr>
            <w:tcW w:w="1571" w:type="dxa"/>
            <w:tcBorders>
              <w:top w:val="none" w:sz="0" w:space="0" w:color="000000"/>
              <w:left w:val="none" w:sz="0" w:space="0" w:color="000000"/>
              <w:bottom w:val="single" w:sz="8" w:space="0" w:color="999999"/>
              <w:right w:val="none" w:sz="0" w:space="0" w:color="000000"/>
            </w:tcBorders>
            <w:shd w:val="clear" w:color="auto" w:fill="E8F4F8"/>
            <w:tcMar>
              <w:top w:w="0" w:type="dxa"/>
              <w:left w:w="0" w:type="dxa"/>
              <w:bottom w:w="0" w:type="dxa"/>
              <w:right w:w="0" w:type="dxa"/>
            </w:tcMar>
            <w:vAlign w:val="center"/>
          </w:tcPr>
          <w:p w14:paraId="7A2A0211"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3.70</w:t>
            </w:r>
          </w:p>
        </w:tc>
        <w:tc>
          <w:tcPr>
            <w:tcW w:w="1571" w:type="dxa"/>
            <w:tcBorders>
              <w:top w:val="none" w:sz="0" w:space="0" w:color="000000"/>
              <w:left w:val="none" w:sz="0" w:space="0" w:color="000000"/>
              <w:bottom w:val="single" w:sz="8" w:space="0" w:color="999999"/>
              <w:right w:val="none" w:sz="0" w:space="0" w:color="000000"/>
            </w:tcBorders>
            <w:shd w:val="clear" w:color="auto" w:fill="E8F4F8"/>
            <w:tcMar>
              <w:top w:w="0" w:type="dxa"/>
              <w:left w:w="0" w:type="dxa"/>
              <w:bottom w:w="0" w:type="dxa"/>
              <w:right w:w="0" w:type="dxa"/>
            </w:tcMar>
            <w:vAlign w:val="center"/>
          </w:tcPr>
          <w:p w14:paraId="7A2A0212"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Excellent</w:t>
            </w:r>
          </w:p>
        </w:tc>
      </w:tr>
      <w:tr w:rsidR="004F287D" w14:paraId="7A2A021C" w14:textId="77777777" w:rsidTr="008A6D4C">
        <w:trPr>
          <w:jc w:val="center"/>
        </w:trPr>
        <w:tc>
          <w:tcPr>
            <w:tcW w:w="1886" w:type="dxa"/>
            <w:vMerge w:val="restart"/>
            <w:tcBorders>
              <w:top w:val="single" w:sz="8" w:space="0" w:color="999999"/>
              <w:left w:val="none" w:sz="0" w:space="0" w:color="000000"/>
              <w:bottom w:val="single" w:sz="8" w:space="0" w:color="999999"/>
              <w:right w:val="none" w:sz="0" w:space="0" w:color="000000"/>
            </w:tcBorders>
            <w:shd w:val="clear" w:color="auto" w:fill="F0F0F0"/>
            <w:tcMar>
              <w:top w:w="0" w:type="dxa"/>
              <w:left w:w="0" w:type="dxa"/>
              <w:bottom w:w="0" w:type="dxa"/>
              <w:right w:w="0" w:type="dxa"/>
            </w:tcMar>
            <w:vAlign w:val="center"/>
          </w:tcPr>
          <w:p w14:paraId="7A2A0214"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Prediction Stability</w:t>
            </w:r>
          </w:p>
        </w:tc>
        <w:tc>
          <w:tcPr>
            <w:tcW w:w="3457" w:type="dxa"/>
            <w:tcBorders>
              <w:top w:val="single" w:sz="8" w:space="0" w:color="999999"/>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215"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LOOCV Absolute R² Loss</w:t>
            </w:r>
          </w:p>
        </w:tc>
        <w:tc>
          <w:tcPr>
            <w:tcW w:w="2828" w:type="dxa"/>
            <w:tcBorders>
              <w:top w:val="single" w:sz="8" w:space="0" w:color="999999"/>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216"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Absolute loss &lt; 0.01</w:t>
            </w:r>
          </w:p>
        </w:tc>
        <w:tc>
          <w:tcPr>
            <w:tcW w:w="1571" w:type="dxa"/>
            <w:tcBorders>
              <w:top w:val="single" w:sz="8" w:space="0" w:color="999999"/>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217"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0.0097</w:t>
            </w:r>
          </w:p>
        </w:tc>
        <w:tc>
          <w:tcPr>
            <w:tcW w:w="1257" w:type="dxa"/>
            <w:tcBorders>
              <w:top w:val="single" w:sz="8" w:space="0" w:color="999999"/>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218"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8/10</w:t>
            </w:r>
          </w:p>
        </w:tc>
        <w:tc>
          <w:tcPr>
            <w:tcW w:w="1257" w:type="dxa"/>
            <w:tcBorders>
              <w:top w:val="single" w:sz="8" w:space="0" w:color="999999"/>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219"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w:t>
            </w:r>
          </w:p>
        </w:tc>
        <w:tc>
          <w:tcPr>
            <w:tcW w:w="1571" w:type="dxa"/>
            <w:tcBorders>
              <w:top w:val="single" w:sz="8" w:space="0" w:color="999999"/>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21A"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0.80</w:t>
            </w:r>
          </w:p>
        </w:tc>
        <w:tc>
          <w:tcPr>
            <w:tcW w:w="1571" w:type="dxa"/>
            <w:tcBorders>
              <w:top w:val="single" w:sz="8" w:space="0" w:color="999999"/>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21B"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Very Good</w:t>
            </w:r>
          </w:p>
        </w:tc>
      </w:tr>
      <w:tr w:rsidR="004F287D" w14:paraId="7A2A0225" w14:textId="77777777" w:rsidTr="008A6D4C">
        <w:trPr>
          <w:jc w:val="center"/>
        </w:trPr>
        <w:tc>
          <w:tcPr>
            <w:tcW w:w="1886" w:type="dxa"/>
            <w:vMerge/>
            <w:tcBorders>
              <w:top w:val="single" w:sz="8" w:space="0" w:color="999999"/>
              <w:left w:val="none" w:sz="0" w:space="0" w:color="000000"/>
              <w:bottom w:val="none" w:sz="0" w:space="0" w:color="000000"/>
              <w:right w:val="none" w:sz="0" w:space="0" w:color="000000"/>
            </w:tcBorders>
            <w:shd w:val="clear" w:color="auto" w:fill="F0F0F0"/>
            <w:tcMar>
              <w:top w:w="0" w:type="dxa"/>
              <w:left w:w="0" w:type="dxa"/>
              <w:bottom w:w="0" w:type="dxa"/>
              <w:right w:w="0" w:type="dxa"/>
            </w:tcMar>
            <w:vAlign w:val="center"/>
          </w:tcPr>
          <w:p w14:paraId="7A2A021D" w14:textId="77777777" w:rsidR="004F287D" w:rsidRDefault="004F287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p>
        </w:tc>
        <w:tc>
          <w:tcPr>
            <w:tcW w:w="34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21E"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K-Fold CV Absolute R² Loss</w:t>
            </w:r>
          </w:p>
        </w:tc>
        <w:tc>
          <w:tcPr>
            <w:tcW w:w="282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21F"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Absolute loss &lt; 0.01</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220"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0.0082</w:t>
            </w:r>
          </w:p>
        </w:tc>
        <w:tc>
          <w:tcPr>
            <w:tcW w:w="12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221"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8/10</w:t>
            </w:r>
          </w:p>
        </w:tc>
        <w:tc>
          <w:tcPr>
            <w:tcW w:w="12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222"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223"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0.80</w:t>
            </w:r>
          </w:p>
        </w:tc>
        <w:tc>
          <w:tcPr>
            <w:tcW w:w="15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224"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Very Good</w:t>
            </w:r>
          </w:p>
        </w:tc>
      </w:tr>
      <w:tr w:rsidR="004F287D" w14:paraId="7A2A022E" w14:textId="77777777" w:rsidTr="008A6D4C">
        <w:trPr>
          <w:jc w:val="center"/>
        </w:trPr>
        <w:tc>
          <w:tcPr>
            <w:tcW w:w="1886" w:type="dxa"/>
            <w:vMerge/>
            <w:tcBorders>
              <w:top w:val="none" w:sz="0" w:space="0" w:color="000000"/>
              <w:left w:val="none" w:sz="0" w:space="0" w:color="000000"/>
              <w:bottom w:val="single" w:sz="8" w:space="0" w:color="999999"/>
              <w:right w:val="none" w:sz="0" w:space="0" w:color="000000"/>
            </w:tcBorders>
            <w:shd w:val="clear" w:color="auto" w:fill="E8F4F8"/>
            <w:tcMar>
              <w:top w:w="0" w:type="dxa"/>
              <w:left w:w="0" w:type="dxa"/>
              <w:bottom w:w="0" w:type="dxa"/>
              <w:right w:w="0" w:type="dxa"/>
            </w:tcMar>
            <w:vAlign w:val="center"/>
          </w:tcPr>
          <w:p w14:paraId="7A2A0226" w14:textId="77777777" w:rsidR="004F287D" w:rsidRDefault="004F287D">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p>
        </w:tc>
        <w:tc>
          <w:tcPr>
            <w:tcW w:w="3457" w:type="dxa"/>
            <w:tcBorders>
              <w:top w:val="none" w:sz="0" w:space="0" w:color="000000"/>
              <w:left w:val="none" w:sz="0" w:space="0" w:color="000000"/>
              <w:bottom w:val="single" w:sz="8" w:space="0" w:color="999999"/>
              <w:right w:val="none" w:sz="0" w:space="0" w:color="000000"/>
            </w:tcBorders>
            <w:shd w:val="clear" w:color="auto" w:fill="E8F4F8"/>
            <w:tcMar>
              <w:top w:w="0" w:type="dxa"/>
              <w:left w:w="0" w:type="dxa"/>
              <w:bottom w:w="0" w:type="dxa"/>
              <w:right w:w="0" w:type="dxa"/>
            </w:tcMar>
            <w:vAlign w:val="center"/>
          </w:tcPr>
          <w:p w14:paraId="7A2A0227"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Subtotal (2 criteria)</w:t>
            </w:r>
          </w:p>
        </w:tc>
        <w:tc>
          <w:tcPr>
            <w:tcW w:w="2828" w:type="dxa"/>
            <w:tcBorders>
              <w:top w:val="none" w:sz="0" w:space="0" w:color="000000"/>
              <w:left w:val="none" w:sz="0" w:space="0" w:color="000000"/>
              <w:bottom w:val="single" w:sz="8" w:space="0" w:color="999999"/>
              <w:right w:val="none" w:sz="0" w:space="0" w:color="000000"/>
            </w:tcBorders>
            <w:shd w:val="clear" w:color="auto" w:fill="E8F4F8"/>
            <w:tcMar>
              <w:top w:w="0" w:type="dxa"/>
              <w:left w:w="0" w:type="dxa"/>
              <w:bottom w:w="0" w:type="dxa"/>
              <w:right w:w="0" w:type="dxa"/>
            </w:tcMar>
            <w:vAlign w:val="center"/>
          </w:tcPr>
          <w:p w14:paraId="7A2A0228"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t>
            </w:r>
          </w:p>
        </w:tc>
        <w:tc>
          <w:tcPr>
            <w:tcW w:w="1571" w:type="dxa"/>
            <w:tcBorders>
              <w:top w:val="none" w:sz="0" w:space="0" w:color="000000"/>
              <w:left w:val="none" w:sz="0" w:space="0" w:color="000000"/>
              <w:bottom w:val="single" w:sz="8" w:space="0" w:color="999999"/>
              <w:right w:val="none" w:sz="0" w:space="0" w:color="000000"/>
            </w:tcBorders>
            <w:shd w:val="clear" w:color="auto" w:fill="E8F4F8"/>
            <w:tcMar>
              <w:top w:w="0" w:type="dxa"/>
              <w:left w:w="0" w:type="dxa"/>
              <w:bottom w:w="0" w:type="dxa"/>
              <w:right w:w="0" w:type="dxa"/>
            </w:tcMar>
            <w:vAlign w:val="center"/>
          </w:tcPr>
          <w:p w14:paraId="7A2A0229"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t>
            </w:r>
          </w:p>
        </w:tc>
        <w:tc>
          <w:tcPr>
            <w:tcW w:w="1257" w:type="dxa"/>
            <w:tcBorders>
              <w:top w:val="none" w:sz="0" w:space="0" w:color="000000"/>
              <w:left w:val="none" w:sz="0" w:space="0" w:color="000000"/>
              <w:bottom w:val="single" w:sz="8" w:space="0" w:color="999999"/>
              <w:right w:val="none" w:sz="0" w:space="0" w:color="000000"/>
            </w:tcBorders>
            <w:shd w:val="clear" w:color="auto" w:fill="E8F4F8"/>
            <w:tcMar>
              <w:top w:w="0" w:type="dxa"/>
              <w:left w:w="0" w:type="dxa"/>
              <w:bottom w:w="0" w:type="dxa"/>
              <w:right w:w="0" w:type="dxa"/>
            </w:tcMar>
            <w:vAlign w:val="center"/>
          </w:tcPr>
          <w:p w14:paraId="7A2A022A"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8.0/10</w:t>
            </w:r>
          </w:p>
        </w:tc>
        <w:tc>
          <w:tcPr>
            <w:tcW w:w="1257" w:type="dxa"/>
            <w:tcBorders>
              <w:top w:val="none" w:sz="0" w:space="0" w:color="000000"/>
              <w:left w:val="none" w:sz="0" w:space="0" w:color="000000"/>
              <w:bottom w:val="single" w:sz="8" w:space="0" w:color="999999"/>
              <w:right w:val="none" w:sz="0" w:space="0" w:color="000000"/>
            </w:tcBorders>
            <w:shd w:val="clear" w:color="auto" w:fill="E8F4F8"/>
            <w:tcMar>
              <w:top w:w="0" w:type="dxa"/>
              <w:left w:w="0" w:type="dxa"/>
              <w:bottom w:w="0" w:type="dxa"/>
              <w:right w:w="0" w:type="dxa"/>
            </w:tcMar>
            <w:vAlign w:val="center"/>
          </w:tcPr>
          <w:p w14:paraId="7A2A022B"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20%</w:t>
            </w:r>
          </w:p>
        </w:tc>
        <w:tc>
          <w:tcPr>
            <w:tcW w:w="1571" w:type="dxa"/>
            <w:tcBorders>
              <w:top w:val="none" w:sz="0" w:space="0" w:color="000000"/>
              <w:left w:val="none" w:sz="0" w:space="0" w:color="000000"/>
              <w:bottom w:val="single" w:sz="8" w:space="0" w:color="999999"/>
              <w:right w:val="none" w:sz="0" w:space="0" w:color="000000"/>
            </w:tcBorders>
            <w:shd w:val="clear" w:color="auto" w:fill="E8F4F8"/>
            <w:tcMar>
              <w:top w:w="0" w:type="dxa"/>
              <w:left w:w="0" w:type="dxa"/>
              <w:bottom w:w="0" w:type="dxa"/>
              <w:right w:w="0" w:type="dxa"/>
            </w:tcMar>
            <w:vAlign w:val="center"/>
          </w:tcPr>
          <w:p w14:paraId="7A2A022C"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1.60</w:t>
            </w:r>
          </w:p>
        </w:tc>
        <w:tc>
          <w:tcPr>
            <w:tcW w:w="1571" w:type="dxa"/>
            <w:tcBorders>
              <w:top w:val="none" w:sz="0" w:space="0" w:color="000000"/>
              <w:left w:val="none" w:sz="0" w:space="0" w:color="000000"/>
              <w:bottom w:val="single" w:sz="8" w:space="0" w:color="999999"/>
              <w:right w:val="none" w:sz="0" w:space="0" w:color="000000"/>
            </w:tcBorders>
            <w:shd w:val="clear" w:color="auto" w:fill="E8F4F8"/>
            <w:tcMar>
              <w:top w:w="0" w:type="dxa"/>
              <w:left w:w="0" w:type="dxa"/>
              <w:bottom w:w="0" w:type="dxa"/>
              <w:right w:w="0" w:type="dxa"/>
            </w:tcMar>
            <w:vAlign w:val="center"/>
          </w:tcPr>
          <w:p w14:paraId="7A2A022D"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Very Good</w:t>
            </w:r>
          </w:p>
        </w:tc>
      </w:tr>
      <w:tr w:rsidR="004F287D" w14:paraId="7A2A0237" w14:textId="77777777" w:rsidTr="008A6D4C">
        <w:trPr>
          <w:jc w:val="center"/>
        </w:trPr>
        <w:tc>
          <w:tcPr>
            <w:tcW w:w="1886" w:type="dxa"/>
            <w:tcBorders>
              <w:top w:val="single" w:sz="8" w:space="0" w:color="999999"/>
              <w:left w:val="none" w:sz="0" w:space="0" w:color="000000"/>
              <w:bottom w:val="single" w:sz="16" w:space="0" w:color="000000"/>
              <w:right w:val="none" w:sz="0" w:space="0" w:color="000000"/>
            </w:tcBorders>
            <w:shd w:val="clear" w:color="auto" w:fill="F0F0F0"/>
            <w:tcMar>
              <w:top w:w="0" w:type="dxa"/>
              <w:left w:w="0" w:type="dxa"/>
              <w:bottom w:w="0" w:type="dxa"/>
              <w:right w:w="0" w:type="dxa"/>
            </w:tcMar>
            <w:vAlign w:val="center"/>
          </w:tcPr>
          <w:p w14:paraId="7A2A022F"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Overall</w:t>
            </w:r>
          </w:p>
        </w:tc>
        <w:tc>
          <w:tcPr>
            <w:tcW w:w="3457" w:type="dxa"/>
            <w:tcBorders>
              <w:top w:val="single" w:sz="8" w:space="0" w:color="999999"/>
              <w:left w:val="none" w:sz="0" w:space="0" w:color="000000"/>
              <w:bottom w:val="single" w:sz="16" w:space="0" w:color="000000"/>
              <w:right w:val="none" w:sz="0" w:space="0" w:color="000000"/>
            </w:tcBorders>
            <w:shd w:val="clear" w:color="auto" w:fill="F0F0F0"/>
            <w:tcMar>
              <w:top w:w="0" w:type="dxa"/>
              <w:left w:w="0" w:type="dxa"/>
              <w:bottom w:w="0" w:type="dxa"/>
              <w:right w:w="0" w:type="dxa"/>
            </w:tcMar>
            <w:vAlign w:val="center"/>
          </w:tcPr>
          <w:p w14:paraId="7A2A0230"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Total (8 criteria)</w:t>
            </w:r>
          </w:p>
        </w:tc>
        <w:tc>
          <w:tcPr>
            <w:tcW w:w="2828" w:type="dxa"/>
            <w:tcBorders>
              <w:top w:val="single" w:sz="8" w:space="0" w:color="999999"/>
              <w:left w:val="none" w:sz="0" w:space="0" w:color="000000"/>
              <w:bottom w:val="single" w:sz="16" w:space="0" w:color="000000"/>
              <w:right w:val="none" w:sz="0" w:space="0" w:color="000000"/>
            </w:tcBorders>
            <w:shd w:val="clear" w:color="auto" w:fill="F0F0F0"/>
            <w:tcMar>
              <w:top w:w="0" w:type="dxa"/>
              <w:left w:w="0" w:type="dxa"/>
              <w:bottom w:w="0" w:type="dxa"/>
              <w:right w:w="0" w:type="dxa"/>
            </w:tcMar>
            <w:vAlign w:val="center"/>
          </w:tcPr>
          <w:p w14:paraId="7A2A0231"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t>
            </w:r>
          </w:p>
        </w:tc>
        <w:tc>
          <w:tcPr>
            <w:tcW w:w="1571" w:type="dxa"/>
            <w:tcBorders>
              <w:top w:val="single" w:sz="8" w:space="0" w:color="999999"/>
              <w:left w:val="none" w:sz="0" w:space="0" w:color="000000"/>
              <w:bottom w:val="single" w:sz="16" w:space="0" w:color="000000"/>
              <w:right w:val="none" w:sz="0" w:space="0" w:color="000000"/>
            </w:tcBorders>
            <w:shd w:val="clear" w:color="auto" w:fill="F0F0F0"/>
            <w:tcMar>
              <w:top w:w="0" w:type="dxa"/>
              <w:left w:w="0" w:type="dxa"/>
              <w:bottom w:w="0" w:type="dxa"/>
              <w:right w:w="0" w:type="dxa"/>
            </w:tcMar>
            <w:vAlign w:val="center"/>
          </w:tcPr>
          <w:p w14:paraId="7A2A0232"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t>
            </w:r>
          </w:p>
        </w:tc>
        <w:tc>
          <w:tcPr>
            <w:tcW w:w="1257" w:type="dxa"/>
            <w:tcBorders>
              <w:top w:val="single" w:sz="8" w:space="0" w:color="999999"/>
              <w:left w:val="none" w:sz="0" w:space="0" w:color="000000"/>
              <w:bottom w:val="single" w:sz="16" w:space="0" w:color="000000"/>
              <w:right w:val="none" w:sz="0" w:space="0" w:color="000000"/>
            </w:tcBorders>
            <w:shd w:val="clear" w:color="auto" w:fill="F0F0F0"/>
            <w:tcMar>
              <w:top w:w="0" w:type="dxa"/>
              <w:left w:w="0" w:type="dxa"/>
              <w:bottom w:w="0" w:type="dxa"/>
              <w:right w:w="0" w:type="dxa"/>
            </w:tcMar>
            <w:vAlign w:val="center"/>
          </w:tcPr>
          <w:p w14:paraId="7A2A0233"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8.2/10</w:t>
            </w:r>
          </w:p>
        </w:tc>
        <w:tc>
          <w:tcPr>
            <w:tcW w:w="1257" w:type="dxa"/>
            <w:tcBorders>
              <w:top w:val="single" w:sz="8" w:space="0" w:color="999999"/>
              <w:left w:val="none" w:sz="0" w:space="0" w:color="000000"/>
              <w:bottom w:val="single" w:sz="16" w:space="0" w:color="000000"/>
              <w:right w:val="none" w:sz="0" w:space="0" w:color="000000"/>
            </w:tcBorders>
            <w:shd w:val="clear" w:color="auto" w:fill="F0F0F0"/>
            <w:tcMar>
              <w:top w:w="0" w:type="dxa"/>
              <w:left w:w="0" w:type="dxa"/>
              <w:bottom w:w="0" w:type="dxa"/>
              <w:right w:w="0" w:type="dxa"/>
            </w:tcMar>
            <w:vAlign w:val="center"/>
          </w:tcPr>
          <w:p w14:paraId="7A2A0234"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100%</w:t>
            </w:r>
          </w:p>
        </w:tc>
        <w:tc>
          <w:tcPr>
            <w:tcW w:w="1571" w:type="dxa"/>
            <w:tcBorders>
              <w:top w:val="single" w:sz="8" w:space="0" w:color="999999"/>
              <w:left w:val="none" w:sz="0" w:space="0" w:color="000000"/>
              <w:bottom w:val="single" w:sz="16" w:space="0" w:color="000000"/>
              <w:right w:val="none" w:sz="0" w:space="0" w:color="000000"/>
            </w:tcBorders>
            <w:shd w:val="clear" w:color="auto" w:fill="F0F0F0"/>
            <w:tcMar>
              <w:top w:w="0" w:type="dxa"/>
              <w:left w:w="0" w:type="dxa"/>
              <w:bottom w:w="0" w:type="dxa"/>
              <w:right w:w="0" w:type="dxa"/>
            </w:tcMar>
            <w:vAlign w:val="center"/>
          </w:tcPr>
          <w:p w14:paraId="7A2A0235"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8.20</w:t>
            </w:r>
          </w:p>
        </w:tc>
        <w:tc>
          <w:tcPr>
            <w:tcW w:w="1571" w:type="dxa"/>
            <w:tcBorders>
              <w:top w:val="single" w:sz="8" w:space="0" w:color="999999"/>
              <w:left w:val="none" w:sz="0" w:space="0" w:color="000000"/>
              <w:bottom w:val="single" w:sz="16" w:space="0" w:color="000000"/>
              <w:right w:val="none" w:sz="0" w:space="0" w:color="000000"/>
            </w:tcBorders>
            <w:shd w:val="clear" w:color="auto" w:fill="F0F0F0"/>
            <w:tcMar>
              <w:top w:w="0" w:type="dxa"/>
              <w:left w:w="0" w:type="dxa"/>
              <w:bottom w:w="0" w:type="dxa"/>
              <w:right w:w="0" w:type="dxa"/>
            </w:tcMar>
            <w:vAlign w:val="center"/>
          </w:tcPr>
          <w:p w14:paraId="7A2A0236" w14:textId="77777777" w:rsidR="004F287D" w:rsidRDefault="008A6D4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High Robustness</w:t>
            </w:r>
          </w:p>
        </w:tc>
      </w:tr>
      <w:tr w:rsidR="004F287D" w14:paraId="7A2A0239" w14:textId="77777777" w:rsidTr="008A6D4C">
        <w:trPr>
          <w:jc w:val="center"/>
        </w:trPr>
        <w:tc>
          <w:tcPr>
            <w:tcW w:w="15398" w:type="dxa"/>
            <w:gridSpan w:val="8"/>
            <w:tcBorders>
              <w:top w:val="single" w:sz="1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238" w14:textId="394BF743" w:rsidR="004F287D" w:rsidRPr="00476218" w:rsidRDefault="00A267B7" w:rsidP="00476218">
            <w:pPr>
              <w:pBdr>
                <w:top w:val="none" w:sz="0" w:space="0" w:color="000000"/>
                <w:left w:val="none" w:sz="0" w:space="0" w:color="000000"/>
                <w:bottom w:val="none" w:sz="0" w:space="0" w:color="000000"/>
                <w:right w:val="none" w:sz="0" w:space="0" w:color="000000"/>
              </w:pBdr>
              <w:spacing w:before="60" w:after="60"/>
              <w:ind w:left="102" w:right="102"/>
              <w:jc w:val="both"/>
              <w:rPr>
                <w:rFonts w:ascii="Times New Roman" w:eastAsia="Times New Roman" w:hAnsi="Times New Roman" w:cs="Times New Roman"/>
                <w:i/>
                <w:iCs/>
                <w:color w:val="000000"/>
                <w:sz w:val="16"/>
                <w:szCs w:val="16"/>
              </w:rPr>
            </w:pPr>
            <w:r w:rsidRPr="00A267B7">
              <w:rPr>
                <w:rFonts w:ascii="Times New Roman" w:eastAsia="Times New Roman" w:hAnsi="Times New Roman" w:cs="Times New Roman"/>
                <w:i/>
                <w:iCs/>
                <w:color w:val="000000"/>
                <w:sz w:val="16"/>
                <w:szCs w:val="16"/>
              </w:rPr>
              <w:t>Robustness assessment is presented across eight criteria grouped into three dimensions: Statistical Inference (3 criteria, 40% weight), Data Robustness (3 criteria, 40% weight), and Prediction Stability (2 criteria, 20% weight). Each criterion is evaluated using excellence thresholds, observed values, individual scores (0-10 scale), assigned weights, weighted scores, and qualitative ratings. Overall robustness is calculated as the weighted sum of component scores.</w:t>
            </w:r>
          </w:p>
        </w:tc>
      </w:tr>
      <w:tr w:rsidR="004F287D" w14:paraId="7A2A023B" w14:textId="77777777" w:rsidTr="008A6D4C">
        <w:trPr>
          <w:jc w:val="center"/>
        </w:trPr>
        <w:tc>
          <w:tcPr>
            <w:tcW w:w="15398" w:type="dxa"/>
            <w:gridSpan w:val="8"/>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23A" w14:textId="31FC5702" w:rsidR="004F287D" w:rsidRPr="00476218" w:rsidRDefault="00506016" w:rsidP="00476218">
            <w:pPr>
              <w:pBdr>
                <w:top w:val="none" w:sz="0" w:space="0" w:color="000000"/>
                <w:left w:val="none" w:sz="0" w:space="0" w:color="000000"/>
                <w:bottom w:val="none" w:sz="0" w:space="0" w:color="000000"/>
                <w:right w:val="none" w:sz="0" w:space="0" w:color="000000"/>
              </w:pBdr>
              <w:spacing w:before="60" w:after="60"/>
              <w:ind w:left="102" w:right="102"/>
              <w:jc w:val="both"/>
              <w:rPr>
                <w:rFonts w:ascii="Times New Roman" w:eastAsia="Times New Roman" w:hAnsi="Times New Roman" w:cs="Times New Roman"/>
                <w:i/>
                <w:iCs/>
                <w:color w:val="000000"/>
                <w:sz w:val="16"/>
                <w:szCs w:val="16"/>
              </w:rPr>
            </w:pPr>
            <w:r w:rsidRPr="00506016">
              <w:rPr>
                <w:rFonts w:ascii="Times New Roman" w:eastAsia="Times New Roman" w:hAnsi="Times New Roman" w:cs="Times New Roman"/>
                <w:i/>
                <w:iCs/>
                <w:color w:val="000000"/>
                <w:sz w:val="16"/>
                <w:szCs w:val="16"/>
              </w:rPr>
              <w:t xml:space="preserve">Statistical inference robustness is assessed through bootstrap resampling (B=2,000 iterations) to evaluate coefficient stability via weighted coefficient of variation (CV), heteroskedasticity-consistent standard errors (HC3 estimator) to verify inference validity under potential heteroskedasticity, and consistency across three confidence interval methods (percentile, </w:t>
            </w:r>
            <w:proofErr w:type="spellStart"/>
            <w:r w:rsidRPr="00506016">
              <w:rPr>
                <w:rFonts w:ascii="Times New Roman" w:eastAsia="Times New Roman" w:hAnsi="Times New Roman" w:cs="Times New Roman"/>
                <w:i/>
                <w:iCs/>
                <w:color w:val="000000"/>
                <w:sz w:val="16"/>
                <w:szCs w:val="16"/>
              </w:rPr>
              <w:t>BCa</w:t>
            </w:r>
            <w:proofErr w:type="spellEnd"/>
            <w:r w:rsidRPr="00506016">
              <w:rPr>
                <w:rFonts w:ascii="Times New Roman" w:eastAsia="Times New Roman" w:hAnsi="Times New Roman" w:cs="Times New Roman"/>
                <w:i/>
                <w:iCs/>
                <w:color w:val="000000"/>
                <w:sz w:val="16"/>
                <w:szCs w:val="16"/>
              </w:rPr>
              <w:t>, and normal approximation). Data robustness is examined by testing model stability after removing influential observations identified through multiple diagnostics (Cook's distance, DFBETAS, DFFITS, hat values, and studentized residuals), evaluating sensitivity to extreme values through 5% two-sided Winsorization, and assessing coefficient significance retention across 100 random 80% subsamples. Prediction stability is measured using leave-one-out cross-validation (LOOCV) and 10-fold cross-validation (repeated 5 times) to evaluate absolute R² loss and generalizability to new data.</w:t>
            </w:r>
          </w:p>
        </w:tc>
      </w:tr>
      <w:tr w:rsidR="004F287D" w14:paraId="7A2A023D" w14:textId="77777777" w:rsidTr="008A6D4C">
        <w:trPr>
          <w:jc w:val="center"/>
        </w:trPr>
        <w:tc>
          <w:tcPr>
            <w:tcW w:w="15398" w:type="dxa"/>
            <w:gridSpan w:val="8"/>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A023C" w14:textId="78BCE5E7" w:rsidR="004F287D" w:rsidRPr="00476218" w:rsidRDefault="00506016" w:rsidP="00476218">
            <w:pPr>
              <w:pBdr>
                <w:top w:val="none" w:sz="0" w:space="0" w:color="000000"/>
                <w:left w:val="none" w:sz="0" w:space="0" w:color="000000"/>
                <w:bottom w:val="none" w:sz="0" w:space="0" w:color="000000"/>
                <w:right w:val="none" w:sz="0" w:space="0" w:color="000000"/>
              </w:pBdr>
              <w:spacing w:before="60" w:after="60"/>
              <w:ind w:left="102" w:right="102"/>
              <w:jc w:val="both"/>
              <w:rPr>
                <w:rFonts w:ascii="Times New Roman" w:eastAsia="Times New Roman" w:hAnsi="Times New Roman" w:cs="Times New Roman"/>
                <w:i/>
                <w:iCs/>
                <w:color w:val="000000"/>
                <w:sz w:val="16"/>
                <w:szCs w:val="16"/>
              </w:rPr>
            </w:pPr>
            <w:r w:rsidRPr="00506016">
              <w:rPr>
                <w:rFonts w:ascii="Times New Roman" w:eastAsia="Times New Roman" w:hAnsi="Times New Roman" w:cs="Times New Roman"/>
                <w:i/>
                <w:iCs/>
                <w:color w:val="000000"/>
                <w:sz w:val="16"/>
                <w:szCs w:val="16"/>
              </w:rPr>
              <w:t>The overall robustness score of 8.20/10.00 (82.0%) indicates high robustness. The main exposure effect (denudation-to-ICSI interval) remains statistically significant across all robustness tests, with 100% confidence interval consistency, 100% stability after influential point deletion, 100% stability after extreme value treatment, and 92% significance retention in random subsampling.</w:t>
            </w:r>
          </w:p>
        </w:tc>
      </w:tr>
      <w:tr w:rsidR="00506016" w14:paraId="29818433" w14:textId="77777777" w:rsidTr="008A6D4C">
        <w:trPr>
          <w:jc w:val="center"/>
        </w:trPr>
        <w:tc>
          <w:tcPr>
            <w:tcW w:w="15398" w:type="dxa"/>
            <w:gridSpan w:val="8"/>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442D10" w14:textId="705ADD88" w:rsidR="00506016" w:rsidRPr="00506016" w:rsidRDefault="00506016" w:rsidP="00476218">
            <w:pPr>
              <w:pBdr>
                <w:top w:val="none" w:sz="0" w:space="0" w:color="000000"/>
                <w:left w:val="none" w:sz="0" w:space="0" w:color="000000"/>
                <w:bottom w:val="none" w:sz="0" w:space="0" w:color="000000"/>
                <w:right w:val="none" w:sz="0" w:space="0" w:color="000000"/>
              </w:pBdr>
              <w:spacing w:before="60" w:after="60"/>
              <w:ind w:left="102" w:right="102"/>
              <w:jc w:val="both"/>
              <w:rPr>
                <w:rFonts w:ascii="Times New Roman" w:eastAsia="Times New Roman" w:hAnsi="Times New Roman" w:cs="Times New Roman"/>
                <w:i/>
                <w:iCs/>
                <w:color w:val="000000"/>
                <w:sz w:val="16"/>
                <w:szCs w:val="16"/>
              </w:rPr>
            </w:pPr>
            <w:r w:rsidRPr="00506016">
              <w:rPr>
                <w:rFonts w:ascii="Times New Roman" w:eastAsia="Times New Roman" w:hAnsi="Times New Roman" w:cs="Times New Roman"/>
                <w:i/>
                <w:iCs/>
                <w:color w:val="000000"/>
                <w:sz w:val="16"/>
                <w:szCs w:val="16"/>
              </w:rPr>
              <w:t xml:space="preserve">Abbreviations: </w:t>
            </w:r>
            <w:proofErr w:type="spellStart"/>
            <w:r w:rsidRPr="00506016">
              <w:rPr>
                <w:rFonts w:ascii="Times New Roman" w:eastAsia="Times New Roman" w:hAnsi="Times New Roman" w:cs="Times New Roman"/>
                <w:i/>
                <w:iCs/>
                <w:color w:val="000000"/>
                <w:sz w:val="16"/>
                <w:szCs w:val="16"/>
              </w:rPr>
              <w:t>BCa</w:t>
            </w:r>
            <w:proofErr w:type="spellEnd"/>
            <w:r w:rsidRPr="00506016">
              <w:rPr>
                <w:rFonts w:ascii="Times New Roman" w:eastAsia="Times New Roman" w:hAnsi="Times New Roman" w:cs="Times New Roman"/>
                <w:i/>
                <w:iCs/>
                <w:color w:val="000000"/>
                <w:sz w:val="16"/>
                <w:szCs w:val="16"/>
              </w:rPr>
              <w:t>, bias-corrected and accelerated; CI, confidence interval; CV, coefficient of variation; DFBETAS, standardized difference in coefficients; DFFITS, standardized difference in fitted values; HC3, heteroskedasticity-consistent type 3; LOOCV, leave-one-out cross-validation; SE, standard error.</w:t>
            </w:r>
          </w:p>
        </w:tc>
      </w:tr>
    </w:tbl>
    <w:p w14:paraId="7A2A023E" w14:textId="77777777" w:rsidR="008A6D4C" w:rsidRDefault="008A6D4C"/>
    <w:sectPr w:rsidR="008A6D4C" w:rsidSect="008A6D4C">
      <w:type w:val="continuous"/>
      <w:pgSz w:w="16838" w:h="11906" w:orient="landscape"/>
      <w:pgMar w:top="720" w:right="720" w:bottom="720" w:left="720" w:header="708" w:footer="708"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925FD"/>
    <w:multiLevelType w:val="multilevel"/>
    <w:tmpl w:val="88F45F08"/>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82402219">
    <w:abstractNumId w:val="1"/>
  </w:num>
  <w:num w:numId="2" w16cid:durableId="1633945420">
    <w:abstractNumId w:val="2"/>
  </w:num>
  <w:num w:numId="3" w16cid:durableId="1151167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bordersDoNotSurroundHeader/>
  <w:bordersDoNotSurroundFooter/>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87D"/>
    <w:rsid w:val="00030560"/>
    <w:rsid w:val="00050FBA"/>
    <w:rsid w:val="003F6BF3"/>
    <w:rsid w:val="00476218"/>
    <w:rsid w:val="00491D7C"/>
    <w:rsid w:val="004F287D"/>
    <w:rsid w:val="00506016"/>
    <w:rsid w:val="008A6D4C"/>
    <w:rsid w:val="00A267B7"/>
    <w:rsid w:val="00D42F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2A01BE"/>
  <w15:docId w15:val="{3297393F-5AB0-6F4C-A757-EA14C3286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62E65"/>
    <w:pPr>
      <w:keepNext/>
      <w:keepLines/>
      <w:numPr>
        <w:numId w:val="3"/>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2">
    <w:name w:val="heading 2"/>
    <w:basedOn w:val="a"/>
    <w:next w:val="a"/>
    <w:link w:val="20"/>
    <w:uiPriority w:val="9"/>
    <w:semiHidden/>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3">
    <w:name w:val="heading 3"/>
    <w:basedOn w:val="a"/>
    <w:next w:val="a"/>
    <w:link w:val="30"/>
    <w:uiPriority w:val="9"/>
    <w:semiHidden/>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要点1"/>
    <w:basedOn w:val="a0"/>
    <w:uiPriority w:val="1"/>
    <w:qFormat/>
    <w:rsid w:val="007B3E96"/>
    <w:rPr>
      <w:b/>
    </w:rPr>
  </w:style>
  <w:style w:type="paragraph" w:customStyle="1" w:styleId="centered">
    <w:name w:val="centered"/>
    <w:basedOn w:val="a"/>
    <w:qFormat/>
    <w:rsid w:val="001D75AB"/>
    <w:pPr>
      <w:jc w:val="center"/>
    </w:pPr>
  </w:style>
  <w:style w:type="table" w:customStyle="1" w:styleId="tabletemplate">
    <w:name w:val="table_template"/>
    <w:basedOn w:val="a1"/>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2">
    <w:name w:val="Light List Accent 2"/>
    <w:basedOn w:val="a1"/>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10">
    <w:name w:val="标题 1 字符"/>
    <w:basedOn w:val="a0"/>
    <w:link w:val="1"/>
    <w:uiPriority w:val="9"/>
    <w:rsid w:val="00362E65"/>
    <w:rPr>
      <w:rFonts w:asciiTheme="majorHAnsi" w:eastAsiaTheme="majorEastAsia" w:hAnsiTheme="majorHAnsi" w:cstheme="majorBidi"/>
      <w:b/>
      <w:bCs/>
      <w:sz w:val="32"/>
      <w:szCs w:val="32"/>
    </w:rPr>
  </w:style>
  <w:style w:type="character" w:customStyle="1" w:styleId="20">
    <w:name w:val="标题 2 字符"/>
    <w:basedOn w:val="a0"/>
    <w:link w:val="2"/>
    <w:uiPriority w:val="9"/>
    <w:semiHidden/>
    <w:rsid w:val="00362E65"/>
    <w:rPr>
      <w:rFonts w:asciiTheme="majorHAnsi" w:eastAsiaTheme="majorEastAsia" w:hAnsiTheme="majorHAnsi" w:cstheme="majorBidi"/>
      <w:b/>
      <w:bCs/>
      <w:sz w:val="26"/>
      <w:szCs w:val="26"/>
    </w:rPr>
  </w:style>
  <w:style w:type="character" w:customStyle="1" w:styleId="30">
    <w:name w:val="标题 3 字符"/>
    <w:basedOn w:val="a0"/>
    <w:link w:val="3"/>
    <w:uiPriority w:val="9"/>
    <w:semiHidden/>
    <w:rsid w:val="00362E65"/>
    <w:rPr>
      <w:rFonts w:asciiTheme="majorHAnsi" w:eastAsiaTheme="majorEastAsia" w:hAnsiTheme="majorHAnsi" w:cstheme="majorBidi"/>
      <w:b/>
      <w:bCs/>
    </w:rPr>
  </w:style>
  <w:style w:type="paragraph" w:customStyle="1" w:styleId="ImageCaption">
    <w:name w:val="Image Caption"/>
    <w:basedOn w:val="a"/>
    <w:qFormat/>
    <w:rsid w:val="00AE18EF"/>
    <w:pPr>
      <w:jc w:val="center"/>
    </w:pPr>
    <w:rPr>
      <w:b/>
      <w:i/>
    </w:rPr>
  </w:style>
  <w:style w:type="paragraph" w:customStyle="1" w:styleId="TableCaption">
    <w:name w:val="Table Caption"/>
    <w:basedOn w:val="ImageCaption"/>
    <w:qFormat/>
    <w:rsid w:val="00AE18EF"/>
  </w:style>
  <w:style w:type="table" w:styleId="a3">
    <w:name w:val="Table Professional"/>
    <w:basedOn w:val="a1"/>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OC1">
    <w:name w:val="toc 1"/>
    <w:basedOn w:val="a"/>
    <w:next w:val="a"/>
    <w:autoRedefine/>
    <w:uiPriority w:val="39"/>
    <w:unhideWhenUsed/>
    <w:rsid w:val="00FB63E7"/>
    <w:pPr>
      <w:spacing w:after="100"/>
    </w:pPr>
  </w:style>
  <w:style w:type="paragraph" w:styleId="TOC2">
    <w:name w:val="toc 2"/>
    <w:basedOn w:val="a"/>
    <w:next w:val="a"/>
    <w:autoRedefine/>
    <w:uiPriority w:val="39"/>
    <w:unhideWhenUsed/>
    <w:rsid w:val="00FB63E7"/>
    <w:pPr>
      <w:spacing w:after="100"/>
      <w:ind w:left="240"/>
    </w:pPr>
  </w:style>
  <w:style w:type="paragraph" w:styleId="a4">
    <w:name w:val="Balloon Text"/>
    <w:basedOn w:val="a"/>
    <w:link w:val="a5"/>
    <w:uiPriority w:val="99"/>
    <w:semiHidden/>
    <w:unhideWhenUsed/>
    <w:rsid w:val="00FB63E7"/>
    <w:rPr>
      <w:rFonts w:ascii="Lucida Grande" w:hAnsi="Lucida Grande"/>
      <w:sz w:val="18"/>
      <w:szCs w:val="18"/>
    </w:rPr>
  </w:style>
  <w:style w:type="character" w:customStyle="1" w:styleId="a5">
    <w:name w:val="批注框文本 字符"/>
    <w:basedOn w:val="a0"/>
    <w:link w:val="a4"/>
    <w:uiPriority w:val="99"/>
    <w:semiHidden/>
    <w:rsid w:val="00FB63E7"/>
    <w:rPr>
      <w:rFonts w:ascii="Lucida Grande" w:hAnsi="Lucida Grande"/>
      <w:sz w:val="18"/>
      <w:szCs w:val="18"/>
    </w:rPr>
  </w:style>
  <w:style w:type="character" w:customStyle="1" w:styleId="referenceid">
    <w:name w:val="reference_id"/>
    <w:basedOn w:val="a0"/>
    <w:uiPriority w:val="1"/>
    <w:rsid w:val="00457CF1"/>
    <w:rPr>
      <w:vertAlign w:val="superscript"/>
    </w:rPr>
  </w:style>
  <w:style w:type="paragraph" w:customStyle="1" w:styleId="graphictitle">
    <w:name w:val="graphic title"/>
    <w:basedOn w:val="ImageCaption"/>
    <w:next w:val="a"/>
    <w:rsid w:val="0035500D"/>
  </w:style>
  <w:style w:type="paragraph" w:customStyle="1" w:styleId="tabletitle">
    <w:name w:val="table title"/>
    <w:basedOn w:val="TableCaption"/>
    <w:next w:val="a"/>
    <w:rsid w:val="00901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495</Words>
  <Characters>2825</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3314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Xi Luo</cp:lastModifiedBy>
  <cp:revision>15</cp:revision>
  <dcterms:created xsi:type="dcterms:W3CDTF">2017-02-28T11:18:00Z</dcterms:created>
  <dcterms:modified xsi:type="dcterms:W3CDTF">2026-01-15T09:57:00Z</dcterms:modified>
  <cp:category/>
</cp:coreProperties>
</file>