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C8F94">
      <w:pPr>
        <w:rPr>
          <w:rFonts w:eastAsiaTheme="minorEastAsia"/>
          <w:b/>
          <w:bCs/>
          <w:color w:val="auto"/>
          <w:sz w:val="32"/>
          <w:szCs w:val="32"/>
        </w:rPr>
      </w:pPr>
      <w:bookmarkStart w:id="54" w:name="_GoBack"/>
      <w:bookmarkEnd w:id="54"/>
      <w:r>
        <w:rPr>
          <w:rFonts w:hint="eastAsia" w:eastAsiaTheme="minorEastAsia"/>
          <w:b/>
          <w:bCs/>
          <w:color w:val="auto"/>
          <w:sz w:val="32"/>
          <w:szCs w:val="32"/>
        </w:rPr>
        <w:t>S</w:t>
      </w:r>
      <w:r>
        <w:rPr>
          <w:rFonts w:eastAsiaTheme="minorEastAsia"/>
          <w:b/>
          <w:bCs/>
          <w:color w:val="auto"/>
          <w:sz w:val="32"/>
          <w:szCs w:val="32"/>
        </w:rPr>
        <w:t>upplementary materials</w:t>
      </w:r>
    </w:p>
    <w:p w14:paraId="03BCEE78">
      <w:pPr>
        <w:rPr>
          <w:rFonts w:eastAsiaTheme="minorEastAsia"/>
          <w:b/>
          <w:bCs/>
          <w:color w:val="auto"/>
        </w:rPr>
      </w:pPr>
    </w:p>
    <w:p w14:paraId="021532EF">
      <w:pPr>
        <w:spacing w:line="360" w:lineRule="auto"/>
        <w:rPr>
          <w:b/>
          <w:bCs/>
          <w:color w:val="auto"/>
          <w:sz w:val="28"/>
          <w:szCs w:val="28"/>
          <w14:ligatures w14:val="standardContextual"/>
        </w:rPr>
      </w:pPr>
      <w:r>
        <w:rPr>
          <w:b/>
          <w:bCs/>
          <w:color w:val="auto"/>
          <w:sz w:val="28"/>
          <w:szCs w:val="28"/>
          <w14:ligatures w14:val="standardContextual"/>
        </w:rPr>
        <w:t>Glucagon receptor blocka</w:t>
      </w:r>
      <w:r>
        <w:rPr>
          <w:rFonts w:hint="eastAsia"/>
          <w:b/>
          <w:bCs/>
          <w:color w:val="auto"/>
          <w:sz w:val="28"/>
          <w:szCs w:val="28"/>
          <w14:ligatures w14:val="standardContextual"/>
        </w:rPr>
        <w:t>d</w:t>
      </w:r>
      <w:r>
        <w:rPr>
          <w:b/>
          <w:bCs/>
          <w:color w:val="auto"/>
          <w:sz w:val="28"/>
          <w:szCs w:val="28"/>
          <w14:ligatures w14:val="standardContextual"/>
        </w:rPr>
        <w:t xml:space="preserve">e protects spermatogenesis by enhancing </w:t>
      </w:r>
      <w:r>
        <w:rPr>
          <w:rFonts w:hint="eastAsia"/>
          <w:b/>
          <w:bCs/>
          <w:color w:val="auto"/>
          <w:sz w:val="28"/>
          <w:szCs w:val="28"/>
          <w14:ligatures w14:val="standardContextual"/>
        </w:rPr>
        <w:t>PFKFB</w:t>
      </w:r>
      <w:r>
        <w:rPr>
          <w:b/>
          <w:bCs/>
          <w:color w:val="auto"/>
          <w:sz w:val="28"/>
          <w:szCs w:val="28"/>
        </w:rPr>
        <w:t>3-mediated</w:t>
      </w:r>
      <w:r>
        <w:rPr>
          <w:rFonts w:hint="eastAsia"/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  <w14:ligatures w14:val="standardContextual"/>
        </w:rPr>
        <w:t>lactate production in Sertoli cells</w:t>
      </w:r>
    </w:p>
    <w:p w14:paraId="024FBD4A">
      <w:pPr>
        <w:spacing w:line="360" w:lineRule="auto"/>
        <w:rPr>
          <w:color w:val="auto"/>
          <w:vertAlign w:val="superscript"/>
          <w14:ligatures w14:val="standardContextual"/>
        </w:rPr>
      </w:pPr>
      <w:r>
        <w:rPr>
          <w:color w:val="auto"/>
          <w14:ligatures w14:val="standardContextual"/>
        </w:rPr>
        <w:t>Li Xia</w:t>
      </w:r>
      <w:r>
        <w:rPr>
          <w:color w:val="auto"/>
          <w:vertAlign w:val="superscript"/>
          <w14:ligatures w14:val="standardContextual"/>
        </w:rPr>
        <w:t>1</w:t>
      </w:r>
      <w:bookmarkStart w:id="0" w:name="OLE_LINK33"/>
      <w:r>
        <w:rPr>
          <w:color w:val="auto"/>
          <w:vertAlign w:val="superscript"/>
          <w14:ligatures w14:val="standardContextual"/>
        </w:rPr>
        <w:t>†</w:t>
      </w:r>
      <w:bookmarkEnd w:id="0"/>
      <w:r>
        <w:rPr>
          <w:color w:val="auto"/>
          <w14:ligatures w14:val="standardContextual"/>
        </w:rPr>
        <w:t>, Fei Li</w:t>
      </w:r>
      <w:r>
        <w:rPr>
          <w:color w:val="auto"/>
          <w:vertAlign w:val="superscript"/>
          <w14:ligatures w14:val="standardContextual"/>
        </w:rPr>
        <w:t>1†</w:t>
      </w:r>
      <w:r>
        <w:rPr>
          <w:color w:val="auto"/>
          <w14:ligatures w14:val="standardContextual"/>
        </w:rPr>
        <w:t>, Deshan Yin</w:t>
      </w:r>
      <w:r>
        <w:rPr>
          <w:color w:val="auto"/>
          <w:vertAlign w:val="superscript"/>
          <w14:ligatures w14:val="standardContextual"/>
        </w:rPr>
        <w:t>1†</w:t>
      </w:r>
      <w:r>
        <w:rPr>
          <w:color w:val="auto"/>
          <w14:ligatures w14:val="standardContextual"/>
        </w:rPr>
        <w:t>, Tianjiao Wei</w:t>
      </w:r>
      <w:r>
        <w:rPr>
          <w:color w:val="auto"/>
          <w:vertAlign w:val="superscript"/>
          <w14:ligatures w14:val="standardContextual"/>
        </w:rPr>
        <w:t>1</w:t>
      </w:r>
      <w:r>
        <w:rPr>
          <w:color w:val="auto"/>
          <w14:ligatures w14:val="standardContextual"/>
        </w:rPr>
        <w:t>, Chunhua Shan</w:t>
      </w:r>
      <w:r>
        <w:rPr>
          <w:color w:val="auto"/>
          <w:vertAlign w:val="superscript"/>
          <w14:ligatures w14:val="standardContextual"/>
        </w:rPr>
        <w:t>1</w:t>
      </w:r>
      <w:r>
        <w:rPr>
          <w:color w:val="auto"/>
          <w14:ligatures w14:val="standardContextual"/>
        </w:rPr>
        <w:t>,</w:t>
      </w:r>
      <w:r>
        <w:rPr>
          <w:rFonts w:hint="eastAsia"/>
          <w:color w:val="auto"/>
          <w14:ligatures w14:val="standardContextual"/>
        </w:rPr>
        <w:t xml:space="preserve"> </w:t>
      </w:r>
      <w:r>
        <w:rPr>
          <w:color w:val="auto"/>
          <w14:ligatures w14:val="standardContextual"/>
        </w:rPr>
        <w:t>Zhe Zhang</w:t>
      </w:r>
      <w:r>
        <w:rPr>
          <w:rFonts w:hint="eastAsia"/>
          <w:color w:val="auto"/>
          <w:vertAlign w:val="superscript"/>
          <w14:ligatures w14:val="standardContextual"/>
        </w:rPr>
        <w:t>2</w:t>
      </w:r>
      <w:r>
        <w:rPr>
          <w:color w:val="auto"/>
          <w14:ligatures w14:val="standardContextual"/>
        </w:rPr>
        <w:t>, Rui Wei</w:t>
      </w:r>
      <w:r>
        <w:rPr>
          <w:color w:val="auto"/>
          <w:vertAlign w:val="superscript"/>
          <w14:ligatures w14:val="standardContextual"/>
        </w:rPr>
        <w:t>1,</w:t>
      </w:r>
      <w:r>
        <w:rPr>
          <w:rFonts w:hint="eastAsia"/>
          <w:color w:val="auto"/>
          <w:vertAlign w:val="superscript"/>
          <w14:ligatures w14:val="standardContextual"/>
        </w:rPr>
        <w:t>3</w:t>
      </w:r>
      <w:r>
        <w:rPr>
          <w:color w:val="auto"/>
          <w:vertAlign w:val="superscript"/>
          <w14:ligatures w14:val="standardContextual"/>
        </w:rPr>
        <w:t xml:space="preserve"> *</w:t>
      </w:r>
    </w:p>
    <w:p w14:paraId="481D77C8">
      <w:pPr>
        <w:spacing w:line="360" w:lineRule="auto"/>
        <w:rPr>
          <w:color w:val="auto"/>
          <w:szCs w:val="21"/>
          <w14:ligatures w14:val="standardContextual"/>
        </w:rPr>
      </w:pPr>
      <w:r>
        <w:rPr>
          <w:color w:val="auto"/>
          <w:szCs w:val="21"/>
          <w:vertAlign w:val="superscript"/>
          <w14:ligatures w14:val="standardContextual"/>
        </w:rPr>
        <w:t>1</w:t>
      </w:r>
      <w:r>
        <w:rPr>
          <w:rFonts w:hint="eastAsia"/>
          <w:color w:val="auto"/>
          <w:szCs w:val="21"/>
          <w14:ligatures w14:val="standardContextual"/>
        </w:rPr>
        <w:t xml:space="preserve"> </w:t>
      </w:r>
      <w:r>
        <w:rPr>
          <w:color w:val="auto"/>
          <w:szCs w:val="21"/>
          <w14:ligatures w14:val="standardContextual"/>
        </w:rPr>
        <w:t>Department of Endocrinology and Metabolism, State Key Laboratory of Female Fertility Promotion, Peking University Third Hospital, Beijing 100191, China.</w:t>
      </w:r>
    </w:p>
    <w:p w14:paraId="2D891177">
      <w:pPr>
        <w:spacing w:line="360" w:lineRule="auto"/>
        <w:rPr>
          <w:color w:val="auto"/>
          <w:szCs w:val="21"/>
          <w14:ligatures w14:val="standardContextual"/>
        </w:rPr>
      </w:pPr>
      <w:r>
        <w:rPr>
          <w:rFonts w:hint="eastAsia"/>
          <w:color w:val="auto"/>
          <w:szCs w:val="21"/>
          <w:vertAlign w:val="superscript"/>
          <w14:ligatures w14:val="standardContextual"/>
        </w:rPr>
        <w:t>2</w:t>
      </w:r>
      <w:r>
        <w:rPr>
          <w:color w:val="auto"/>
          <w:szCs w:val="21"/>
          <w14:ligatures w14:val="standardContextual"/>
        </w:rPr>
        <w:t xml:space="preserve"> Department of Urology, Center for Reproductive Medicine, Peking University Third Hospital, Beijing, 100191, China.</w:t>
      </w:r>
    </w:p>
    <w:p w14:paraId="7E6FBDF2">
      <w:pPr>
        <w:spacing w:line="360" w:lineRule="auto"/>
        <w:rPr>
          <w:color w:val="auto"/>
          <w:szCs w:val="21"/>
          <w14:ligatures w14:val="standardContextual"/>
        </w:rPr>
      </w:pPr>
      <w:r>
        <w:rPr>
          <w:rFonts w:hint="eastAsia"/>
          <w:color w:val="auto"/>
          <w:szCs w:val="21"/>
          <w:vertAlign w:val="superscript"/>
          <w14:ligatures w14:val="standardContextual"/>
        </w:rPr>
        <w:t>3</w:t>
      </w:r>
      <w:r>
        <w:rPr>
          <w:rFonts w:hint="eastAsia"/>
          <w:color w:val="auto"/>
          <w:szCs w:val="21"/>
          <w14:ligatures w14:val="standardContextual"/>
        </w:rPr>
        <w:t xml:space="preserve"> </w:t>
      </w:r>
      <w:r>
        <w:rPr>
          <w:color w:val="auto"/>
          <w:szCs w:val="21"/>
          <w14:ligatures w14:val="standardContextual"/>
        </w:rPr>
        <w:t>NHC Key Laboratory of Cardiovascular Molecular Biology and Regulatory Peptides, Peking University, Beijing, 100191, China.</w:t>
      </w:r>
    </w:p>
    <w:p w14:paraId="1FD6E434">
      <w:pPr>
        <w:spacing w:line="360" w:lineRule="auto"/>
        <w:rPr>
          <w:color w:val="auto"/>
          <w:szCs w:val="21"/>
          <w14:ligatures w14:val="standardContextual"/>
        </w:rPr>
      </w:pPr>
      <w:r>
        <w:rPr>
          <w:color w:val="auto"/>
          <w:szCs w:val="21"/>
          <w:vertAlign w:val="superscript"/>
          <w14:ligatures w14:val="standardContextual"/>
        </w:rPr>
        <w:t>†</w:t>
      </w:r>
      <w:r>
        <w:rPr>
          <w:color w:val="auto"/>
          <w:szCs w:val="21"/>
          <w14:ligatures w14:val="standardContextual"/>
        </w:rPr>
        <w:t xml:space="preserve"> Li Xia</w:t>
      </w:r>
      <w:r>
        <w:rPr>
          <w:rFonts w:hint="eastAsia"/>
          <w:color w:val="auto"/>
          <w:szCs w:val="21"/>
          <w14:ligatures w14:val="standardContextual"/>
        </w:rPr>
        <w:t>,</w:t>
      </w:r>
      <w:r>
        <w:rPr>
          <w:color w:val="auto"/>
          <w:szCs w:val="21"/>
          <w14:ligatures w14:val="standardContextual"/>
        </w:rPr>
        <w:t xml:space="preserve"> Fei Li </w:t>
      </w:r>
      <w:r>
        <w:rPr>
          <w:rFonts w:hint="eastAsia"/>
          <w:color w:val="auto"/>
          <w:szCs w:val="21"/>
          <w14:ligatures w14:val="standardContextual"/>
        </w:rPr>
        <w:t xml:space="preserve">and Deshan Yin </w:t>
      </w:r>
      <w:r>
        <w:rPr>
          <w:color w:val="auto"/>
          <w:szCs w:val="21"/>
          <w14:ligatures w14:val="standardContextual"/>
        </w:rPr>
        <w:t>contributed equally to this work.</w:t>
      </w:r>
    </w:p>
    <w:p w14:paraId="11FD58F7">
      <w:pPr>
        <w:spacing w:line="360" w:lineRule="auto"/>
        <w:rPr>
          <w:color w:val="auto"/>
          <w:szCs w:val="21"/>
          <w14:ligatures w14:val="standardContextual"/>
        </w:rPr>
      </w:pPr>
      <w:r>
        <w:rPr>
          <w:color w:val="auto"/>
          <w:szCs w:val="21"/>
          <w14:ligatures w14:val="standardContextual"/>
        </w:rPr>
        <w:t>Correspondence: Rui Wei, Email: weirui@bjmu.edu.cn</w:t>
      </w:r>
    </w:p>
    <w:p w14:paraId="3F4AA671">
      <w:pPr>
        <w:rPr>
          <w:rFonts w:eastAsiaTheme="minorEastAsia"/>
          <w:b/>
          <w:bCs/>
          <w:color w:val="auto"/>
        </w:rPr>
      </w:pPr>
    </w:p>
    <w:p w14:paraId="2DE0050F">
      <w:pPr>
        <w:widowControl/>
        <w:rPr>
          <w:rFonts w:eastAsiaTheme="minorEastAsia"/>
          <w:b/>
          <w:bCs/>
          <w:color w:val="auto"/>
        </w:rPr>
      </w:pPr>
      <w:r>
        <w:rPr>
          <w:rFonts w:eastAsiaTheme="minorEastAsia"/>
          <w:b/>
          <w:bCs/>
          <w:color w:val="auto"/>
        </w:rPr>
        <w:br w:type="page"/>
      </w:r>
    </w:p>
    <w:p w14:paraId="062ED949">
      <w:pPr>
        <w:rPr>
          <w:rFonts w:eastAsiaTheme="minorEastAsia"/>
          <w:b/>
          <w:bCs/>
          <w:color w:val="auto"/>
          <w:sz w:val="28"/>
          <w:szCs w:val="28"/>
        </w:rPr>
      </w:pPr>
      <w:bookmarkStart w:id="1" w:name="OLE_LINK10"/>
      <w:r>
        <w:rPr>
          <w:b/>
          <w:bCs/>
          <w:color w:val="auto"/>
          <w:sz w:val="28"/>
          <w:szCs w:val="28"/>
        </w:rPr>
        <w:t>Supplementary tables</w:t>
      </w:r>
    </w:p>
    <w:bookmarkEnd w:id="1"/>
    <w:p w14:paraId="4E5267E9">
      <w:pPr>
        <w:rPr>
          <w:rFonts w:eastAsiaTheme="minorEastAsia"/>
          <w:b/>
          <w:bCs/>
          <w:color w:val="auto"/>
        </w:rPr>
      </w:pPr>
    </w:p>
    <w:p w14:paraId="4A693DCB">
      <w:pPr>
        <w:widowControl/>
        <w:rPr>
          <w:b/>
          <w:bCs/>
          <w:color w:val="auto"/>
        </w:rPr>
      </w:pPr>
      <w:r>
        <w:rPr>
          <w:b/>
          <w:bCs/>
          <w:color w:val="auto"/>
        </w:rPr>
        <w:t>Table S</w:t>
      </w:r>
      <w:r>
        <w:rPr>
          <w:rFonts w:hint="eastAsia"/>
          <w:b/>
          <w:bCs/>
          <w:color w:val="auto"/>
        </w:rPr>
        <w:t>1</w:t>
      </w:r>
      <w:r>
        <w:rPr>
          <w:b/>
          <w:bCs/>
          <w:color w:val="auto"/>
        </w:rPr>
        <w:t>. Reagents and kits used in this study</w:t>
      </w:r>
    </w:p>
    <w:tbl>
      <w:tblPr>
        <w:tblStyle w:val="7"/>
        <w:tblW w:w="82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2976"/>
        <w:gridCol w:w="2063"/>
      </w:tblGrid>
      <w:tr w14:paraId="71CFA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2748105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Kit/Reagent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A86625A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Source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77DFC0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Identifier (Cat#)</w:t>
            </w:r>
          </w:p>
        </w:tc>
      </w:tr>
      <w:tr w14:paraId="3694C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D8D8D8" w:themeFill="background1" w:themeFillShade="D9"/>
            <w:vAlign w:val="center"/>
          </w:tcPr>
          <w:p w14:paraId="462FE5EF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Theme="minorEastAsia"/>
                <w:color w:val="auto"/>
              </w:rPr>
              <w:t>C</w:t>
            </w:r>
            <w:r>
              <w:rPr>
                <w:rFonts w:eastAsia="Times New Roman"/>
                <w:color w:val="auto"/>
              </w:rPr>
              <w:t>hemical</w:t>
            </w:r>
            <w:r>
              <w:rPr>
                <w:rFonts w:eastAsiaTheme="minorEastAsia"/>
                <w:color w:val="auto"/>
              </w:rPr>
              <w:t>s</w:t>
            </w:r>
            <w:r>
              <w:rPr>
                <w:rFonts w:eastAsia="Times New Roman"/>
                <w:color w:val="auto"/>
              </w:rPr>
              <w:t xml:space="preserve"> </w:t>
            </w:r>
            <w:r>
              <w:rPr>
                <w:rFonts w:eastAsiaTheme="minorEastAsia"/>
                <w:color w:val="auto"/>
              </w:rPr>
              <w:t xml:space="preserve">and biologicals </w:t>
            </w:r>
            <w:r>
              <w:rPr>
                <w:rFonts w:eastAsia="Times New Roman"/>
                <w:color w:val="auto"/>
              </w:rPr>
              <w:t>used in animal experiments</w:t>
            </w:r>
          </w:p>
        </w:tc>
      </w:tr>
      <w:tr w14:paraId="556AB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4ED3AC4">
            <w:pPr>
              <w:widowControl/>
              <w:rPr>
                <w:rFonts w:eastAsiaTheme="minorEastAsia"/>
                <w:color w:val="auto"/>
              </w:rPr>
            </w:pPr>
            <w:bookmarkStart w:id="2" w:name="OLE_LINK24"/>
            <w:r>
              <w:rPr>
                <w:rFonts w:eastAsia="Times New Roman"/>
                <w:color w:val="auto"/>
              </w:rPr>
              <w:t>Streptozotocin</w:t>
            </w:r>
            <w:bookmarkEnd w:id="2"/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BF41EB0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MilliporeSigma 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F4A033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Theme="minorEastAsia"/>
                <w:color w:val="auto"/>
              </w:rPr>
              <w:t>S0130</w:t>
            </w:r>
          </w:p>
        </w:tc>
      </w:tr>
      <w:tr w14:paraId="07AE4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AD2D9">
            <w:pPr>
              <w:widowControl/>
              <w:rPr>
                <w:rFonts w:eastAsiaTheme="minorEastAsia"/>
                <w:color w:val="auto"/>
              </w:rPr>
            </w:pPr>
            <w:r>
              <w:rPr>
                <w:rFonts w:eastAsia="Times New Roman"/>
                <w:color w:val="auto"/>
              </w:rPr>
              <w:t>IgG (Control)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7D51A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REMD Biotherapeutics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73377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Theme="minorEastAsia"/>
                <w:color w:val="auto"/>
              </w:rPr>
              <w:t>N/A</w:t>
            </w:r>
          </w:p>
        </w:tc>
      </w:tr>
      <w:tr w14:paraId="4D83F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3AF5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GCGR mAb</w:t>
            </w:r>
            <w:r>
              <w:rPr>
                <w:rFonts w:eastAsiaTheme="minorEastAsia"/>
                <w:color w:val="auto"/>
              </w:rPr>
              <w:t xml:space="preserve"> (REMD 2.59)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AD8AC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REMD Biotherapeutics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73B8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Theme="minorEastAsia"/>
                <w:color w:val="auto"/>
              </w:rPr>
              <w:t>N/A</w:t>
            </w:r>
          </w:p>
        </w:tc>
      </w:tr>
      <w:tr w14:paraId="131C3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D8D8D8" w:themeFill="background1" w:themeFillShade="D9"/>
          </w:tcPr>
          <w:p w14:paraId="5B923586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Histological reagents</w:t>
            </w:r>
          </w:p>
        </w:tc>
      </w:tr>
      <w:tr w14:paraId="1E630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C604717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2,2,2-tribromoethanol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4941B3D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Nanjing Aibei Biotechnology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0E5E3D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M2910</w:t>
            </w:r>
          </w:p>
        </w:tc>
      </w:tr>
      <w:tr w14:paraId="1C7C7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FAA86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Testicular Tissue Fixation Buffer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DCA71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Servicebio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C433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G1121</w:t>
            </w:r>
          </w:p>
        </w:tc>
      </w:tr>
      <w:tr w14:paraId="67ECE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14:paraId="6D8CFC5A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EDTA Antigen Retrieval Solution (pH 9.0)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4BA03F4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Zhongshan Biotechnology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7F3679D5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ZLI-9069</w:t>
            </w:r>
          </w:p>
        </w:tc>
      </w:tr>
      <w:tr w14:paraId="0DC37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14:paraId="06EED49B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Triton X-100 (0.2%)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35EE653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Beyotime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3AB6B17B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P0096</w:t>
            </w:r>
          </w:p>
        </w:tc>
      </w:tr>
      <w:tr w14:paraId="6E921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14:paraId="1FFC0D81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hint="eastAsia" w:eastAsiaTheme="minorEastAsia"/>
                <w:color w:val="auto"/>
              </w:rPr>
              <w:t>Goat</w:t>
            </w:r>
            <w:r>
              <w:rPr>
                <w:rFonts w:eastAsia="Times New Roman"/>
                <w:color w:val="auto"/>
              </w:rPr>
              <w:t xml:space="preserve"> Serum Blocking Solution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39EDB57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Zhongshan Biotechnology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20516B67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ZLI-9056</w:t>
            </w:r>
          </w:p>
        </w:tc>
      </w:tr>
      <w:tr w14:paraId="2D075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14:paraId="7678B0A8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DAPI Staining Solution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F1E14D8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Applygen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10126708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B1061</w:t>
            </w:r>
          </w:p>
        </w:tc>
      </w:tr>
      <w:tr w14:paraId="0D02D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14:paraId="0DF200F5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Glycogen Staining Kit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81B678F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Solarbio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6E60A766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G1280</w:t>
            </w:r>
          </w:p>
        </w:tc>
      </w:tr>
      <w:tr w14:paraId="695AB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14:paraId="40A7303F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NEON520 tyramide dye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8F2AA77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Haosaitehua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</w:tcPr>
          <w:p w14:paraId="40827F4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DFT5250</w:t>
            </w:r>
          </w:p>
        </w:tc>
      </w:tr>
      <w:tr w14:paraId="09498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86A353B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NEON620 tyramide dye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D890779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Haosaitehua</w:t>
            </w:r>
          </w:p>
        </w:tc>
        <w:tc>
          <w:tcPr>
            <w:tcW w:w="206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CF0B481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DFT6250</w:t>
            </w:r>
          </w:p>
        </w:tc>
      </w:tr>
      <w:tr w14:paraId="7470C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8D8D8" w:themeFill="background1" w:themeFillShade="D9"/>
            <w:vAlign w:val="center"/>
          </w:tcPr>
          <w:p w14:paraId="64323038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Western </w:t>
            </w:r>
            <w:r>
              <w:rPr>
                <w:rFonts w:hint="eastAsia" w:eastAsia="Times New Roman"/>
                <w:color w:val="auto"/>
              </w:rPr>
              <w:t>b</w:t>
            </w:r>
            <w:r>
              <w:rPr>
                <w:rFonts w:eastAsia="Times New Roman"/>
                <w:color w:val="auto"/>
              </w:rPr>
              <w:t>lot reagents</w:t>
            </w:r>
          </w:p>
        </w:tc>
      </w:tr>
      <w:tr w14:paraId="683FC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4FBEE89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RIPA Lysis Buffer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FFAD44F">
            <w:pPr>
              <w:widowControl/>
              <w:jc w:val="left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Applygen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4AFD30A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C1053-100</w:t>
            </w:r>
          </w:p>
        </w:tc>
      </w:tr>
      <w:tr w14:paraId="24405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14877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BCA Protein Quantification Kit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5E89B">
            <w:pPr>
              <w:widowControl/>
              <w:jc w:val="left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Thermo Fisher Scientific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94105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23225</w:t>
            </w:r>
          </w:p>
        </w:tc>
      </w:tr>
      <w:tr w14:paraId="2A1B9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E384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Nitrocellulose Membrane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4EF1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MilliporeSigma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B4824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HATF00010</w:t>
            </w:r>
          </w:p>
        </w:tc>
      </w:tr>
      <w:tr w14:paraId="18EF7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E72300A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Chemiluminescence Substrate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A9F05B">
            <w:pPr>
              <w:widowControl/>
              <w:jc w:val="left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MilliporeSigma</w:t>
            </w:r>
          </w:p>
        </w:tc>
        <w:tc>
          <w:tcPr>
            <w:tcW w:w="206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B76D5A8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WBKLS0200</w:t>
            </w:r>
          </w:p>
        </w:tc>
      </w:tr>
      <w:tr w14:paraId="30980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D8D8D8" w:themeFill="background1" w:themeFillShade="D9"/>
            <w:vAlign w:val="center"/>
          </w:tcPr>
          <w:p w14:paraId="36E5FFED">
            <w:pPr>
              <w:widowControl/>
              <w:jc w:val="left"/>
              <w:rPr>
                <w:rFonts w:eastAsia="Times New Roman"/>
                <w:color w:val="auto"/>
              </w:rPr>
            </w:pPr>
            <w:bookmarkStart w:id="3" w:name="_Hlk217742844"/>
            <w:r>
              <w:rPr>
                <w:rFonts w:hint="eastAsia" w:eastAsia="Times New Roman"/>
                <w:color w:val="auto"/>
                <w:sz w:val="21"/>
                <w:szCs w:val="21"/>
              </w:rPr>
              <w:t>R</w:t>
            </w:r>
            <w:r>
              <w:rPr>
                <w:rFonts w:eastAsia="Times New Roman"/>
                <w:color w:val="auto"/>
              </w:rPr>
              <w:t>eagents</w:t>
            </w:r>
            <w:r>
              <w:rPr>
                <w:rFonts w:hint="eastAsia" w:eastAsia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eastAsia="Times New Roman"/>
                <w:color w:val="auto"/>
              </w:rPr>
              <w:t>and kits for r</w:t>
            </w:r>
            <w:r>
              <w:rPr>
                <w:rFonts w:hint="eastAsia" w:eastAsia="Times New Roman"/>
                <w:color w:val="auto"/>
              </w:rPr>
              <w:t>everse transcription-q</w:t>
            </w:r>
            <w:r>
              <w:rPr>
                <w:rFonts w:eastAsia="Times New Roman"/>
                <w:color w:val="auto"/>
              </w:rPr>
              <w:t>PCR</w:t>
            </w:r>
            <w:r>
              <w:rPr>
                <w:rFonts w:hint="eastAsia" w:eastAsiaTheme="minorEastAsia"/>
                <w:color w:val="auto"/>
                <w:sz w:val="32"/>
                <w:szCs w:val="32"/>
              </w:rPr>
              <w:t xml:space="preserve"> </w:t>
            </w:r>
          </w:p>
        </w:tc>
      </w:tr>
      <w:bookmarkEnd w:id="3"/>
      <w:tr w14:paraId="27D1C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2E4634C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TRIzol Reagent for RNA Extraction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EC2429D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Thermo Fisher Scientific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D823902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15596018</w:t>
            </w:r>
          </w:p>
        </w:tc>
      </w:tr>
      <w:tr w14:paraId="39787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2502C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RevertAid First Strand cDNA Synthesis Kit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A6653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Thermo Fisher Scientific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45CC9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K16225</w:t>
            </w:r>
          </w:p>
        </w:tc>
      </w:tr>
      <w:tr w14:paraId="1C44A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D20A24E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Thunderbird SYBR</w:t>
            </w:r>
            <w:r>
              <w:rPr>
                <w:rFonts w:eastAsia="Times New Roman"/>
                <w:color w:val="auto"/>
                <w:vertAlign w:val="superscript"/>
              </w:rPr>
              <w:t xml:space="preserve">® </w:t>
            </w:r>
            <w:r>
              <w:rPr>
                <w:rFonts w:eastAsia="Times New Roman"/>
                <w:color w:val="auto"/>
              </w:rPr>
              <w:t>qPCR Mix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7FF708A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TOYOBO</w:t>
            </w:r>
          </w:p>
        </w:tc>
        <w:tc>
          <w:tcPr>
            <w:tcW w:w="206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D8D2EAF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QPS-201</w:t>
            </w:r>
          </w:p>
        </w:tc>
      </w:tr>
      <w:tr w14:paraId="42EE0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D8D8D8" w:themeFill="background1" w:themeFillShade="D9"/>
            <w:vAlign w:val="center"/>
          </w:tcPr>
          <w:p w14:paraId="11B409F0">
            <w:pPr>
              <w:widowControl/>
              <w:rPr>
                <w:rFonts w:eastAsiaTheme="minorEastAsia"/>
                <w:color w:val="auto"/>
              </w:rPr>
            </w:pPr>
            <w:r>
              <w:rPr>
                <w:rFonts w:hint="eastAsia" w:eastAsia="Times New Roman"/>
                <w:color w:val="auto"/>
              </w:rPr>
              <w:t>Kits for o</w:t>
            </w:r>
            <w:r>
              <w:rPr>
                <w:rFonts w:eastAsia="Times New Roman"/>
                <w:color w:val="auto"/>
              </w:rPr>
              <w:t>xidative stress and apoptosis</w:t>
            </w:r>
            <w:r>
              <w:rPr>
                <w:rFonts w:eastAsiaTheme="minorEastAsia"/>
                <w:color w:val="auto"/>
              </w:rPr>
              <w:t xml:space="preserve"> assessments</w:t>
            </w:r>
          </w:p>
        </w:tc>
      </w:tr>
      <w:tr w14:paraId="2CB3D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FDBDE3A">
            <w:pPr>
              <w:widowControl/>
              <w:jc w:val="left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Theme="minorEastAsia"/>
                <w:color w:val="auto"/>
              </w:rPr>
              <w:t xml:space="preserve">Total antioxidant capacity assay kit </w:t>
            </w:r>
            <w:r>
              <w:rPr>
                <w:rFonts w:hint="eastAsia" w:eastAsiaTheme="minorEastAsia"/>
                <w:color w:val="auto"/>
              </w:rPr>
              <w:t>(</w:t>
            </w:r>
            <w:r>
              <w:rPr>
                <w:rFonts w:eastAsiaTheme="minorEastAsia"/>
                <w:color w:val="auto"/>
              </w:rPr>
              <w:t>ABTS method</w:t>
            </w:r>
            <w:r>
              <w:rPr>
                <w:rFonts w:hint="eastAsia" w:eastAsiaTheme="minorEastAsia"/>
                <w:color w:val="auto"/>
              </w:rPr>
              <w:t>)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0E93A1F">
            <w:pPr>
              <w:widowControl/>
              <w:jc w:val="left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Nanjing Jiancheng Bioengineering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E67BC69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A015-2-1</w:t>
            </w:r>
          </w:p>
        </w:tc>
      </w:tr>
      <w:tr w14:paraId="68FC4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9A0F7">
            <w:pPr>
              <w:widowControl/>
              <w:jc w:val="left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SOD Activity Assay Kit (WST-1 Method)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0E033">
            <w:pPr>
              <w:widowControl/>
              <w:jc w:val="left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Nanjing Jiancheng Bioengineering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5CE68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A001-3-2</w:t>
            </w:r>
          </w:p>
        </w:tc>
      </w:tr>
      <w:tr w14:paraId="0D162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76FF8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bookmarkStart w:id="4" w:name="_Hlk217749672"/>
            <w:r>
              <w:rPr>
                <w:rFonts w:eastAsia="Times New Roman"/>
                <w:color w:val="auto"/>
              </w:rPr>
              <w:t>MDA Assay Kit (TBA Method)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F4840">
            <w:pPr>
              <w:widowControl/>
              <w:jc w:val="left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Nanjing Jiancheng Bioengineering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379D7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A003-2-1</w:t>
            </w:r>
          </w:p>
        </w:tc>
      </w:tr>
      <w:bookmarkEnd w:id="4"/>
      <w:tr w14:paraId="0A28E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7143E9A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One Step TUNEL Apoptosis Assay Kit 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EB26C5E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Beyotime</w:t>
            </w:r>
          </w:p>
        </w:tc>
        <w:tc>
          <w:tcPr>
            <w:tcW w:w="206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DF4247F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C1086</w:t>
            </w:r>
          </w:p>
        </w:tc>
      </w:tr>
      <w:tr w14:paraId="52076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D8D8D8" w:themeFill="background1" w:themeFillShade="D9"/>
            <w:vAlign w:val="center"/>
          </w:tcPr>
          <w:p w14:paraId="5E468273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Cell </w:t>
            </w:r>
            <w:r>
              <w:rPr>
                <w:rFonts w:hint="eastAsia" w:eastAsia="Times New Roman"/>
                <w:color w:val="auto"/>
              </w:rPr>
              <w:t>c</w:t>
            </w:r>
            <w:r>
              <w:rPr>
                <w:rFonts w:eastAsia="Times New Roman"/>
                <w:color w:val="auto"/>
              </w:rPr>
              <w:t xml:space="preserve">ulture </w:t>
            </w:r>
            <w:r>
              <w:rPr>
                <w:rFonts w:hint="eastAsia" w:eastAsia="Times New Roman"/>
                <w:color w:val="auto"/>
              </w:rPr>
              <w:t>r</w:t>
            </w:r>
            <w:r>
              <w:rPr>
                <w:rFonts w:eastAsia="Times New Roman"/>
                <w:color w:val="auto"/>
              </w:rPr>
              <w:t>eagents</w:t>
            </w:r>
          </w:p>
        </w:tc>
      </w:tr>
      <w:tr w14:paraId="29EB6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1AAE25A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Dulbecco's </w:t>
            </w:r>
            <w:r>
              <w:rPr>
                <w:rFonts w:hint="eastAsia" w:eastAsiaTheme="minorEastAsia"/>
                <w:color w:val="auto"/>
              </w:rPr>
              <w:t>m</w:t>
            </w:r>
            <w:r>
              <w:rPr>
                <w:rFonts w:eastAsia="Times New Roman"/>
                <w:color w:val="auto"/>
              </w:rPr>
              <w:t xml:space="preserve">odified Eagle's </w:t>
            </w:r>
            <w:r>
              <w:rPr>
                <w:rFonts w:hint="eastAsia" w:eastAsiaTheme="minorEastAsia"/>
                <w:color w:val="auto"/>
              </w:rPr>
              <w:t>m</w:t>
            </w:r>
            <w:r>
              <w:rPr>
                <w:rFonts w:eastAsia="Times New Roman"/>
                <w:color w:val="auto"/>
              </w:rPr>
              <w:t xml:space="preserve">edium 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3BA5796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Gibco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EBED482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11995065</w:t>
            </w:r>
          </w:p>
        </w:tc>
      </w:tr>
      <w:tr w14:paraId="13D4F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59B20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Fetal Bovine Serum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D03F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Hyclone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E5023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SV30208.02</w:t>
            </w:r>
          </w:p>
        </w:tc>
      </w:tr>
      <w:tr w14:paraId="31F7B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4D3E5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Penicillin-Streptomycin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1EA3C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Gibco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3C4F5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15140122</w:t>
            </w:r>
          </w:p>
        </w:tc>
      </w:tr>
      <w:tr w14:paraId="28678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A9B09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Complete culture medium </w:t>
            </w:r>
          </w:p>
          <w:p w14:paraId="542A5BD2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(for TM3 cells)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15FED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Procell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A02BB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CM-0234</w:t>
            </w:r>
          </w:p>
        </w:tc>
      </w:tr>
      <w:tr w14:paraId="49A80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9A5BE">
            <w:pPr>
              <w:widowControl/>
              <w:rPr>
                <w:rFonts w:eastAsia="Times New Roman"/>
                <w:color w:val="auto"/>
              </w:rPr>
            </w:pPr>
            <w:bookmarkStart w:id="5" w:name="OLE_LINK22"/>
            <w:r>
              <w:rPr>
                <w:rFonts w:eastAsia="Times New Roman"/>
                <w:color w:val="auto"/>
              </w:rPr>
              <w:t xml:space="preserve">Complete culture medium </w:t>
            </w:r>
          </w:p>
          <w:p w14:paraId="63B83F84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(for TM4 cells)</w:t>
            </w:r>
            <w:bookmarkEnd w:id="5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98E76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Procell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B00BD">
            <w:pPr>
              <w:widowControl/>
              <w:rPr>
                <w:rFonts w:eastAsiaTheme="minorEastAsia"/>
                <w:color w:val="auto"/>
              </w:rPr>
            </w:pPr>
            <w:r>
              <w:rPr>
                <w:rFonts w:eastAsia="Times New Roman"/>
                <w:color w:val="auto"/>
              </w:rPr>
              <w:t>CM-0456</w:t>
            </w:r>
          </w:p>
        </w:tc>
      </w:tr>
      <w:tr w14:paraId="36F1C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0D5B9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Glucagon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3EC07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R&amp;D Systems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2AFDF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6927</w:t>
            </w:r>
          </w:p>
        </w:tc>
      </w:tr>
      <w:tr w14:paraId="455F4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8DA23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Exendin 9-39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55C03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Bachem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7BD21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4017799</w:t>
            </w:r>
          </w:p>
        </w:tc>
      </w:tr>
      <w:tr w14:paraId="42E39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59F9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3-</w:t>
            </w:r>
            <w:r>
              <w:rPr>
                <w:rFonts w:hint="eastAsia" w:eastAsia="Times New Roman"/>
                <w:color w:val="auto"/>
              </w:rPr>
              <w:t>I</w:t>
            </w:r>
            <w:r>
              <w:rPr>
                <w:rFonts w:eastAsia="Times New Roman"/>
                <w:color w:val="auto"/>
              </w:rPr>
              <w:t>sobutyl-1-</w:t>
            </w:r>
            <w:r>
              <w:rPr>
                <w:rFonts w:hint="eastAsia" w:eastAsia="Times New Roman"/>
                <w:color w:val="auto"/>
              </w:rPr>
              <w:t>M</w:t>
            </w:r>
            <w:r>
              <w:rPr>
                <w:rFonts w:eastAsia="Times New Roman"/>
                <w:color w:val="auto"/>
              </w:rPr>
              <w:t>ethylxanthine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9539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MilliporeSigma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927AB">
            <w:pPr>
              <w:rPr>
                <w:rFonts w:eastAsiaTheme="minorEastAsia"/>
                <w:color w:val="auto"/>
              </w:rPr>
            </w:pPr>
            <w:r>
              <w:rPr>
                <w:rFonts w:eastAsia="Times New Roman"/>
                <w:color w:val="auto"/>
              </w:rPr>
              <w:t>I5879</w:t>
            </w:r>
          </w:p>
        </w:tc>
      </w:tr>
      <w:tr w14:paraId="30908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86002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Human Tubal Fluid Medium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80883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Nanjing Aibei Biotechnology Co. Ltd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B76FD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M1135</w:t>
            </w:r>
          </w:p>
        </w:tc>
      </w:tr>
      <w:tr w14:paraId="64A20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2F9C9B5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Phosphate Buffered Saline 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3BBE1AC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Theme="minorEastAsia"/>
                <w:color w:val="auto"/>
              </w:rPr>
              <w:t>Servicebio</w:t>
            </w:r>
          </w:p>
        </w:tc>
        <w:tc>
          <w:tcPr>
            <w:tcW w:w="206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9CD50CF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Theme="minorEastAsia"/>
                <w:color w:val="auto"/>
              </w:rPr>
              <w:t>G4202</w:t>
            </w:r>
          </w:p>
        </w:tc>
      </w:tr>
      <w:tr w14:paraId="60B99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D8D8D8" w:themeFill="background1" w:themeFillShade="D9"/>
            <w:vAlign w:val="center"/>
          </w:tcPr>
          <w:p w14:paraId="35F7064D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Theme="minorEastAsia"/>
                <w:color w:val="auto"/>
              </w:rPr>
              <w:t xml:space="preserve">Other </w:t>
            </w:r>
            <w:r>
              <w:rPr>
                <w:rFonts w:hint="eastAsia" w:eastAsiaTheme="minorEastAsia"/>
                <w:color w:val="auto"/>
              </w:rPr>
              <w:t>c</w:t>
            </w:r>
            <w:r>
              <w:rPr>
                <w:rFonts w:eastAsiaTheme="minorEastAsia"/>
                <w:color w:val="auto"/>
              </w:rPr>
              <w:t xml:space="preserve">ommercial </w:t>
            </w:r>
            <w:r>
              <w:rPr>
                <w:rFonts w:hint="eastAsia" w:eastAsiaTheme="minorEastAsia"/>
                <w:color w:val="auto"/>
              </w:rPr>
              <w:t>k</w:t>
            </w:r>
            <w:r>
              <w:rPr>
                <w:rFonts w:eastAsiaTheme="minorEastAsia"/>
                <w:color w:val="auto"/>
              </w:rPr>
              <w:t>its</w:t>
            </w:r>
          </w:p>
        </w:tc>
      </w:tr>
      <w:tr w14:paraId="44DBA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A7D65D6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Mouse </w:t>
            </w:r>
            <w:r>
              <w:rPr>
                <w:rFonts w:hint="eastAsia" w:eastAsia="Times New Roman"/>
                <w:color w:val="auto"/>
              </w:rPr>
              <w:t>t</w:t>
            </w:r>
            <w:r>
              <w:rPr>
                <w:rFonts w:eastAsia="Times New Roman"/>
                <w:color w:val="auto"/>
              </w:rPr>
              <w:t>estosterone</w:t>
            </w:r>
            <w:r>
              <w:rPr>
                <w:rFonts w:hint="eastAsia" w:eastAsia="Times New Roman"/>
                <w:color w:val="auto"/>
              </w:rPr>
              <w:t xml:space="preserve"> </w:t>
            </w:r>
            <w:r>
              <w:rPr>
                <w:rFonts w:eastAsia="Times New Roman"/>
                <w:color w:val="auto"/>
              </w:rPr>
              <w:t>ELISA Kit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7B8A978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Elabscience</w:t>
            </w:r>
          </w:p>
        </w:tc>
        <w:tc>
          <w:tcPr>
            <w:tcW w:w="206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24A3B8F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E-OSEL-M0003</w:t>
            </w:r>
          </w:p>
        </w:tc>
      </w:tr>
      <w:tr w14:paraId="736D7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19563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Mouse </w:t>
            </w:r>
            <w:r>
              <w:rPr>
                <w:rFonts w:hint="eastAsia" w:eastAsia="Times New Roman"/>
                <w:color w:val="auto"/>
              </w:rPr>
              <w:t>l</w:t>
            </w:r>
            <w:r>
              <w:rPr>
                <w:rFonts w:eastAsia="Times New Roman"/>
                <w:color w:val="auto"/>
              </w:rPr>
              <w:t xml:space="preserve">uteinizing </w:t>
            </w:r>
            <w:r>
              <w:rPr>
                <w:rFonts w:hint="eastAsia" w:eastAsiaTheme="minorEastAsia"/>
                <w:color w:val="auto"/>
              </w:rPr>
              <w:t>h</w:t>
            </w:r>
            <w:r>
              <w:rPr>
                <w:rFonts w:eastAsia="Times New Roman"/>
                <w:color w:val="auto"/>
              </w:rPr>
              <w:t>ormone ELISA Kit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CCACF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Elabscience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D4ADB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E-EL-M3053</w:t>
            </w:r>
          </w:p>
        </w:tc>
      </w:tr>
      <w:tr w14:paraId="55F4C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F2F67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Mouse </w:t>
            </w:r>
            <w:r>
              <w:rPr>
                <w:rFonts w:hint="eastAsia" w:eastAsia="Times New Roman"/>
                <w:color w:val="auto"/>
              </w:rPr>
              <w:t>f</w:t>
            </w:r>
            <w:r>
              <w:rPr>
                <w:rFonts w:eastAsia="Times New Roman"/>
                <w:color w:val="auto"/>
              </w:rPr>
              <w:t xml:space="preserve">ollicle </w:t>
            </w:r>
            <w:r>
              <w:rPr>
                <w:rFonts w:hint="eastAsia" w:eastAsiaTheme="minorEastAsia"/>
                <w:color w:val="auto"/>
              </w:rPr>
              <w:t>s</w:t>
            </w:r>
            <w:r>
              <w:rPr>
                <w:rFonts w:eastAsia="Times New Roman"/>
                <w:color w:val="auto"/>
              </w:rPr>
              <w:t xml:space="preserve">timulating </w:t>
            </w:r>
            <w:r>
              <w:rPr>
                <w:rFonts w:hint="eastAsia" w:eastAsia="Times New Roman"/>
                <w:color w:val="auto"/>
              </w:rPr>
              <w:t>h</w:t>
            </w:r>
            <w:r>
              <w:rPr>
                <w:rFonts w:eastAsia="Times New Roman"/>
                <w:color w:val="auto"/>
              </w:rPr>
              <w:t>ormone ELISA Kit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A5B5C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Elabscience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FA333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E-EL-M0511</w:t>
            </w:r>
          </w:p>
        </w:tc>
      </w:tr>
      <w:tr w14:paraId="1A0CA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6D675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Lact</w:t>
            </w:r>
            <w:r>
              <w:rPr>
                <w:rFonts w:hint="eastAsia" w:eastAsia="Times New Roman"/>
                <w:color w:val="auto"/>
              </w:rPr>
              <w:t>ate</w:t>
            </w:r>
            <w:r>
              <w:rPr>
                <w:rFonts w:eastAsia="Times New Roman"/>
                <w:color w:val="auto"/>
              </w:rPr>
              <w:t xml:space="preserve"> Assay Kit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E1627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Nanjing Jiancheng Bioengineering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4B33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A019-2-1</w:t>
            </w:r>
          </w:p>
        </w:tc>
      </w:tr>
      <w:tr w14:paraId="69307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601BD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LDH Assay Kit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DB45C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Nanjing Jiancheng Bioengineering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CFB46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A020-2-1</w:t>
            </w:r>
          </w:p>
        </w:tc>
      </w:tr>
      <w:tr w14:paraId="43811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688F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Cell Counting Kit-8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19778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Dojindo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C965B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CK04</w:t>
            </w:r>
          </w:p>
        </w:tc>
      </w:tr>
      <w:tr w14:paraId="24ABD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25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9761513">
            <w:pPr>
              <w:widowControl/>
              <w:rPr>
                <w:rFonts w:eastAsia="Times New Roman"/>
                <w:color w:val="auto"/>
              </w:rPr>
            </w:pPr>
            <w:bookmarkStart w:id="6" w:name="OLE_LINK16"/>
            <w:r>
              <w:rPr>
                <w:rFonts w:eastAsia="Times New Roman"/>
                <w:color w:val="auto"/>
              </w:rPr>
              <w:t>cAMP</w:t>
            </w:r>
            <w:bookmarkEnd w:id="6"/>
            <w:r>
              <w:rPr>
                <w:rFonts w:eastAsia="Times New Roman"/>
                <w:color w:val="auto"/>
              </w:rPr>
              <w:t xml:space="preserve"> </w:t>
            </w:r>
            <w:r>
              <w:rPr>
                <w:rFonts w:hint="eastAsia" w:eastAsiaTheme="minorEastAsia"/>
                <w:color w:val="auto"/>
              </w:rPr>
              <w:t>A</w:t>
            </w:r>
            <w:r>
              <w:rPr>
                <w:rFonts w:eastAsia="Times New Roman"/>
                <w:color w:val="auto"/>
              </w:rPr>
              <w:t xml:space="preserve">ssay </w:t>
            </w:r>
            <w:r>
              <w:rPr>
                <w:rFonts w:hint="eastAsia" w:eastAsiaTheme="minorEastAsia"/>
                <w:color w:val="auto"/>
              </w:rPr>
              <w:t>K</w:t>
            </w:r>
            <w:r>
              <w:rPr>
                <w:rFonts w:eastAsia="Times New Roman"/>
                <w:color w:val="auto"/>
              </w:rPr>
              <w:t>it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2135F34">
            <w:pPr>
              <w:widowControl/>
              <w:jc w:val="left"/>
              <w:rPr>
                <w:rFonts w:eastAsiaTheme="minorEastAsia"/>
                <w:color w:val="auto"/>
              </w:rPr>
            </w:pPr>
            <w:r>
              <w:rPr>
                <w:rFonts w:eastAsia="Times New Roman"/>
                <w:color w:val="auto"/>
              </w:rPr>
              <w:t>R&amp;D Systems</w:t>
            </w:r>
          </w:p>
        </w:tc>
        <w:tc>
          <w:tcPr>
            <w:tcW w:w="206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C383DE8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KGE002B</w:t>
            </w:r>
          </w:p>
        </w:tc>
      </w:tr>
    </w:tbl>
    <w:p w14:paraId="70303D55">
      <w:pPr>
        <w:widowControl/>
        <w:rPr>
          <w:b/>
          <w:bCs/>
          <w:color w:val="auto"/>
        </w:rPr>
      </w:pPr>
      <w:r>
        <w:rPr>
          <w:rFonts w:hint="eastAsia"/>
          <w:color w:val="auto"/>
          <w:sz w:val="21"/>
          <w:szCs w:val="21"/>
        </w:rPr>
        <w:t xml:space="preserve">ABTS, </w:t>
      </w:r>
      <w:r>
        <w:rPr>
          <w:color w:val="auto"/>
          <w:sz w:val="21"/>
          <w:szCs w:val="21"/>
        </w:rPr>
        <w:t>2,2'-azino-bis</w:t>
      </w:r>
      <w:r>
        <w:rPr>
          <w:rFonts w:hint="eastAsia"/>
          <w:color w:val="auto"/>
          <w:sz w:val="21"/>
          <w:szCs w:val="21"/>
        </w:rPr>
        <w:t xml:space="preserve"> </w:t>
      </w:r>
      <w:r>
        <w:rPr>
          <w:color w:val="auto"/>
          <w:sz w:val="21"/>
          <w:szCs w:val="21"/>
        </w:rPr>
        <w:t>(3-ethylbenzothiazoline-6-sulfonic acid);</w:t>
      </w:r>
      <w:r>
        <w:rPr>
          <w:rFonts w:hint="eastAsia"/>
          <w:color w:val="auto"/>
          <w:sz w:val="21"/>
          <w:szCs w:val="21"/>
        </w:rPr>
        <w:t xml:space="preserve"> BCA, </w:t>
      </w:r>
      <w:r>
        <w:rPr>
          <w:color w:val="auto"/>
          <w:sz w:val="21"/>
          <w:szCs w:val="21"/>
        </w:rPr>
        <w:t>bicinchoninic acid</w:t>
      </w:r>
      <w:r>
        <w:rPr>
          <w:rFonts w:hint="eastAsia"/>
          <w:color w:val="auto"/>
          <w:sz w:val="21"/>
          <w:szCs w:val="21"/>
        </w:rPr>
        <w:t xml:space="preserve">; </w:t>
      </w:r>
      <w:r>
        <w:rPr>
          <w:color w:val="auto"/>
          <w:sz w:val="21"/>
          <w:szCs w:val="21"/>
        </w:rPr>
        <w:t>DAPI, 4′,6-diamidino-2-phenylindole;</w:t>
      </w:r>
      <w:r>
        <w:rPr>
          <w:rFonts w:hint="eastAsia"/>
          <w:color w:val="auto"/>
          <w:sz w:val="21"/>
          <w:szCs w:val="21"/>
        </w:rPr>
        <w:t xml:space="preserve"> </w:t>
      </w:r>
      <w:r>
        <w:rPr>
          <w:color w:val="auto"/>
          <w:sz w:val="21"/>
          <w:szCs w:val="21"/>
        </w:rPr>
        <w:t>EDTA, ethylenediaminetetraacetic acid;</w:t>
      </w:r>
      <w:r>
        <w:rPr>
          <w:rFonts w:hint="eastAsia"/>
          <w:color w:val="auto"/>
          <w:sz w:val="21"/>
          <w:szCs w:val="21"/>
        </w:rPr>
        <w:t xml:space="preserve"> </w:t>
      </w:r>
      <w:bookmarkStart w:id="7" w:name="OLE_LINK38"/>
      <w:r>
        <w:rPr>
          <w:rFonts w:hint="eastAsia"/>
          <w:color w:val="auto"/>
          <w:sz w:val="21"/>
          <w:szCs w:val="21"/>
        </w:rPr>
        <w:t xml:space="preserve">ELISA, </w:t>
      </w:r>
      <w:r>
        <w:rPr>
          <w:color w:val="auto"/>
          <w:sz w:val="21"/>
          <w:szCs w:val="21"/>
        </w:rPr>
        <w:t>enzyme-linked immunosorbent assay</w:t>
      </w:r>
      <w:bookmarkEnd w:id="7"/>
      <w:r>
        <w:rPr>
          <w:rFonts w:hint="eastAsia"/>
          <w:color w:val="auto"/>
          <w:sz w:val="21"/>
          <w:szCs w:val="21"/>
        </w:rPr>
        <w:t xml:space="preserve">; </w:t>
      </w:r>
      <w:r>
        <w:rPr>
          <w:color w:val="auto"/>
          <w:sz w:val="21"/>
          <w:szCs w:val="21"/>
        </w:rPr>
        <w:t>GCGR</w:t>
      </w:r>
      <w:r>
        <w:rPr>
          <w:rFonts w:hint="eastAsia"/>
          <w:color w:val="auto"/>
          <w:sz w:val="21"/>
          <w:szCs w:val="21"/>
        </w:rPr>
        <w:t xml:space="preserve">, </w:t>
      </w:r>
      <w:r>
        <w:rPr>
          <w:color w:val="auto"/>
          <w:sz w:val="21"/>
          <w:szCs w:val="21"/>
        </w:rPr>
        <w:t>glucagon receptor</w:t>
      </w:r>
      <w:r>
        <w:rPr>
          <w:rFonts w:hint="eastAsia"/>
          <w:color w:val="auto"/>
          <w:sz w:val="21"/>
          <w:szCs w:val="21"/>
        </w:rPr>
        <w:t xml:space="preserve">; </w:t>
      </w:r>
      <w:r>
        <w:rPr>
          <w:color w:val="auto"/>
          <w:sz w:val="21"/>
          <w:szCs w:val="21"/>
        </w:rPr>
        <w:t>LDH</w:t>
      </w:r>
      <w:r>
        <w:rPr>
          <w:rFonts w:hint="eastAsia"/>
          <w:color w:val="auto"/>
          <w:sz w:val="21"/>
          <w:szCs w:val="21"/>
        </w:rPr>
        <w:t xml:space="preserve">, </w:t>
      </w:r>
      <w:r>
        <w:rPr>
          <w:color w:val="auto"/>
          <w:sz w:val="21"/>
          <w:szCs w:val="21"/>
        </w:rPr>
        <w:t>lactate dehydrogenase</w:t>
      </w:r>
      <w:r>
        <w:rPr>
          <w:rFonts w:hint="eastAsia"/>
          <w:color w:val="auto"/>
          <w:sz w:val="21"/>
          <w:szCs w:val="21"/>
        </w:rPr>
        <w:t>;</w:t>
      </w:r>
      <w:r>
        <w:rPr>
          <w:color w:val="auto"/>
          <w:sz w:val="21"/>
          <w:szCs w:val="21"/>
        </w:rPr>
        <w:t xml:space="preserve"> MDA, malondialdehyde;</w:t>
      </w:r>
      <w:r>
        <w:rPr>
          <w:color w:val="auto"/>
        </w:rPr>
        <w:t xml:space="preserve"> </w:t>
      </w:r>
      <w:bookmarkStart w:id="8" w:name="OLE_LINK40"/>
      <w:r>
        <w:rPr>
          <w:rFonts w:hint="eastAsia"/>
          <w:color w:val="auto"/>
          <w:sz w:val="21"/>
          <w:szCs w:val="21"/>
        </w:rPr>
        <w:t>qPCR, quantitative p</w:t>
      </w:r>
      <w:r>
        <w:rPr>
          <w:color w:val="auto"/>
          <w:sz w:val="21"/>
          <w:szCs w:val="21"/>
        </w:rPr>
        <w:t xml:space="preserve">olymerase </w:t>
      </w:r>
      <w:r>
        <w:rPr>
          <w:rFonts w:hint="eastAsia"/>
          <w:color w:val="auto"/>
          <w:sz w:val="21"/>
          <w:szCs w:val="21"/>
        </w:rPr>
        <w:t>c</w:t>
      </w:r>
      <w:r>
        <w:rPr>
          <w:color w:val="auto"/>
          <w:sz w:val="21"/>
          <w:szCs w:val="21"/>
        </w:rPr>
        <w:t xml:space="preserve">hain </w:t>
      </w:r>
      <w:r>
        <w:rPr>
          <w:rFonts w:hint="eastAsia"/>
          <w:color w:val="auto"/>
          <w:sz w:val="21"/>
          <w:szCs w:val="21"/>
        </w:rPr>
        <w:t>r</w:t>
      </w:r>
      <w:r>
        <w:rPr>
          <w:color w:val="auto"/>
          <w:sz w:val="21"/>
          <w:szCs w:val="21"/>
        </w:rPr>
        <w:t>eaction; RIPA</w:t>
      </w:r>
      <w:r>
        <w:rPr>
          <w:rFonts w:hint="eastAsia"/>
          <w:color w:val="auto"/>
          <w:sz w:val="21"/>
          <w:szCs w:val="21"/>
        </w:rPr>
        <w:t xml:space="preserve">, </w:t>
      </w:r>
      <w:r>
        <w:rPr>
          <w:color w:val="auto"/>
          <w:sz w:val="21"/>
          <w:szCs w:val="21"/>
        </w:rPr>
        <w:t>radioimmunoprecipitation assay; SOD,</w:t>
      </w:r>
      <w:bookmarkEnd w:id="8"/>
      <w:r>
        <w:rPr>
          <w:color w:val="auto"/>
          <w:sz w:val="21"/>
          <w:szCs w:val="21"/>
        </w:rPr>
        <w:t xml:space="preserve"> superoxide dismutase;</w:t>
      </w:r>
      <w:r>
        <w:rPr>
          <w:color w:val="auto"/>
        </w:rPr>
        <w:t xml:space="preserve"> </w:t>
      </w:r>
      <w:r>
        <w:rPr>
          <w:color w:val="auto"/>
          <w:sz w:val="21"/>
          <w:szCs w:val="21"/>
        </w:rPr>
        <w:t>TBA, thiobarbituric acid;</w:t>
      </w:r>
      <w:r>
        <w:rPr>
          <w:color w:val="auto"/>
        </w:rPr>
        <w:t xml:space="preserve"> </w:t>
      </w:r>
      <w:bookmarkStart w:id="9" w:name="OLE_LINK44"/>
      <w:r>
        <w:rPr>
          <w:color w:val="auto"/>
          <w:sz w:val="21"/>
          <w:szCs w:val="21"/>
        </w:rPr>
        <w:t>TUNEL</w:t>
      </w:r>
      <w:bookmarkEnd w:id="9"/>
      <w:r>
        <w:rPr>
          <w:color w:val="auto"/>
          <w:sz w:val="21"/>
          <w:szCs w:val="21"/>
        </w:rPr>
        <w:t>, terminal deoxynucleotidyl transferase dUTP nick end labeling.</w:t>
      </w:r>
    </w:p>
    <w:p w14:paraId="05ADD646">
      <w:pPr>
        <w:widowControl/>
        <w:rPr>
          <w:b/>
          <w:bCs/>
          <w:color w:val="auto"/>
        </w:rPr>
      </w:pPr>
      <w:r>
        <w:rPr>
          <w:b/>
          <w:bCs/>
          <w:color w:val="auto"/>
        </w:rPr>
        <w:br w:type="page"/>
      </w:r>
    </w:p>
    <w:p w14:paraId="79020096">
      <w:pPr>
        <w:rPr>
          <w:rFonts w:eastAsiaTheme="minorEastAsia"/>
          <w:b/>
          <w:bCs/>
          <w:color w:val="auto"/>
        </w:rPr>
      </w:pPr>
      <w:r>
        <w:rPr>
          <w:rFonts w:eastAsiaTheme="minorEastAsia"/>
          <w:b/>
          <w:bCs/>
          <w:color w:val="auto"/>
        </w:rPr>
        <w:t>Table S</w:t>
      </w:r>
      <w:r>
        <w:rPr>
          <w:rFonts w:hint="eastAsia" w:eastAsiaTheme="minorEastAsia"/>
          <w:b/>
          <w:bCs/>
          <w:color w:val="auto"/>
        </w:rPr>
        <w:t>2.</w:t>
      </w:r>
      <w:r>
        <w:rPr>
          <w:rFonts w:eastAsiaTheme="minorEastAsia"/>
          <w:b/>
          <w:bCs/>
          <w:color w:val="auto"/>
        </w:rPr>
        <w:t xml:space="preserve"> Antibodies used in this study</w:t>
      </w:r>
    </w:p>
    <w:tbl>
      <w:tblPr>
        <w:tblStyle w:val="7"/>
        <w:tblW w:w="90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0"/>
        <w:gridCol w:w="1988"/>
        <w:gridCol w:w="2407"/>
        <w:gridCol w:w="1987"/>
      </w:tblGrid>
      <w:tr w14:paraId="5E26D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6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CDD6D6E">
            <w:pPr>
              <w:widowControl/>
              <w:adjustRightInd w:val="0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Antibody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5BC0761">
            <w:pPr>
              <w:widowControl/>
              <w:adjustRightInd w:val="0"/>
              <w:ind w:right="-286" w:rightChars="-119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Source</w:t>
            </w:r>
          </w:p>
        </w:tc>
        <w:tc>
          <w:tcPr>
            <w:tcW w:w="24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973D5BB">
            <w:pPr>
              <w:widowControl/>
              <w:adjustRightInd w:val="0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Identifier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BDB10F8">
            <w:pPr>
              <w:widowControl/>
              <w:adjustRightInd w:val="0"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Dilution (Application)</w:t>
            </w:r>
          </w:p>
        </w:tc>
      </w:tr>
      <w:tr w14:paraId="58E6D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20AB018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Anti-BCL2 </w:t>
            </w:r>
          </w:p>
          <w:p w14:paraId="3F124E1A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Rabbit mAb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C4B1CED">
            <w:pPr>
              <w:widowControl/>
              <w:adjustRightInd w:val="0"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Cell Signaling Technology</w:t>
            </w:r>
          </w:p>
        </w:tc>
        <w:tc>
          <w:tcPr>
            <w:tcW w:w="240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8A19600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Cat# 3498</w:t>
            </w:r>
          </w:p>
          <w:p w14:paraId="5A045909">
            <w:pPr>
              <w:widowControl/>
              <w:adjustRightInd w:val="0"/>
              <w:ind w:left="40" w:leftChars="16" w:hanging="2" w:hangingChars="1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 AB_1903907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3D8A2B5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1:1000 (WB)</w:t>
            </w:r>
          </w:p>
        </w:tc>
      </w:tr>
      <w:tr w14:paraId="75B36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CEE1F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Anti-BAX</w:t>
            </w:r>
          </w:p>
          <w:p w14:paraId="55A7DC00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Rabbit mAb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FC372">
            <w:pPr>
              <w:widowControl/>
              <w:adjustRightInd w:val="0"/>
              <w:jc w:val="left"/>
              <w:rPr>
                <w:rFonts w:eastAsia="Times New Roman"/>
                <w:color w:val="auto"/>
              </w:rPr>
            </w:pPr>
            <w:bookmarkStart w:id="10" w:name="OLE_LINK7"/>
            <w:r>
              <w:rPr>
                <w:rFonts w:eastAsia="Times New Roman"/>
                <w:color w:val="auto"/>
              </w:rPr>
              <w:t>Cell Signaling Technology</w:t>
            </w:r>
            <w:bookmarkEnd w:id="10"/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99EEB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Cat# 14796</w:t>
            </w:r>
          </w:p>
          <w:p w14:paraId="2582612F">
            <w:pPr>
              <w:widowControl/>
              <w:adjustRightInd w:val="0"/>
              <w:ind w:left="40" w:leftChars="16" w:hanging="2" w:hangingChars="1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 AB_2716251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70A50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1:1000 (WB)</w:t>
            </w:r>
          </w:p>
        </w:tc>
      </w:tr>
      <w:tr w14:paraId="48F9F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9A40A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Anti-β-actin </w:t>
            </w:r>
          </w:p>
          <w:p w14:paraId="32D70573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Mouse mAb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F8E351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Applygen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592C3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Cat# C1313</w:t>
            </w:r>
          </w:p>
          <w:p w14:paraId="324C11E4">
            <w:pPr>
              <w:widowControl/>
              <w:adjustRightInd w:val="0"/>
              <w:ind w:left="40" w:leftChars="16" w:hanging="2" w:hangingChars="1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 AB_3076668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72382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1:10,000</w:t>
            </w:r>
            <w:bookmarkStart w:id="11" w:name="OLE_LINK2"/>
            <w:r>
              <w:rPr>
                <w:rFonts w:eastAsia="Times New Roman"/>
                <w:color w:val="auto"/>
              </w:rPr>
              <w:t xml:space="preserve"> (WB)</w:t>
            </w:r>
            <w:bookmarkEnd w:id="11"/>
          </w:p>
        </w:tc>
      </w:tr>
      <w:tr w14:paraId="19850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E9DCD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Anti-GCGR</w:t>
            </w:r>
          </w:p>
          <w:p w14:paraId="5248959E">
            <w:pPr>
              <w:widowControl/>
              <w:adjustRightInd w:val="0"/>
              <w:rPr>
                <w:rFonts w:eastAsia="Times New Roman"/>
                <w:color w:val="auto"/>
              </w:rPr>
            </w:pPr>
            <w:bookmarkStart w:id="12" w:name="OLE_LINK12"/>
            <w:r>
              <w:rPr>
                <w:rFonts w:eastAsia="Times New Roman"/>
                <w:color w:val="auto"/>
              </w:rPr>
              <w:t>Rabbit pAb</w:t>
            </w:r>
            <w:bookmarkEnd w:id="12"/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0A790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Proteintech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91EFF">
            <w:pPr>
              <w:widowControl/>
              <w:adjustRightInd w:val="0"/>
              <w:rPr>
                <w:rFonts w:eastAsia="Times New Roman"/>
                <w:color w:val="auto"/>
              </w:rPr>
            </w:pPr>
            <w:bookmarkStart w:id="13" w:name="OLE_LINK179"/>
            <w:r>
              <w:rPr>
                <w:rFonts w:eastAsia="Times New Roman"/>
                <w:color w:val="auto"/>
              </w:rPr>
              <w:t>Cat# 26784-1-AP</w:t>
            </w:r>
          </w:p>
          <w:bookmarkEnd w:id="13"/>
          <w:p w14:paraId="7336F4C0">
            <w:pPr>
              <w:widowControl/>
              <w:adjustRightInd w:val="0"/>
              <w:ind w:left="40" w:leftChars="16" w:hanging="2" w:hangingChars="1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 AB_2880634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85AF8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1:1000 (WB)</w:t>
            </w:r>
          </w:p>
          <w:p w14:paraId="3EA6A141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1:100 (IF)</w:t>
            </w:r>
          </w:p>
        </w:tc>
      </w:tr>
      <w:tr w14:paraId="14179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71AEB5">
            <w:pPr>
              <w:widowControl/>
              <w:adjustRightInd w:val="0"/>
              <w:rPr>
                <w:rFonts w:eastAsia="Times New Roman"/>
                <w:color w:val="auto"/>
              </w:rPr>
            </w:pPr>
            <w:bookmarkStart w:id="14" w:name="_Hlk195299062"/>
            <w:r>
              <w:rPr>
                <w:rFonts w:eastAsia="Times New Roman"/>
                <w:color w:val="auto"/>
              </w:rPr>
              <w:t>Anti-Connexin</w:t>
            </w:r>
            <w:r>
              <w:rPr>
                <w:rFonts w:hint="eastAsia" w:eastAsia="Times New Roman"/>
                <w:color w:val="auto"/>
              </w:rPr>
              <w:t xml:space="preserve"> </w:t>
            </w:r>
            <w:r>
              <w:rPr>
                <w:rFonts w:eastAsia="Times New Roman"/>
                <w:color w:val="auto"/>
              </w:rPr>
              <w:t>43</w:t>
            </w:r>
          </w:p>
          <w:p w14:paraId="6748094D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Rabbit pAb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9CDFA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Proteintech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7FC517">
            <w:pPr>
              <w:widowControl/>
              <w:adjustRightInd w:val="0"/>
              <w:ind w:left="40" w:leftChars="16" w:hanging="2" w:hangingChars="1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Cat# </w:t>
            </w:r>
            <w:bookmarkStart w:id="15" w:name="OLE_LINK1"/>
            <w:r>
              <w:rPr>
                <w:rFonts w:eastAsia="Times New Roman"/>
                <w:color w:val="auto"/>
              </w:rPr>
              <w:t>26980-1-AP</w:t>
            </w:r>
            <w:bookmarkEnd w:id="15"/>
          </w:p>
          <w:p w14:paraId="04B8D1F6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 AB_2880711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 w14:paraId="415B6C3C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1:400 (IF) </w:t>
            </w:r>
          </w:p>
          <w:p w14:paraId="6B541788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1:3000 (WB)</w:t>
            </w:r>
          </w:p>
        </w:tc>
      </w:tr>
      <w:bookmarkEnd w:id="14"/>
      <w:tr w14:paraId="5832B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1D151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Anti-ZO1</w:t>
            </w:r>
          </w:p>
          <w:p w14:paraId="1D080012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Rabbit pAb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77EBD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Proteintech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60E72">
            <w:pPr>
              <w:widowControl/>
              <w:adjustRightInd w:val="0"/>
              <w:rPr>
                <w:rFonts w:eastAsia="Times New Roman"/>
                <w:color w:val="auto"/>
              </w:rPr>
            </w:pPr>
            <w:bookmarkStart w:id="16" w:name="OLE_LINK9"/>
            <w:r>
              <w:rPr>
                <w:rFonts w:eastAsia="Times New Roman"/>
                <w:color w:val="auto"/>
              </w:rPr>
              <w:t xml:space="preserve">Cat# </w:t>
            </w:r>
            <w:bookmarkEnd w:id="16"/>
            <w:bookmarkStart w:id="17" w:name="OLE_LINK8"/>
            <w:r>
              <w:rPr>
                <w:rFonts w:eastAsia="Times New Roman"/>
                <w:color w:val="auto"/>
              </w:rPr>
              <w:t>21773-1-AP</w:t>
            </w:r>
            <w:bookmarkEnd w:id="17"/>
          </w:p>
          <w:p w14:paraId="1C2519F0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 AB_10733242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0BCAA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1:5000</w:t>
            </w:r>
            <w:bookmarkStart w:id="18" w:name="OLE_LINK4"/>
            <w:r>
              <w:rPr>
                <w:rFonts w:eastAsia="Times New Roman"/>
                <w:color w:val="auto"/>
              </w:rPr>
              <w:t xml:space="preserve"> (WB)</w:t>
            </w:r>
            <w:bookmarkEnd w:id="18"/>
          </w:p>
        </w:tc>
      </w:tr>
      <w:tr w14:paraId="4C30E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0FFBA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Anti-ZO1</w:t>
            </w:r>
          </w:p>
          <w:p w14:paraId="08FF41D0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Rabbit mAb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C87BA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Abcam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3FC922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Cat# ab221547</w:t>
            </w:r>
          </w:p>
          <w:p w14:paraId="0713D9AC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</w:t>
            </w:r>
            <w:r>
              <w:rPr>
                <w:rFonts w:hint="eastAsia" w:eastAsia="Times New Roman"/>
                <w:color w:val="auto"/>
              </w:rPr>
              <w:t xml:space="preserve"> </w:t>
            </w:r>
            <w:r>
              <w:rPr>
                <w:rFonts w:eastAsia="Times New Roman"/>
                <w:color w:val="auto"/>
              </w:rPr>
              <w:t>AB_2892660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2576E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1:100 (IF)</w:t>
            </w:r>
          </w:p>
        </w:tc>
      </w:tr>
      <w:tr w14:paraId="13527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823D2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Anti-PFKFB3</w:t>
            </w:r>
          </w:p>
          <w:p w14:paraId="7262DB7E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Rabbit pAb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B776B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Proteintech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12D71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Cat# 13763-1-AP</w:t>
            </w:r>
          </w:p>
          <w:p w14:paraId="2AE945A2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RRID: </w:t>
            </w:r>
            <w:bookmarkStart w:id="19" w:name="OLE_LINK13"/>
            <w:r>
              <w:rPr>
                <w:rFonts w:eastAsia="Times New Roman"/>
                <w:color w:val="auto"/>
              </w:rPr>
              <w:t>AB_2162854</w:t>
            </w:r>
            <w:bookmarkEnd w:id="19"/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11BD0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1:3000 (WB)</w:t>
            </w:r>
          </w:p>
          <w:p w14:paraId="5B34CABC">
            <w:pPr>
              <w:widowControl/>
              <w:adjustRightInd w:val="0"/>
              <w:textAlignment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</w:t>
            </w:r>
            <w:r>
              <w:rPr>
                <w:rFonts w:hint="eastAsia" w:eastAsia="Times New Roman"/>
                <w:color w:val="auto"/>
              </w:rPr>
              <w:t>8</w:t>
            </w:r>
            <w:r>
              <w:rPr>
                <w:rFonts w:eastAsia="Times New Roman"/>
                <w:color w:val="auto"/>
              </w:rPr>
              <w:t>00 (IF)</w:t>
            </w:r>
          </w:p>
        </w:tc>
      </w:tr>
      <w:tr w14:paraId="677A7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D00D9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Anti-LDHA</w:t>
            </w:r>
          </w:p>
          <w:p w14:paraId="1F966F75">
            <w:pPr>
              <w:widowControl/>
              <w:adjustRightInd w:val="0"/>
              <w:rPr>
                <w:rFonts w:eastAsia="Times New Roman"/>
                <w:color w:val="auto"/>
              </w:rPr>
            </w:pPr>
            <w:bookmarkStart w:id="20" w:name="OLE_LINK182"/>
            <w:r>
              <w:rPr>
                <w:rFonts w:eastAsia="Times New Roman"/>
                <w:color w:val="auto"/>
              </w:rPr>
              <w:t>Rabbit</w:t>
            </w:r>
            <w:bookmarkEnd w:id="20"/>
            <w:r>
              <w:rPr>
                <w:rFonts w:eastAsia="Times New Roman"/>
                <w:color w:val="auto"/>
              </w:rPr>
              <w:t xml:space="preserve"> pAb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EA12F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Proteintech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A856E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Cat# 19987-1-AP</w:t>
            </w:r>
          </w:p>
          <w:p w14:paraId="689DA261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 AB_10646429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B3FC7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1:5000 (WB)</w:t>
            </w:r>
          </w:p>
        </w:tc>
      </w:tr>
      <w:tr w14:paraId="56AB9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229A4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Anti-GLP-1R</w:t>
            </w:r>
          </w:p>
          <w:p w14:paraId="68346B4B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Goat pAb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4F99B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OriGene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89596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Cat# TA326758</w:t>
            </w:r>
          </w:p>
          <w:p w14:paraId="78BF7301">
            <w:pPr>
              <w:widowControl/>
              <w:adjustRightInd w:val="0"/>
              <w:rPr>
                <w:rFonts w:eastAsia="Times New Roman"/>
                <w:color w:val="auto"/>
              </w:rPr>
            </w:pPr>
            <w:bookmarkStart w:id="21" w:name="OLE_LINK183"/>
            <w:r>
              <w:rPr>
                <w:rFonts w:eastAsia="Times New Roman"/>
                <w:color w:val="auto"/>
              </w:rPr>
              <w:t>RRID:</w:t>
            </w:r>
            <w:bookmarkEnd w:id="21"/>
            <w:r>
              <w:rPr>
                <w:rFonts w:eastAsia="Times New Roman"/>
                <w:color w:val="auto"/>
              </w:rPr>
              <w:t xml:space="preserve"> AB_2813904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BF38F">
            <w:pPr>
              <w:widowControl/>
              <w:adjustRightInd w:val="0"/>
              <w:textAlignment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1:1000 (WB)</w:t>
            </w:r>
          </w:p>
        </w:tc>
      </w:tr>
      <w:tr w14:paraId="06D53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917D9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Anti-</w:t>
            </w:r>
            <w:r>
              <w:rPr>
                <w:rFonts w:hint="eastAsia" w:eastAsia="Times New Roman"/>
                <w:color w:val="auto"/>
              </w:rPr>
              <w:t>SOX9</w:t>
            </w:r>
          </w:p>
          <w:p w14:paraId="2AC4A18C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hint="eastAsia" w:eastAsia="Times New Roman"/>
                <w:color w:val="auto"/>
              </w:rPr>
              <w:t>Mouse</w:t>
            </w:r>
            <w:r>
              <w:rPr>
                <w:rFonts w:eastAsia="Times New Roman"/>
                <w:color w:val="auto"/>
              </w:rPr>
              <w:t xml:space="preserve"> </w:t>
            </w:r>
            <w:r>
              <w:rPr>
                <w:rFonts w:hint="eastAsia" w:eastAsia="Times New Roman"/>
                <w:color w:val="auto"/>
              </w:rPr>
              <w:t>m</w:t>
            </w:r>
            <w:r>
              <w:rPr>
                <w:rFonts w:eastAsia="Times New Roman"/>
                <w:color w:val="auto"/>
              </w:rPr>
              <w:t>Ab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636CC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hint="eastAsia" w:eastAsia="Times New Roman"/>
                <w:color w:val="auto"/>
              </w:rPr>
              <w:t>I</w:t>
            </w:r>
            <w:r>
              <w:rPr>
                <w:rFonts w:eastAsia="Times New Roman"/>
                <w:color w:val="auto"/>
              </w:rPr>
              <w:t>mmunoway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12020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Cat# YM6546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A5AAB">
            <w:pPr>
              <w:widowControl/>
              <w:adjustRightInd w:val="0"/>
              <w:textAlignment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</w:t>
            </w:r>
            <w:r>
              <w:rPr>
                <w:rFonts w:hint="eastAsia" w:eastAsia="Times New Roman"/>
                <w:color w:val="auto"/>
              </w:rPr>
              <w:t>2</w:t>
            </w:r>
            <w:r>
              <w:rPr>
                <w:rFonts w:eastAsia="Times New Roman"/>
                <w:color w:val="auto"/>
              </w:rPr>
              <w:t>00 (IF)</w:t>
            </w:r>
          </w:p>
        </w:tc>
      </w:tr>
      <w:tr w14:paraId="7D48F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E015E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Anti-</w:t>
            </w:r>
            <w:r>
              <w:rPr>
                <w:rFonts w:hint="eastAsia" w:eastAsia="Times New Roman"/>
                <w:color w:val="auto"/>
              </w:rPr>
              <w:t>SOX9</w:t>
            </w:r>
          </w:p>
          <w:p w14:paraId="6627384E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Rabbit </w:t>
            </w:r>
            <w:r>
              <w:rPr>
                <w:rFonts w:hint="eastAsia" w:eastAsia="Times New Roman"/>
                <w:color w:val="auto"/>
              </w:rPr>
              <w:t>m</w:t>
            </w:r>
            <w:r>
              <w:rPr>
                <w:rFonts w:eastAsia="Times New Roman"/>
                <w:color w:val="auto"/>
              </w:rPr>
              <w:t>Ab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7FB48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HuaAn Biotechnology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F9EB3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Cat#</w:t>
            </w:r>
            <w:r>
              <w:rPr>
                <w:rFonts w:hint="eastAsia" w:eastAsia="Times New Roman"/>
                <w:color w:val="auto"/>
              </w:rPr>
              <w:t xml:space="preserve"> </w:t>
            </w:r>
            <w:r>
              <w:rPr>
                <w:rFonts w:eastAsia="Times New Roman"/>
                <w:color w:val="auto"/>
              </w:rPr>
              <w:t>ET1611-56</w:t>
            </w:r>
          </w:p>
          <w:p w14:paraId="4B57EC94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</w:t>
            </w:r>
            <w:r>
              <w:rPr>
                <w:rFonts w:hint="eastAsia" w:eastAsiaTheme="minorEastAsia"/>
                <w:color w:val="auto"/>
              </w:rPr>
              <w:t xml:space="preserve"> </w:t>
            </w:r>
            <w:r>
              <w:rPr>
                <w:rFonts w:eastAsia="Times New Roman"/>
                <w:color w:val="auto"/>
              </w:rPr>
              <w:t>AB_2924312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BC269">
            <w:pPr>
              <w:widowControl/>
              <w:adjustRightInd w:val="0"/>
              <w:textAlignment w:val="center"/>
              <w:rPr>
                <w:rFonts w:eastAsia="Times New Roman"/>
                <w:color w:val="auto"/>
              </w:rPr>
            </w:pPr>
            <w:bookmarkStart w:id="22" w:name="OLE_LINK185"/>
            <w:r>
              <w:rPr>
                <w:rFonts w:eastAsia="Times New Roman"/>
                <w:color w:val="auto"/>
              </w:rPr>
              <w:t>1:</w:t>
            </w:r>
            <w:r>
              <w:rPr>
                <w:rFonts w:hint="eastAsia" w:eastAsia="Times New Roman"/>
                <w:color w:val="auto"/>
              </w:rPr>
              <w:t>5</w:t>
            </w:r>
            <w:r>
              <w:rPr>
                <w:rFonts w:eastAsia="Times New Roman"/>
                <w:color w:val="auto"/>
              </w:rPr>
              <w:t>00 (IF)</w:t>
            </w:r>
          </w:p>
          <w:bookmarkEnd w:id="22"/>
          <w:p w14:paraId="4EFDE50D">
            <w:pPr>
              <w:widowControl/>
              <w:adjustRightInd w:val="0"/>
              <w:textAlignment w:val="center"/>
              <w:rPr>
                <w:rFonts w:eastAsia="Times New Roman"/>
                <w:color w:val="auto"/>
              </w:rPr>
            </w:pPr>
            <w:r>
              <w:rPr>
                <w:rFonts w:hint="eastAsia" w:eastAsia="Times New Roman"/>
                <w:color w:val="auto"/>
              </w:rPr>
              <w:t>1:10,000</w:t>
            </w:r>
            <w:r>
              <w:rPr>
                <w:rFonts w:eastAsia="Times New Roman"/>
                <w:color w:val="auto"/>
              </w:rPr>
              <w:t xml:space="preserve"> (WB)</w:t>
            </w:r>
          </w:p>
        </w:tc>
      </w:tr>
      <w:tr w14:paraId="0532E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52261">
            <w:pPr>
              <w:widowControl/>
              <w:adjustRightInd w:val="0"/>
              <w:jc w:val="left"/>
              <w:rPr>
                <w:rFonts w:eastAsia="Times New Roman"/>
                <w:color w:val="auto"/>
              </w:rPr>
            </w:pPr>
            <w:r>
              <w:rPr>
                <w:rFonts w:hint="eastAsia" w:eastAsia="Times New Roman"/>
                <w:color w:val="auto"/>
              </w:rPr>
              <w:t>HRP</w:t>
            </w:r>
            <w:r>
              <w:rPr>
                <w:rFonts w:eastAsia="Times New Roman"/>
                <w:color w:val="auto"/>
              </w:rPr>
              <w:t>-conjugated goat anti-rabbit IgG (H+L) (Secondary Antibody)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4E755">
            <w:pPr>
              <w:widowControl/>
              <w:adjustRightInd w:val="0"/>
              <w:rPr>
                <w:rFonts w:eastAsia="Times New Roman"/>
                <w:color w:val="auto"/>
              </w:rPr>
            </w:pPr>
            <w:bookmarkStart w:id="23" w:name="OLE_LINK3"/>
            <w:r>
              <w:rPr>
                <w:rFonts w:eastAsia="Times New Roman"/>
                <w:color w:val="auto"/>
              </w:rPr>
              <w:t>Zhongshan Biotechnology</w:t>
            </w:r>
            <w:bookmarkEnd w:id="23"/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BB113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Cat# ZB-5301</w:t>
            </w:r>
          </w:p>
          <w:p w14:paraId="5EB4EFDB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 AB_2923202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2891C">
            <w:pPr>
              <w:widowControl/>
              <w:adjustRightInd w:val="0"/>
              <w:textAlignment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1:10,000 (WB)</w:t>
            </w:r>
          </w:p>
        </w:tc>
      </w:tr>
      <w:tr w14:paraId="50547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A3F54">
            <w:pPr>
              <w:widowControl/>
              <w:adjustRightInd w:val="0"/>
              <w:jc w:val="left"/>
              <w:rPr>
                <w:rFonts w:eastAsia="Times New Roman"/>
                <w:color w:val="auto"/>
              </w:rPr>
            </w:pPr>
            <w:bookmarkStart w:id="24" w:name="OLE_LINK36"/>
            <w:bookmarkStart w:id="25" w:name="OLE_LINK34"/>
            <w:r>
              <w:rPr>
                <w:rFonts w:hint="eastAsia" w:eastAsia="Times New Roman"/>
                <w:color w:val="auto"/>
              </w:rPr>
              <w:t>HRP</w:t>
            </w:r>
            <w:r>
              <w:rPr>
                <w:rFonts w:eastAsia="Times New Roman"/>
                <w:color w:val="auto"/>
              </w:rPr>
              <w:t xml:space="preserve">-conjugated </w:t>
            </w:r>
            <w:bookmarkEnd w:id="24"/>
            <w:r>
              <w:rPr>
                <w:rFonts w:eastAsia="Times New Roman"/>
                <w:color w:val="auto"/>
              </w:rPr>
              <w:t>goat anti-mouse IgG (H+L) (Secondary Antibody)</w:t>
            </w:r>
            <w:bookmarkEnd w:id="25"/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C3096">
            <w:pPr>
              <w:widowControl/>
              <w:adjustRightInd w:val="0"/>
              <w:rPr>
                <w:rFonts w:eastAsia="Times New Roman"/>
                <w:color w:val="auto"/>
              </w:rPr>
            </w:pPr>
            <w:bookmarkStart w:id="26" w:name="OLE_LINK5"/>
            <w:r>
              <w:rPr>
                <w:rFonts w:eastAsia="Times New Roman"/>
                <w:color w:val="auto"/>
              </w:rPr>
              <w:t>Zhongshan Biotechnology</w:t>
            </w:r>
            <w:bookmarkEnd w:id="26"/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0D7BE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Cat# </w:t>
            </w:r>
            <w:bookmarkStart w:id="27" w:name="OLE_LINK35"/>
            <w:r>
              <w:rPr>
                <w:rFonts w:eastAsia="Times New Roman"/>
                <w:color w:val="auto"/>
              </w:rPr>
              <w:t>ZB-2305</w:t>
            </w:r>
          </w:p>
          <w:bookmarkEnd w:id="27"/>
          <w:p w14:paraId="53D14134">
            <w:pPr>
              <w:widowControl/>
              <w:adjustRightInd w:val="0"/>
              <w:ind w:left="40" w:leftChars="16" w:hanging="2" w:hangingChars="1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 AB_2747415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F560A">
            <w:pPr>
              <w:widowControl/>
              <w:adjustRightInd w:val="0"/>
              <w:rPr>
                <w:rFonts w:eastAsia="Times New Roman"/>
                <w:color w:val="auto"/>
              </w:rPr>
            </w:pPr>
            <w:bookmarkStart w:id="28" w:name="OLE_LINK6"/>
            <w:r>
              <w:rPr>
                <w:rFonts w:eastAsia="Times New Roman"/>
                <w:color w:val="auto"/>
              </w:rPr>
              <w:t>1:10,000 (WB)</w:t>
            </w:r>
            <w:bookmarkEnd w:id="28"/>
          </w:p>
        </w:tc>
      </w:tr>
      <w:tr w14:paraId="16043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55011">
            <w:pPr>
              <w:widowControl/>
              <w:adjustRightInd w:val="0"/>
              <w:jc w:val="left"/>
              <w:rPr>
                <w:rFonts w:eastAsia="Times New Roman"/>
                <w:color w:val="auto"/>
              </w:rPr>
            </w:pPr>
            <w:r>
              <w:rPr>
                <w:rFonts w:hint="eastAsia" w:eastAsia="Times New Roman"/>
                <w:color w:val="auto"/>
              </w:rPr>
              <w:t>HRP</w:t>
            </w:r>
            <w:r>
              <w:rPr>
                <w:rFonts w:eastAsia="Times New Roman"/>
                <w:color w:val="auto"/>
              </w:rPr>
              <w:t>-conjugated rabbit anti-goat IgG (H+L) (Secondary Antibody)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D8334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Zhongshan Biotechnology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F325C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Cat# ZB-2306</w:t>
            </w:r>
          </w:p>
          <w:p w14:paraId="280BF6C6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 AB_2868454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6CD70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1:10,000 (WB)</w:t>
            </w:r>
          </w:p>
        </w:tc>
      </w:tr>
      <w:tr w14:paraId="22340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99022">
            <w:pPr>
              <w:widowControl/>
              <w:adjustRightInd w:val="0"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Alexa Fluor® 594-Conjugated Donkey Anti-Rabbit IgG (H+L) </w:t>
            </w:r>
          </w:p>
          <w:p w14:paraId="7ECB3A05">
            <w:pPr>
              <w:widowControl/>
              <w:adjustRightInd w:val="0"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(</w:t>
            </w:r>
            <w:r>
              <w:rPr>
                <w:rFonts w:hint="eastAsia" w:eastAsia="Times New Roman"/>
                <w:color w:val="auto"/>
              </w:rPr>
              <w:t>S</w:t>
            </w:r>
            <w:r>
              <w:rPr>
                <w:rFonts w:eastAsia="Times New Roman"/>
                <w:color w:val="auto"/>
              </w:rPr>
              <w:t>econdary</w:t>
            </w:r>
            <w:r>
              <w:rPr>
                <w:rFonts w:hint="eastAsia" w:eastAsia="Times New Roman"/>
                <w:color w:val="auto"/>
              </w:rPr>
              <w:t xml:space="preserve"> </w:t>
            </w:r>
            <w:r>
              <w:rPr>
                <w:rFonts w:eastAsia="Times New Roman"/>
                <w:color w:val="auto"/>
              </w:rPr>
              <w:t>Antibody)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DD191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Jackson ImmunoResearch Laboratories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D9C57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Cat# 711-585-152</w:t>
            </w:r>
          </w:p>
          <w:p w14:paraId="0EC38854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 AB_2340621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1C65E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1:800 (IF)</w:t>
            </w:r>
          </w:p>
        </w:tc>
      </w:tr>
      <w:tr w14:paraId="49C5A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9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1B455B7">
            <w:pPr>
              <w:widowControl/>
              <w:adjustRightInd w:val="0"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Alexa Fluor® </w:t>
            </w:r>
            <w:r>
              <w:rPr>
                <w:rFonts w:hint="eastAsia" w:eastAsia="Times New Roman"/>
                <w:color w:val="auto"/>
              </w:rPr>
              <w:t>594</w:t>
            </w:r>
            <w:r>
              <w:rPr>
                <w:rFonts w:eastAsia="Times New Roman"/>
                <w:color w:val="auto"/>
              </w:rPr>
              <w:t>-Conjugated Goat Anti-</w:t>
            </w:r>
            <w:r>
              <w:rPr>
                <w:rFonts w:hint="eastAsia" w:eastAsia="Times New Roman"/>
                <w:color w:val="auto"/>
              </w:rPr>
              <w:t>Mouse</w:t>
            </w:r>
            <w:r>
              <w:rPr>
                <w:rFonts w:eastAsia="Times New Roman"/>
                <w:color w:val="auto"/>
              </w:rPr>
              <w:t xml:space="preserve"> IgG (H+L)</w:t>
            </w:r>
          </w:p>
          <w:p w14:paraId="3E491C75">
            <w:pPr>
              <w:widowControl/>
              <w:adjustRightInd w:val="0"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(</w:t>
            </w:r>
            <w:r>
              <w:rPr>
                <w:rFonts w:hint="eastAsia" w:eastAsia="Times New Roman"/>
                <w:color w:val="auto"/>
              </w:rPr>
              <w:t>S</w:t>
            </w:r>
            <w:r>
              <w:rPr>
                <w:rFonts w:eastAsia="Times New Roman"/>
                <w:color w:val="auto"/>
              </w:rPr>
              <w:t>econdary</w:t>
            </w:r>
            <w:r>
              <w:rPr>
                <w:rFonts w:hint="eastAsia" w:eastAsia="Times New Roman"/>
                <w:color w:val="auto"/>
              </w:rPr>
              <w:t xml:space="preserve"> </w:t>
            </w:r>
            <w:r>
              <w:rPr>
                <w:rFonts w:eastAsia="Times New Roman"/>
                <w:color w:val="auto"/>
              </w:rPr>
              <w:t>Antibody)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5D57937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Jackson ImmunoResearch Laboratories</w:t>
            </w:r>
          </w:p>
        </w:tc>
        <w:tc>
          <w:tcPr>
            <w:tcW w:w="240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997FC1C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Cat# </w:t>
            </w:r>
            <w:bookmarkStart w:id="29" w:name="OLE_LINK60"/>
            <w:r>
              <w:rPr>
                <w:rFonts w:eastAsia="Times New Roman"/>
                <w:color w:val="auto"/>
              </w:rPr>
              <w:t>115-585-003</w:t>
            </w:r>
            <w:bookmarkEnd w:id="29"/>
          </w:p>
          <w:p w14:paraId="16AFA2CE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RRID: AB_2338871</w:t>
            </w:r>
          </w:p>
        </w:tc>
        <w:tc>
          <w:tcPr>
            <w:tcW w:w="198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056A23">
            <w:pPr>
              <w:widowControl/>
              <w:adjustRightInd w:val="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1:800 (IF)</w:t>
            </w:r>
          </w:p>
        </w:tc>
      </w:tr>
    </w:tbl>
    <w:p w14:paraId="3FC3A8EF">
      <w:pPr>
        <w:widowControl/>
        <w:rPr>
          <w:rFonts w:eastAsiaTheme="minorEastAsia"/>
          <w:b/>
          <w:bCs/>
          <w:color w:val="auto"/>
        </w:rPr>
      </w:pPr>
      <w:bookmarkStart w:id="30" w:name="OLE_LINK37"/>
      <w:r>
        <w:rPr>
          <w:color w:val="auto"/>
          <w:sz w:val="21"/>
          <w:szCs w:val="21"/>
        </w:rPr>
        <w:t>GCGR</w:t>
      </w:r>
      <w:r>
        <w:rPr>
          <w:rFonts w:hint="eastAsia"/>
          <w:color w:val="auto"/>
          <w:sz w:val="21"/>
          <w:szCs w:val="21"/>
        </w:rPr>
        <w:t xml:space="preserve">, </w:t>
      </w:r>
      <w:r>
        <w:rPr>
          <w:color w:val="auto"/>
          <w:sz w:val="21"/>
          <w:szCs w:val="21"/>
        </w:rPr>
        <w:t>glucagon receptor</w:t>
      </w:r>
      <w:r>
        <w:rPr>
          <w:rFonts w:hint="eastAsia"/>
          <w:color w:val="auto"/>
          <w:sz w:val="21"/>
          <w:szCs w:val="21"/>
        </w:rPr>
        <w:t>;</w:t>
      </w:r>
      <w:r>
        <w:rPr>
          <w:color w:val="auto"/>
          <w:sz w:val="21"/>
          <w:szCs w:val="21"/>
        </w:rPr>
        <w:t xml:space="preserve"> GLP-1R</w:t>
      </w:r>
      <w:r>
        <w:rPr>
          <w:rFonts w:hint="eastAsia"/>
          <w:color w:val="auto"/>
          <w:sz w:val="21"/>
          <w:szCs w:val="21"/>
        </w:rPr>
        <w:t>,</w:t>
      </w:r>
      <w:r>
        <w:rPr>
          <w:color w:val="auto"/>
          <w:sz w:val="21"/>
          <w:szCs w:val="21"/>
        </w:rPr>
        <w:t xml:space="preserve"> glucagon-like peptide-1 receptor</w:t>
      </w:r>
      <w:r>
        <w:rPr>
          <w:rFonts w:hint="eastAsia"/>
          <w:color w:val="auto"/>
          <w:sz w:val="21"/>
          <w:szCs w:val="21"/>
        </w:rPr>
        <w:t>; HRP,</w:t>
      </w:r>
      <w:r>
        <w:rPr>
          <w:color w:val="auto"/>
        </w:rPr>
        <w:t xml:space="preserve"> </w:t>
      </w:r>
      <w:r>
        <w:rPr>
          <w:rFonts w:hint="eastAsia"/>
          <w:color w:val="auto"/>
          <w:sz w:val="21"/>
          <w:szCs w:val="21"/>
        </w:rPr>
        <w:t>h</w:t>
      </w:r>
      <w:r>
        <w:rPr>
          <w:color w:val="auto"/>
          <w:sz w:val="21"/>
          <w:szCs w:val="21"/>
        </w:rPr>
        <w:t>orseradish peroxidase</w:t>
      </w:r>
      <w:r>
        <w:rPr>
          <w:rFonts w:hint="eastAsia"/>
          <w:color w:val="auto"/>
          <w:sz w:val="21"/>
          <w:szCs w:val="21"/>
        </w:rPr>
        <w:t xml:space="preserve">; </w:t>
      </w:r>
      <w:r>
        <w:rPr>
          <w:color w:val="auto"/>
          <w:sz w:val="21"/>
          <w:szCs w:val="21"/>
        </w:rPr>
        <w:t>IF, immunofluorescence</w:t>
      </w:r>
      <w:r>
        <w:rPr>
          <w:rFonts w:hint="eastAsia"/>
          <w:color w:val="auto"/>
          <w:sz w:val="21"/>
          <w:szCs w:val="21"/>
        </w:rPr>
        <w:t xml:space="preserve">; </w:t>
      </w:r>
      <w:r>
        <w:rPr>
          <w:color w:val="auto"/>
          <w:sz w:val="21"/>
          <w:szCs w:val="21"/>
        </w:rPr>
        <w:t>LDHA</w:t>
      </w:r>
      <w:r>
        <w:rPr>
          <w:rFonts w:hint="eastAsia"/>
          <w:color w:val="auto"/>
          <w:sz w:val="21"/>
          <w:szCs w:val="21"/>
        </w:rPr>
        <w:t xml:space="preserve">, </w:t>
      </w:r>
      <w:r>
        <w:rPr>
          <w:color w:val="auto"/>
          <w:sz w:val="21"/>
          <w:szCs w:val="21"/>
        </w:rPr>
        <w:t>lactate dehydrogenase A</w:t>
      </w:r>
      <w:r>
        <w:rPr>
          <w:rFonts w:hint="eastAsia"/>
          <w:color w:val="auto"/>
          <w:sz w:val="21"/>
          <w:szCs w:val="21"/>
        </w:rPr>
        <w:t>;</w:t>
      </w:r>
      <w:r>
        <w:rPr>
          <w:color w:val="auto"/>
          <w:sz w:val="21"/>
          <w:szCs w:val="21"/>
        </w:rPr>
        <w:t xml:space="preserve"> mAb, monoclonal antibody; pAb, polyclonal antibody; PFKFB3</w:t>
      </w:r>
      <w:r>
        <w:rPr>
          <w:rFonts w:hint="eastAsia"/>
          <w:color w:val="auto"/>
          <w:sz w:val="21"/>
          <w:szCs w:val="21"/>
        </w:rPr>
        <w:t>,</w:t>
      </w:r>
      <w:r>
        <w:rPr>
          <w:color w:val="auto"/>
          <w:sz w:val="21"/>
          <w:szCs w:val="21"/>
        </w:rPr>
        <w:t xml:space="preserve"> 6-phosphofructo-2-kinase/fructose-2,6-biphosphatase 3</w:t>
      </w:r>
      <w:r>
        <w:rPr>
          <w:rFonts w:hint="eastAsia"/>
          <w:color w:val="auto"/>
          <w:sz w:val="21"/>
          <w:szCs w:val="21"/>
        </w:rPr>
        <w:t>; SOX9,</w:t>
      </w:r>
      <w:r>
        <w:rPr>
          <w:color w:val="auto"/>
          <w:sz w:val="21"/>
          <w:szCs w:val="21"/>
        </w:rPr>
        <w:t xml:space="preserve"> SRY-box transcription factor 9</w:t>
      </w:r>
      <w:r>
        <w:rPr>
          <w:rFonts w:hint="eastAsia"/>
          <w:color w:val="auto"/>
          <w:sz w:val="21"/>
          <w:szCs w:val="21"/>
        </w:rPr>
        <w:t>;</w:t>
      </w:r>
      <w:r>
        <w:rPr>
          <w:color w:val="auto"/>
          <w:sz w:val="21"/>
          <w:szCs w:val="21"/>
        </w:rPr>
        <w:t xml:space="preserve"> WB, western blot</w:t>
      </w:r>
      <w:r>
        <w:rPr>
          <w:rFonts w:hint="eastAsia"/>
          <w:color w:val="auto"/>
          <w:sz w:val="21"/>
          <w:szCs w:val="21"/>
        </w:rPr>
        <w:t>;</w:t>
      </w:r>
      <w:r>
        <w:rPr>
          <w:color w:val="auto"/>
          <w:sz w:val="21"/>
          <w:szCs w:val="21"/>
        </w:rPr>
        <w:t xml:space="preserve"> ZO1</w:t>
      </w:r>
      <w:r>
        <w:rPr>
          <w:rFonts w:hint="eastAsia"/>
          <w:color w:val="auto"/>
          <w:sz w:val="21"/>
          <w:szCs w:val="21"/>
        </w:rPr>
        <w:t>,</w:t>
      </w:r>
      <w:r>
        <w:rPr>
          <w:color w:val="auto"/>
        </w:rPr>
        <w:t xml:space="preserve"> </w:t>
      </w:r>
      <w:r>
        <w:rPr>
          <w:rFonts w:hint="eastAsia"/>
          <w:color w:val="auto"/>
          <w:sz w:val="21"/>
          <w:szCs w:val="21"/>
        </w:rPr>
        <w:t>z</w:t>
      </w:r>
      <w:r>
        <w:rPr>
          <w:color w:val="auto"/>
          <w:sz w:val="21"/>
          <w:szCs w:val="21"/>
        </w:rPr>
        <w:t>ona occludens</w:t>
      </w:r>
      <w:r>
        <w:rPr>
          <w:rFonts w:hint="eastAsia"/>
          <w:color w:val="auto"/>
          <w:sz w:val="21"/>
          <w:szCs w:val="21"/>
        </w:rPr>
        <w:t xml:space="preserve"> </w:t>
      </w:r>
      <w:r>
        <w:rPr>
          <w:color w:val="auto"/>
          <w:sz w:val="21"/>
          <w:szCs w:val="21"/>
        </w:rPr>
        <w:t>1</w:t>
      </w:r>
      <w:r>
        <w:rPr>
          <w:rFonts w:hint="eastAsia"/>
          <w:color w:val="auto"/>
          <w:sz w:val="21"/>
          <w:szCs w:val="21"/>
        </w:rPr>
        <w:t>.</w:t>
      </w:r>
      <w:bookmarkEnd w:id="30"/>
    </w:p>
    <w:p w14:paraId="5034A327">
      <w:pPr>
        <w:widowControl/>
        <w:rPr>
          <w:b/>
          <w:bCs/>
          <w:color w:val="auto"/>
        </w:rPr>
      </w:pPr>
      <w:r>
        <w:rPr>
          <w:b/>
          <w:bCs/>
          <w:color w:val="auto"/>
        </w:rPr>
        <w:br w:type="page"/>
      </w:r>
    </w:p>
    <w:p w14:paraId="0E63F034">
      <w:pPr>
        <w:widowControl/>
        <w:rPr>
          <w:b/>
          <w:bCs/>
          <w:color w:val="auto"/>
        </w:rPr>
      </w:pPr>
      <w:r>
        <w:rPr>
          <w:b/>
          <w:bCs/>
          <w:color w:val="auto"/>
        </w:rPr>
        <w:t>Table S</w:t>
      </w:r>
      <w:r>
        <w:rPr>
          <w:rFonts w:hint="eastAsia"/>
          <w:b/>
          <w:bCs/>
          <w:color w:val="auto"/>
        </w:rPr>
        <w:t>3</w:t>
      </w:r>
      <w:r>
        <w:rPr>
          <w:b/>
          <w:bCs/>
          <w:color w:val="auto"/>
        </w:rPr>
        <w:t xml:space="preserve">. </w:t>
      </w:r>
      <w:r>
        <w:rPr>
          <w:rFonts w:hint="eastAsia"/>
          <w:b/>
          <w:bCs/>
          <w:color w:val="auto"/>
        </w:rPr>
        <w:t>Cell lines</w:t>
      </w:r>
      <w:r>
        <w:rPr>
          <w:b/>
          <w:bCs/>
          <w:color w:val="auto"/>
        </w:rPr>
        <w:t xml:space="preserve"> used in this study</w:t>
      </w:r>
    </w:p>
    <w:tbl>
      <w:tblPr>
        <w:tblStyle w:val="7"/>
        <w:tblW w:w="82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2268"/>
        <w:gridCol w:w="2058"/>
      </w:tblGrid>
      <w:tr w14:paraId="60361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D8D8D8" w:themeFill="background1" w:themeFillShade="D9"/>
            <w:vAlign w:val="center"/>
          </w:tcPr>
          <w:p w14:paraId="2B02B6FC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Cell Lines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D8D8D8" w:themeFill="background1" w:themeFillShade="D9"/>
            <w:vAlign w:val="center"/>
          </w:tcPr>
          <w:p w14:paraId="2232AEF3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Source</w:t>
            </w:r>
          </w:p>
        </w:tc>
        <w:tc>
          <w:tcPr>
            <w:tcW w:w="20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D8D8D8" w:themeFill="background1" w:themeFillShade="D9"/>
            <w:vAlign w:val="center"/>
          </w:tcPr>
          <w:p w14:paraId="0D6E6C1C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Identifier (Cat#)</w:t>
            </w:r>
          </w:p>
        </w:tc>
      </w:tr>
      <w:tr w14:paraId="3042F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D3AE1">
            <w:pPr>
              <w:widowControl/>
              <w:rPr>
                <w:rFonts w:eastAsiaTheme="minorEastAsia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GC-1 cell line </w:t>
            </w:r>
          </w:p>
          <w:p w14:paraId="0EB87846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(mouse spermatogonia)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AC130">
            <w:pPr>
              <w:widowControl/>
              <w:rPr>
                <w:rFonts w:eastAsiaTheme="minorEastAsia"/>
                <w:color w:val="auto"/>
              </w:rPr>
            </w:pPr>
            <w:r>
              <w:rPr>
                <w:rFonts w:eastAsia="Times New Roman"/>
                <w:color w:val="auto"/>
              </w:rPr>
              <w:t>Procell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22B46">
            <w:pPr>
              <w:widowControl/>
              <w:rPr>
                <w:rFonts w:eastAsiaTheme="minorEastAsia"/>
                <w:color w:val="auto"/>
              </w:rPr>
            </w:pPr>
            <w:r>
              <w:rPr>
                <w:rFonts w:eastAsia="Times New Roman"/>
                <w:color w:val="auto"/>
              </w:rPr>
              <w:t>CL-0600</w:t>
            </w:r>
          </w:p>
        </w:tc>
      </w:tr>
      <w:tr w14:paraId="42E3A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C2340">
            <w:pPr>
              <w:widowControl/>
              <w:rPr>
                <w:rFonts w:eastAsiaTheme="minorEastAsia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GC-2 cell line </w:t>
            </w:r>
          </w:p>
          <w:p w14:paraId="62210519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(mouse spermatocyte)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D686D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Procell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BD6FF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CL-0593</w:t>
            </w:r>
          </w:p>
        </w:tc>
      </w:tr>
      <w:tr w14:paraId="66402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E6928">
            <w:pPr>
              <w:widowControl/>
              <w:rPr>
                <w:rFonts w:eastAsiaTheme="minorEastAsia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TM3 cell line </w:t>
            </w:r>
          </w:p>
          <w:p w14:paraId="1394E8FE">
            <w:pPr>
              <w:widowControl/>
              <w:rPr>
                <w:rFonts w:eastAsiaTheme="minorEastAsia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(mouse Leydig cells)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B1A5C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Procell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F1D33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CL-0234</w:t>
            </w:r>
          </w:p>
        </w:tc>
      </w:tr>
      <w:tr w14:paraId="28D91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7638DE4">
            <w:pPr>
              <w:widowControl/>
              <w:rPr>
                <w:rFonts w:eastAsiaTheme="minorEastAsia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TM4 cell line </w:t>
            </w:r>
          </w:p>
          <w:p w14:paraId="51473367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(mouse Sertoli cells)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38BCC83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Procell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318C1E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color w:val="auto"/>
              </w:rPr>
              <w:t>CL-0456</w:t>
            </w:r>
          </w:p>
        </w:tc>
      </w:tr>
    </w:tbl>
    <w:p w14:paraId="2C1A32C1">
      <w:pPr>
        <w:rPr>
          <w:rFonts w:eastAsiaTheme="minorEastAsia"/>
          <w:b/>
          <w:bCs/>
          <w:color w:val="auto"/>
        </w:rPr>
      </w:pPr>
    </w:p>
    <w:p w14:paraId="0419D223">
      <w:pPr>
        <w:widowControl/>
        <w:rPr>
          <w:b/>
          <w:bCs/>
          <w:color w:val="auto"/>
        </w:rPr>
      </w:pPr>
    </w:p>
    <w:p w14:paraId="6D9F28C8">
      <w:pPr>
        <w:widowControl/>
        <w:rPr>
          <w:b/>
          <w:bCs/>
          <w:color w:val="auto"/>
        </w:rPr>
      </w:pPr>
    </w:p>
    <w:p w14:paraId="0DEC76F9">
      <w:pPr>
        <w:widowControl/>
        <w:rPr>
          <w:b/>
          <w:bCs/>
          <w:color w:val="auto"/>
        </w:rPr>
      </w:pPr>
    </w:p>
    <w:p w14:paraId="439CDABD">
      <w:pPr>
        <w:widowControl/>
        <w:rPr>
          <w:b/>
          <w:bCs/>
          <w:color w:val="auto"/>
        </w:rPr>
      </w:pPr>
      <w:r>
        <w:rPr>
          <w:b/>
          <w:bCs/>
          <w:color w:val="auto"/>
        </w:rPr>
        <w:t>Table S</w:t>
      </w:r>
      <w:r>
        <w:rPr>
          <w:rFonts w:hint="eastAsia"/>
          <w:b/>
          <w:bCs/>
          <w:color w:val="auto"/>
        </w:rPr>
        <w:t>4</w:t>
      </w:r>
      <w:r>
        <w:rPr>
          <w:b/>
          <w:bCs/>
          <w:color w:val="auto"/>
        </w:rPr>
        <w:t xml:space="preserve">. Sequences of siRNAs used for </w:t>
      </w:r>
      <w:r>
        <w:rPr>
          <w:b/>
          <w:bCs/>
          <w:i/>
          <w:iCs/>
          <w:color w:val="auto"/>
        </w:rPr>
        <w:t>Pfkfb3</w:t>
      </w:r>
      <w:r>
        <w:rPr>
          <w:b/>
          <w:bCs/>
          <w:color w:val="auto"/>
        </w:rPr>
        <w:t xml:space="preserve"> knockdown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4743"/>
      </w:tblGrid>
      <w:tr w14:paraId="681F4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27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3806BE9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bookmarkStart w:id="31" w:name="_Hlk195342875"/>
            <w:r>
              <w:rPr>
                <w:rFonts w:eastAsia="Times New Roman"/>
                <w:b/>
                <w:bCs/>
                <w:color w:val="auto"/>
              </w:rPr>
              <w:t>siRNA</w:t>
            </w:r>
          </w:p>
        </w:tc>
        <w:tc>
          <w:tcPr>
            <w:tcW w:w="47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0B8AF06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Sequence (5'-3')</w:t>
            </w:r>
          </w:p>
        </w:tc>
      </w:tr>
      <w:tr w14:paraId="6E668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6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3620845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si-</w:t>
            </w:r>
            <w:r>
              <w:rPr>
                <w:rFonts w:eastAsia="Times New Roman"/>
                <w:i/>
                <w:iCs/>
                <w:color w:val="auto"/>
              </w:rPr>
              <w:t>Negative Control</w:t>
            </w:r>
          </w:p>
        </w:tc>
        <w:tc>
          <w:tcPr>
            <w:tcW w:w="474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2E3F624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UUCUCCGAACGUGUCACGUTT</w:t>
            </w:r>
          </w:p>
        </w:tc>
      </w:tr>
      <w:tr w14:paraId="400E8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6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EC775C3">
            <w:pPr>
              <w:widowControl/>
              <w:rPr>
                <w:rFonts w:eastAsia="Times New Roman"/>
                <w:b/>
                <w:bCs/>
                <w:i/>
                <w:iCs/>
                <w:color w:val="auto"/>
              </w:rPr>
            </w:pPr>
            <w:r>
              <w:rPr>
                <w:rFonts w:eastAsia="Times New Roman"/>
                <w:color w:val="auto"/>
              </w:rPr>
              <w:t>si-</w:t>
            </w:r>
            <w:r>
              <w:rPr>
                <w:rFonts w:eastAsia="Times New Roman"/>
                <w:i/>
                <w:iCs/>
                <w:color w:val="auto"/>
              </w:rPr>
              <w:t>Pfkfb3</w:t>
            </w:r>
          </w:p>
        </w:tc>
        <w:tc>
          <w:tcPr>
            <w:tcW w:w="474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4FD9A1F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GCGAGAAUGAGUACAACUUTT</w:t>
            </w:r>
          </w:p>
        </w:tc>
      </w:tr>
      <w:bookmarkEnd w:id="31"/>
    </w:tbl>
    <w:p w14:paraId="0771690A">
      <w:pPr>
        <w:rPr>
          <w:rFonts w:eastAsiaTheme="minorEastAsia"/>
          <w:b/>
          <w:bCs/>
          <w:color w:val="auto"/>
        </w:rPr>
      </w:pPr>
      <w:r>
        <w:rPr>
          <w:i/>
          <w:iCs/>
          <w:color w:val="auto"/>
          <w:sz w:val="21"/>
          <w:szCs w:val="21"/>
        </w:rPr>
        <w:t>P</w:t>
      </w:r>
      <w:r>
        <w:rPr>
          <w:rFonts w:hint="eastAsia"/>
          <w:i/>
          <w:iCs/>
          <w:color w:val="auto"/>
          <w:sz w:val="21"/>
          <w:szCs w:val="21"/>
        </w:rPr>
        <w:t>fkfb</w:t>
      </w:r>
      <w:r>
        <w:rPr>
          <w:i/>
          <w:iCs/>
          <w:color w:val="auto"/>
          <w:sz w:val="21"/>
          <w:szCs w:val="21"/>
        </w:rPr>
        <w:t>3</w:t>
      </w:r>
      <w:r>
        <w:rPr>
          <w:rFonts w:hint="eastAsia"/>
          <w:color w:val="auto"/>
          <w:sz w:val="21"/>
          <w:szCs w:val="21"/>
        </w:rPr>
        <w:t>,</w:t>
      </w:r>
      <w:r>
        <w:rPr>
          <w:color w:val="auto"/>
          <w:sz w:val="21"/>
          <w:szCs w:val="21"/>
        </w:rPr>
        <w:t xml:space="preserve"> 6-phosphofructo-2-kinase/fructose-2,6-biphosphatase 3</w:t>
      </w:r>
      <w:r>
        <w:rPr>
          <w:rFonts w:hint="eastAsia"/>
          <w:color w:val="auto"/>
          <w:sz w:val="21"/>
          <w:szCs w:val="21"/>
        </w:rPr>
        <w:t>.</w:t>
      </w:r>
    </w:p>
    <w:p w14:paraId="24D74933">
      <w:pPr>
        <w:widowControl/>
        <w:rPr>
          <w:b/>
          <w:bCs/>
          <w:color w:val="auto"/>
        </w:rPr>
      </w:pPr>
      <w:r>
        <w:rPr>
          <w:b/>
          <w:bCs/>
          <w:color w:val="auto"/>
        </w:rPr>
        <w:br w:type="page"/>
      </w:r>
    </w:p>
    <w:p w14:paraId="721FF594">
      <w:pPr>
        <w:widowControl/>
        <w:rPr>
          <w:b/>
          <w:bCs/>
          <w:color w:val="auto"/>
        </w:rPr>
      </w:pPr>
      <w:r>
        <w:rPr>
          <w:b/>
          <w:bCs/>
          <w:color w:val="auto"/>
        </w:rPr>
        <w:t>Table S</w:t>
      </w:r>
      <w:r>
        <w:rPr>
          <w:rFonts w:hint="eastAsia"/>
          <w:b/>
          <w:bCs/>
          <w:color w:val="auto"/>
        </w:rPr>
        <w:t>5</w:t>
      </w:r>
      <w:r>
        <w:rPr>
          <w:b/>
          <w:bCs/>
          <w:color w:val="auto"/>
        </w:rPr>
        <w:t xml:space="preserve">. Primers for </w:t>
      </w:r>
      <w:r>
        <w:rPr>
          <w:rFonts w:hint="eastAsia"/>
          <w:b/>
          <w:bCs/>
          <w:color w:val="auto"/>
        </w:rPr>
        <w:t>r</w:t>
      </w:r>
      <w:r>
        <w:rPr>
          <w:b/>
          <w:bCs/>
          <w:color w:val="auto"/>
        </w:rPr>
        <w:t>everse transcription</w:t>
      </w:r>
      <w:r>
        <w:rPr>
          <w:rFonts w:hint="eastAsia"/>
          <w:b/>
          <w:bCs/>
          <w:color w:val="auto"/>
        </w:rPr>
        <w:t>-</w:t>
      </w:r>
      <w:r>
        <w:rPr>
          <w:b/>
          <w:bCs/>
          <w:color w:val="auto"/>
        </w:rPr>
        <w:t>qPCR used in this study</w:t>
      </w:r>
    </w:p>
    <w:tbl>
      <w:tblPr>
        <w:tblStyle w:val="7"/>
        <w:tblW w:w="9607" w:type="dxa"/>
        <w:tblInd w:w="-4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3182"/>
        <w:gridCol w:w="1094"/>
        <w:gridCol w:w="4259"/>
      </w:tblGrid>
      <w:tr w14:paraId="2C74A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F1D169E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Gene Symbol</w:t>
            </w:r>
          </w:p>
        </w:tc>
        <w:tc>
          <w:tcPr>
            <w:tcW w:w="318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9F97BF3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Gene Name</w:t>
            </w: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314D6DE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Gene ID</w:t>
            </w:r>
          </w:p>
        </w:tc>
        <w:tc>
          <w:tcPr>
            <w:tcW w:w="42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183E854">
            <w:pPr>
              <w:widowControl/>
              <w:rPr>
                <w:rFonts w:eastAsia="Times New Roman"/>
                <w:b/>
                <w:bCs/>
                <w:color w:val="auto"/>
              </w:rPr>
            </w:pPr>
            <w:r>
              <w:rPr>
                <w:rFonts w:eastAsia="Times New Roman"/>
                <w:b/>
                <w:bCs/>
                <w:color w:val="auto"/>
              </w:rPr>
              <w:t>Primer Sequences</w:t>
            </w:r>
            <w:r>
              <w:rPr>
                <w:rFonts w:hint="eastAsia" w:eastAsia="Times New Roman"/>
                <w:b/>
                <w:bCs/>
                <w:color w:val="auto"/>
              </w:rPr>
              <w:t xml:space="preserve"> (</w:t>
            </w:r>
            <w:r>
              <w:rPr>
                <w:rFonts w:eastAsia="Times New Roman"/>
                <w:b/>
                <w:bCs/>
                <w:color w:val="auto"/>
              </w:rPr>
              <w:t>5'-3'</w:t>
            </w:r>
            <w:r>
              <w:rPr>
                <w:rFonts w:hint="eastAsia" w:eastAsia="Times New Roman"/>
                <w:b/>
                <w:bCs/>
                <w:color w:val="auto"/>
              </w:rPr>
              <w:t>)</w:t>
            </w:r>
          </w:p>
        </w:tc>
      </w:tr>
      <w:tr w14:paraId="203EF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1DD4EBF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Actb</w:t>
            </w:r>
          </w:p>
        </w:tc>
        <w:tc>
          <w:tcPr>
            <w:tcW w:w="318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222B213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actin, beta</w:t>
            </w: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816880D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11461</w:t>
            </w:r>
          </w:p>
        </w:tc>
        <w:tc>
          <w:tcPr>
            <w:tcW w:w="425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</w:tcPr>
          <w:p w14:paraId="536E2C05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TGTACCCAGGCATTGCTGAC</w:t>
            </w:r>
          </w:p>
          <w:p w14:paraId="449B98B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CTGCTGGAAGGTGGACAGTG</w:t>
            </w:r>
          </w:p>
        </w:tc>
      </w:tr>
      <w:tr w14:paraId="3F64F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90B4D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Cdh2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34031">
            <w:pPr>
              <w:widowControl/>
              <w:rPr>
                <w:rFonts w:eastAsia="Times New Roman"/>
                <w:color w:val="auto"/>
              </w:rPr>
            </w:pPr>
            <w:bookmarkStart w:id="32" w:name="_Hlk195612536"/>
            <w:r>
              <w:rPr>
                <w:rFonts w:eastAsia="Times New Roman"/>
                <w:color w:val="auto"/>
              </w:rPr>
              <w:t>cadherin 2</w:t>
            </w:r>
            <w:bookmarkEnd w:id="32"/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292FC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18548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DD98B4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CCTAGACAACTTGCCAAGCAC</w:t>
            </w:r>
          </w:p>
          <w:p w14:paraId="1F37EBFD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ATGAAGATGCCCGTTGGAGG</w:t>
            </w:r>
          </w:p>
        </w:tc>
      </w:tr>
      <w:tr w14:paraId="00F7A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270CB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Cldn11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DE732">
            <w:pPr>
              <w:widowControl/>
              <w:rPr>
                <w:rFonts w:eastAsia="Times New Roman"/>
                <w:color w:val="auto"/>
              </w:rPr>
            </w:pPr>
            <w:bookmarkStart w:id="33" w:name="OLE_LINK15"/>
            <w:r>
              <w:rPr>
                <w:rFonts w:eastAsia="Times New Roman"/>
                <w:color w:val="auto"/>
              </w:rPr>
              <w:t>claudin 11</w:t>
            </w:r>
            <w:bookmarkEnd w:id="33"/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B65F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18417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04B2A4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TTGCTCTTTCCTCGGGCATT</w:t>
            </w:r>
          </w:p>
          <w:p w14:paraId="1E46109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GGCTTCCACTGTCGTTGGTA</w:t>
            </w:r>
          </w:p>
        </w:tc>
      </w:tr>
      <w:tr w14:paraId="19739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44AD6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Gata4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7C63D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GATA binding protein 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CF6F0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18012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8A3ACB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ATGCCTGTGGCCTCTATCAC</w:t>
            </w:r>
          </w:p>
          <w:p w14:paraId="29FE3CE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GGTGGTGGTAGTCTGGCAGT</w:t>
            </w:r>
          </w:p>
        </w:tc>
      </w:tr>
      <w:tr w14:paraId="76792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FCE93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bookmarkStart w:id="34" w:name="OLE_LINK14"/>
            <w:r>
              <w:rPr>
                <w:rFonts w:eastAsia="Times New Roman"/>
                <w:i/>
                <w:iCs/>
                <w:color w:val="auto"/>
              </w:rPr>
              <w:t>Gja1</w:t>
            </w:r>
            <w:bookmarkEnd w:id="34"/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49957">
            <w:pPr>
              <w:widowControl/>
              <w:jc w:val="left"/>
              <w:rPr>
                <w:rFonts w:eastAsia="Times New Roman"/>
                <w:color w:val="auto"/>
              </w:rPr>
            </w:pPr>
            <w:bookmarkStart w:id="35" w:name="OLE_LINK11"/>
            <w:r>
              <w:rPr>
                <w:rFonts w:eastAsia="Times New Roman"/>
                <w:color w:val="auto"/>
              </w:rPr>
              <w:t>gap junction protein alpha 1</w:t>
            </w:r>
            <w:bookmarkEnd w:id="35"/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BAACC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14609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E43F2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GGTGTCCTTGGTGTCTCTCG</w:t>
            </w:r>
          </w:p>
          <w:p w14:paraId="5058B734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CTTCCCTTCACGCGATCCTT</w:t>
            </w:r>
          </w:p>
        </w:tc>
      </w:tr>
      <w:tr w14:paraId="7083D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107FC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Hk2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C161B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hexokinase 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8CF32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15277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E16C49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TGATCGCCTGCTTATTCACGG</w:t>
            </w:r>
          </w:p>
          <w:p w14:paraId="4B03EC0F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AACCGCCTAGAAATCTCCAGA</w:t>
            </w:r>
          </w:p>
        </w:tc>
      </w:tr>
      <w:tr w14:paraId="288B8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8477D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Ldha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B445F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lactate dehydrogenase A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AF909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16828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A07FF3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ACGCAGACAAGGAGCAGTGGAA</w:t>
            </w:r>
          </w:p>
          <w:p w14:paraId="2759512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ATGCTCTCAGCCAAGTCTGCCA</w:t>
            </w:r>
          </w:p>
        </w:tc>
      </w:tr>
      <w:tr w14:paraId="7F847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A02AA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Ldhb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4DD88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lactate dehydrogenase B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37B38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16832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6AD62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CCTCAGATCGTCAAGTACAGCC</w:t>
            </w:r>
          </w:p>
          <w:p w14:paraId="47A77D73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ATCCGCTTCCAATCACACGGTG</w:t>
            </w:r>
          </w:p>
        </w:tc>
      </w:tr>
      <w:tr w14:paraId="52B1A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96746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Ldhc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B94D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lactate dehydrogenase C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AB11C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16833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95C4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TCATTCCTGCCATAGTCCA</w:t>
            </w:r>
          </w:p>
          <w:p w14:paraId="19E71F8A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CAATTACACGAGTTACAGGTA</w:t>
            </w:r>
          </w:p>
        </w:tc>
      </w:tr>
      <w:tr w14:paraId="7405B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542BA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Pfkfb3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D8C4C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6‑phosphofructo‑2‑kinase/</w:t>
            </w:r>
          </w:p>
          <w:p w14:paraId="152C1854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fructose‑2,6‑bisphosphatase 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E0463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170768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EB3AC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CAACTCCCCAACCGTGATTGT</w:t>
            </w:r>
          </w:p>
          <w:p w14:paraId="603BDFC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GAGGTAGCGAGTCAGCTTCTT</w:t>
            </w:r>
          </w:p>
        </w:tc>
      </w:tr>
      <w:tr w14:paraId="73CB6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C0CE0">
            <w:pPr>
              <w:widowControl/>
              <w:rPr>
                <w:rFonts w:eastAsiaTheme="minorEastAsia"/>
                <w:i/>
                <w:iCs/>
                <w:color w:val="auto"/>
              </w:rPr>
            </w:pPr>
            <w:r>
              <w:rPr>
                <w:rFonts w:hint="eastAsia" w:eastAsiaTheme="minorEastAsia"/>
                <w:i/>
                <w:iCs/>
                <w:color w:val="auto"/>
              </w:rPr>
              <w:t>Pkm2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56B23C">
            <w:pPr>
              <w:widowControl/>
              <w:rPr>
                <w:rFonts w:eastAsia="Times New Roman"/>
                <w:color w:val="auto"/>
              </w:rPr>
            </w:pPr>
            <w:bookmarkStart w:id="36" w:name="OLE_LINK171"/>
            <w:r>
              <w:rPr>
                <w:rFonts w:eastAsia="Times New Roman"/>
                <w:color w:val="auto"/>
              </w:rPr>
              <w:t>pyruvate kinase isozyme M2</w:t>
            </w:r>
            <w:bookmarkEnd w:id="36"/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07EDC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18746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0FC0AC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CAGAGAAGGTCTTCCTGGCTCA</w:t>
            </w:r>
          </w:p>
          <w:p w14:paraId="665F5EF9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GCCACATCACTGCCTTCAGCAC</w:t>
            </w:r>
          </w:p>
        </w:tc>
      </w:tr>
      <w:tr w14:paraId="62835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E0302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Slc2a1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651A5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solute carrier family 2</w:t>
            </w:r>
            <w:r>
              <w:rPr>
                <w:rFonts w:hint="eastAsia" w:eastAsia="Times New Roman"/>
                <w:color w:val="auto"/>
              </w:rPr>
              <w:t xml:space="preserve">, </w:t>
            </w:r>
            <w:r>
              <w:rPr>
                <w:rFonts w:eastAsia="Times New Roman"/>
                <w:color w:val="auto"/>
              </w:rPr>
              <w:t>member 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712B1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20525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E4CB6C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CAGTTCGGCTATAACACTGGTG</w:t>
            </w:r>
          </w:p>
          <w:p w14:paraId="345CADC6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GCCCCCGACAGAGAAGATG</w:t>
            </w:r>
          </w:p>
        </w:tc>
      </w:tr>
      <w:tr w14:paraId="714F3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57B2B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Slc2a3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304CD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solute carrier family 2</w:t>
            </w:r>
            <w:r>
              <w:rPr>
                <w:rFonts w:hint="eastAsia" w:eastAsia="Times New Roman"/>
                <w:color w:val="auto"/>
              </w:rPr>
              <w:t xml:space="preserve">, </w:t>
            </w:r>
            <w:r>
              <w:rPr>
                <w:rFonts w:eastAsia="Times New Roman"/>
                <w:color w:val="auto"/>
              </w:rPr>
              <w:t>member 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C00B0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20526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E36670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GGGAGGAGAACCCTGCATAT</w:t>
            </w:r>
          </w:p>
          <w:p w14:paraId="7FDD8BF5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CCAATCTCAAAGAAGGCTACG</w:t>
            </w:r>
          </w:p>
        </w:tc>
      </w:tr>
      <w:tr w14:paraId="24A7E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6F761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Slc16a3</w:t>
            </w:r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D031B">
            <w:pPr>
              <w:widowControl/>
              <w:jc w:val="lef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solute carrier family 16</w:t>
            </w:r>
            <w:r>
              <w:rPr>
                <w:rFonts w:hint="eastAsia" w:eastAsia="Times New Roman"/>
                <w:color w:val="auto"/>
              </w:rPr>
              <w:t>,</w:t>
            </w:r>
            <w:r>
              <w:rPr>
                <w:rFonts w:eastAsia="Times New Roman"/>
                <w:color w:val="auto"/>
              </w:rPr>
              <w:t xml:space="preserve"> member 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CE57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80879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ED05F0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TCTTCAATGGCTTCACTGACCT</w:t>
            </w:r>
          </w:p>
          <w:p w14:paraId="0309A913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GAACTTCTGAGTGCCCACGAT</w:t>
            </w:r>
          </w:p>
        </w:tc>
      </w:tr>
      <w:tr w14:paraId="3B50D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7D118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bookmarkStart w:id="37" w:name="OLE_LINK41"/>
            <w:bookmarkStart w:id="38" w:name="_Hlk195612448"/>
            <w:r>
              <w:rPr>
                <w:rFonts w:eastAsia="Times New Roman"/>
                <w:i/>
                <w:iCs/>
                <w:color w:val="auto"/>
              </w:rPr>
              <w:t>Tjp1</w:t>
            </w:r>
            <w:bookmarkEnd w:id="37"/>
          </w:p>
        </w:tc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D67C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tight junction protein 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3F465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21872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03A720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GCCGCTAAGAGCACAGCAA</w:t>
            </w:r>
          </w:p>
          <w:p w14:paraId="332F5EB4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TCCCCACTCTGAAAATGAGGA</w:t>
            </w:r>
          </w:p>
        </w:tc>
      </w:tr>
      <w:bookmarkEnd w:id="38"/>
      <w:tr w14:paraId="21DD9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7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8710C68">
            <w:pPr>
              <w:widowControl/>
              <w:rPr>
                <w:rFonts w:eastAsia="Times New Roman"/>
                <w:i/>
                <w:iCs/>
                <w:color w:val="auto"/>
              </w:rPr>
            </w:pPr>
            <w:r>
              <w:rPr>
                <w:rFonts w:eastAsia="Times New Roman"/>
                <w:i/>
                <w:iCs/>
                <w:color w:val="auto"/>
              </w:rPr>
              <w:t>Wt1</w:t>
            </w:r>
          </w:p>
        </w:tc>
        <w:tc>
          <w:tcPr>
            <w:tcW w:w="318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3F5B658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Wilms tumor 1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4610929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22431</w:t>
            </w:r>
          </w:p>
        </w:tc>
        <w:tc>
          <w:tcPr>
            <w:tcW w:w="425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29A956C4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F: ATCCGCAACCAAGGATACAG</w:t>
            </w:r>
          </w:p>
          <w:p w14:paraId="6072741E">
            <w:pPr>
              <w:widowControl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R: GGTCCTCGTGTTTGAAGGAA</w:t>
            </w:r>
          </w:p>
        </w:tc>
      </w:tr>
    </w:tbl>
    <w:p w14:paraId="4D1201C6">
      <w:pPr>
        <w:rPr>
          <w:rFonts w:eastAsiaTheme="minorEastAsia"/>
          <w:b/>
          <w:bCs/>
          <w:color w:val="auto"/>
        </w:rPr>
      </w:pPr>
    </w:p>
    <w:p w14:paraId="46DAEEE8">
      <w:pPr>
        <w:widowControl/>
        <w:rPr>
          <w:b/>
          <w:bCs/>
          <w:color w:val="auto"/>
        </w:rPr>
      </w:pPr>
      <w:r>
        <w:rPr>
          <w:b/>
          <w:bCs/>
          <w:color w:val="auto"/>
        </w:rPr>
        <w:br w:type="page"/>
      </w:r>
    </w:p>
    <w:p w14:paraId="580C1C49">
      <w:pPr>
        <w:rPr>
          <w:rFonts w:eastAsiaTheme="minorEastAsia"/>
          <w:b/>
          <w:bCs/>
          <w:color w:val="auto"/>
        </w:rPr>
      </w:pPr>
      <w:bookmarkStart w:id="39" w:name="OLE_LINK20"/>
      <w:r>
        <w:rPr>
          <w:b/>
          <w:bCs/>
          <w:color w:val="auto"/>
        </w:rPr>
        <w:t>Supplementary</w:t>
      </w:r>
      <w:bookmarkEnd w:id="39"/>
      <w:r>
        <w:rPr>
          <w:b/>
          <w:bCs/>
          <w:color w:val="auto"/>
        </w:rPr>
        <w:t xml:space="preserve"> figures</w:t>
      </w:r>
    </w:p>
    <w:p w14:paraId="63A60CD6">
      <w:pPr>
        <w:rPr>
          <w:rFonts w:eastAsiaTheme="minorEastAsia"/>
          <w:b/>
          <w:bCs/>
          <w:color w:val="auto"/>
        </w:rPr>
      </w:pPr>
    </w:p>
    <w:p w14:paraId="7447524B">
      <w:pPr>
        <w:rPr>
          <w:b/>
          <w:bCs/>
          <w:color w:val="auto"/>
          <w:lang w:bidi="ar"/>
        </w:rPr>
      </w:pPr>
      <w:r>
        <w:rPr>
          <w:rFonts w:hint="eastAsia" w:eastAsiaTheme="minorEastAsia"/>
          <w:b/>
          <w:bCs/>
          <w:color w:val="auto"/>
        </w:rPr>
        <w:drawing>
          <wp:inline distT="0" distB="0" distL="0" distR="0">
            <wp:extent cx="5273040" cy="2733040"/>
            <wp:effectExtent l="0" t="0" r="0" b="0"/>
            <wp:docPr id="747433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43391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1" b="2215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330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0B674">
      <w:pPr>
        <w:rPr>
          <w:rFonts w:eastAsiaTheme="minorEastAsia"/>
          <w:color w:val="auto"/>
        </w:rPr>
      </w:pPr>
      <w:r>
        <w:rPr>
          <w:b/>
          <w:bCs/>
          <w:color w:val="auto"/>
          <w:lang w:bidi="ar"/>
        </w:rPr>
        <w:t>Fig</w:t>
      </w:r>
      <w:r>
        <w:rPr>
          <w:rFonts w:hint="eastAsia"/>
          <w:b/>
          <w:bCs/>
          <w:color w:val="auto"/>
          <w:lang w:bidi="ar"/>
        </w:rPr>
        <w:t>.</w:t>
      </w:r>
      <w:r>
        <w:rPr>
          <w:b/>
          <w:bCs/>
          <w:color w:val="auto"/>
          <w:lang w:bidi="ar"/>
        </w:rPr>
        <w:t xml:space="preserve"> S</w:t>
      </w:r>
      <w:r>
        <w:rPr>
          <w:rFonts w:hint="eastAsia" w:eastAsiaTheme="minorEastAsia"/>
          <w:b/>
          <w:bCs/>
          <w:color w:val="auto"/>
          <w:lang w:bidi="ar"/>
        </w:rPr>
        <w:t>1</w:t>
      </w:r>
      <w:r>
        <w:rPr>
          <w:color w:val="auto"/>
        </w:rPr>
        <w:t xml:space="preserve"> The </w:t>
      </w:r>
      <w:r>
        <w:rPr>
          <w:color w:val="auto"/>
          <w:lang w:bidi="ar"/>
        </w:rPr>
        <w:t xml:space="preserve">CRISPR/Cas9 strategy to generate global </w:t>
      </w:r>
      <w:r>
        <w:rPr>
          <w:i/>
          <w:iCs/>
          <w:color w:val="auto"/>
          <w:lang w:bidi="ar"/>
        </w:rPr>
        <w:t>Gcgr</w:t>
      </w:r>
      <w:r>
        <w:rPr>
          <w:color w:val="auto"/>
          <w:lang w:bidi="ar"/>
        </w:rPr>
        <w:t xml:space="preserve"> knockout</w:t>
      </w:r>
      <w:r>
        <w:rPr>
          <w:rFonts w:hint="eastAsia"/>
          <w:color w:val="auto"/>
          <w:lang w:bidi="ar"/>
        </w:rPr>
        <w:t xml:space="preserve"> (KO)</w:t>
      </w:r>
      <w:r>
        <w:rPr>
          <w:color w:val="auto"/>
          <w:lang w:bidi="ar"/>
        </w:rPr>
        <w:t xml:space="preserve"> mice.</w:t>
      </w:r>
      <w:r>
        <w:rPr>
          <w:rFonts w:hint="eastAsia" w:eastAsiaTheme="minorEastAsia"/>
          <w:color w:val="auto"/>
        </w:rPr>
        <w:t xml:space="preserve"> </w:t>
      </w:r>
      <w:r>
        <w:rPr>
          <w:rFonts w:eastAsiaTheme="minorEastAsia"/>
          <w:color w:val="auto"/>
        </w:rPr>
        <w:t xml:space="preserve">Two sgRNAs were designed to flank exons 4 and 14 of the mouse </w:t>
      </w:r>
      <w:r>
        <w:rPr>
          <w:rFonts w:eastAsiaTheme="minorEastAsia"/>
          <w:i/>
          <w:iCs/>
          <w:color w:val="auto"/>
        </w:rPr>
        <w:t>Gcgr</w:t>
      </w:r>
      <w:r>
        <w:rPr>
          <w:rFonts w:eastAsiaTheme="minorEastAsia"/>
          <w:color w:val="auto"/>
        </w:rPr>
        <w:t xml:space="preserve"> gene (transcript </w:t>
      </w:r>
      <w:r>
        <w:rPr>
          <w:rFonts w:eastAsiaTheme="minorEastAsia"/>
          <w:i/>
          <w:iCs/>
          <w:color w:val="auto"/>
        </w:rPr>
        <w:t>Gcgr</w:t>
      </w:r>
      <w:r>
        <w:rPr>
          <w:rFonts w:eastAsiaTheme="minorEastAsia"/>
          <w:color w:val="auto"/>
        </w:rPr>
        <w:t>-201, ENSMUST00000026119.7). Cas9 with both sgRNAs was microinjected into C57BL/6JGpt zygotes to delete the genomic segment spanning exons 4–14, creating a null allele.</w:t>
      </w:r>
      <w:r>
        <w:rPr>
          <w:rFonts w:hint="eastAsia" w:eastAsiaTheme="minorEastAsia"/>
          <w:color w:val="auto"/>
        </w:rPr>
        <w:t xml:space="preserve"> </w:t>
      </w:r>
      <w:r>
        <w:rPr>
          <w:rFonts w:eastAsiaTheme="minorEastAsia"/>
          <w:color w:val="auto"/>
        </w:rPr>
        <w:t xml:space="preserve">ATG denotes the translation initiation codon </w:t>
      </w:r>
      <w:bookmarkStart w:id="40" w:name="OLE_LINK18"/>
      <w:r>
        <w:rPr>
          <w:rFonts w:eastAsiaTheme="minorEastAsia"/>
          <w:color w:val="auto"/>
        </w:rPr>
        <w:t xml:space="preserve">(start codon) </w:t>
      </w:r>
      <w:bookmarkEnd w:id="40"/>
      <w:r>
        <w:rPr>
          <w:rFonts w:eastAsiaTheme="minorEastAsia"/>
          <w:color w:val="auto"/>
        </w:rPr>
        <w:t xml:space="preserve">of </w:t>
      </w:r>
      <w:r>
        <w:rPr>
          <w:rFonts w:eastAsiaTheme="minorEastAsia"/>
          <w:i/>
          <w:iCs/>
          <w:color w:val="auto"/>
        </w:rPr>
        <w:t>Gcgr</w:t>
      </w:r>
      <w:r>
        <w:rPr>
          <w:rFonts w:eastAsiaTheme="minorEastAsia"/>
          <w:color w:val="auto"/>
        </w:rPr>
        <w:t>, located at the 5</w:t>
      </w:r>
      <w:r>
        <w:rPr>
          <w:rFonts w:hint="eastAsia" w:eastAsiaTheme="minorEastAsia"/>
          <w:color w:val="auto"/>
        </w:rPr>
        <w:t xml:space="preserve">′ </w:t>
      </w:r>
      <w:r>
        <w:rPr>
          <w:rFonts w:eastAsiaTheme="minorEastAsia"/>
          <w:color w:val="auto"/>
        </w:rPr>
        <w:t>end of exon 2. ATG, A adenine, T thymine, G guanine</w:t>
      </w:r>
    </w:p>
    <w:p w14:paraId="139449E0">
      <w:pPr>
        <w:widowControl/>
        <w:rPr>
          <w:rFonts w:eastAsiaTheme="minorEastAsia"/>
          <w:b/>
          <w:bCs/>
          <w:color w:val="auto"/>
        </w:rPr>
      </w:pPr>
      <w:r>
        <w:rPr>
          <w:rFonts w:eastAsiaTheme="minorEastAsia"/>
          <w:b/>
          <w:bCs/>
          <w:color w:val="auto"/>
        </w:rPr>
        <w:br w:type="page"/>
      </w:r>
    </w:p>
    <w:p w14:paraId="3AE2BFA9">
      <w:pPr>
        <w:rPr>
          <w:rFonts w:eastAsiaTheme="minorEastAsia"/>
          <w:b/>
          <w:bCs/>
          <w:color w:val="auto"/>
        </w:rPr>
      </w:pPr>
      <w:r>
        <w:rPr>
          <w:rFonts w:hint="eastAsia" w:eastAsiaTheme="minorEastAsia"/>
          <w:b/>
          <w:bCs/>
          <w:color w:val="auto"/>
        </w:rPr>
        <w:drawing>
          <wp:inline distT="0" distB="0" distL="0" distR="0">
            <wp:extent cx="4611370" cy="2701925"/>
            <wp:effectExtent l="0" t="0" r="0" b="3175"/>
            <wp:docPr id="17521324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132498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11891" cy="270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0E149">
      <w:pPr>
        <w:rPr>
          <w:rFonts w:eastAsiaTheme="minorEastAsia"/>
          <w:color w:val="auto"/>
        </w:rPr>
      </w:pPr>
      <w:r>
        <w:rPr>
          <w:b/>
          <w:bCs/>
          <w:color w:val="auto"/>
          <w:lang w:bidi="ar"/>
        </w:rPr>
        <w:t>Fig</w:t>
      </w:r>
      <w:r>
        <w:rPr>
          <w:rFonts w:hint="eastAsia"/>
          <w:b/>
          <w:bCs/>
          <w:color w:val="auto"/>
          <w:lang w:bidi="ar"/>
        </w:rPr>
        <w:t>.</w:t>
      </w:r>
      <w:r>
        <w:rPr>
          <w:b/>
          <w:bCs/>
          <w:color w:val="auto"/>
          <w:lang w:bidi="ar"/>
        </w:rPr>
        <w:t xml:space="preserve"> S</w:t>
      </w:r>
      <w:r>
        <w:rPr>
          <w:rFonts w:hint="eastAsia"/>
          <w:b/>
          <w:bCs/>
          <w:color w:val="auto"/>
          <w:lang w:bidi="ar"/>
        </w:rPr>
        <w:t>2</w:t>
      </w:r>
      <w:r>
        <w:rPr>
          <w:color w:val="auto"/>
        </w:rPr>
        <w:t xml:space="preserve"> The CRISPR/Cas9 strategy to generate </w:t>
      </w:r>
      <w:r>
        <w:rPr>
          <w:i/>
          <w:iCs/>
          <w:color w:val="auto"/>
        </w:rPr>
        <w:t>Pfkfb3</w:t>
      </w:r>
      <w:r>
        <w:rPr>
          <w:color w:val="auto"/>
        </w:rPr>
        <w:t xml:space="preserve"> heterozygous knockout</w:t>
      </w:r>
      <w:r>
        <w:rPr>
          <w:rFonts w:hint="eastAsia"/>
          <w:color w:val="auto"/>
        </w:rPr>
        <w:t xml:space="preserve"> (KO)</w:t>
      </w:r>
      <w:r>
        <w:rPr>
          <w:color w:val="auto"/>
        </w:rPr>
        <w:t xml:space="preserve"> mice</w:t>
      </w:r>
      <w:r>
        <w:rPr>
          <w:color w:val="auto"/>
          <w:lang w:bidi="ar"/>
        </w:rPr>
        <w:t>.</w:t>
      </w:r>
      <w:r>
        <w:rPr>
          <w:rFonts w:hint="eastAsia" w:eastAsiaTheme="minorEastAsia"/>
          <w:color w:val="auto"/>
        </w:rPr>
        <w:t xml:space="preserve"> </w:t>
      </w:r>
      <w:r>
        <w:rPr>
          <w:rFonts w:eastAsiaTheme="minorEastAsia"/>
          <w:color w:val="auto"/>
        </w:rPr>
        <w:t xml:space="preserve">Two sgRNAs were designed to flank exons 2 and 3 of the mouse </w:t>
      </w:r>
      <w:r>
        <w:rPr>
          <w:rFonts w:eastAsiaTheme="minorEastAsia"/>
          <w:i/>
          <w:iCs/>
          <w:color w:val="auto"/>
        </w:rPr>
        <w:t>Pfkfb3</w:t>
      </w:r>
      <w:r>
        <w:rPr>
          <w:rFonts w:eastAsiaTheme="minorEastAsia"/>
          <w:color w:val="auto"/>
        </w:rPr>
        <w:t xml:space="preserve"> gene (transcript </w:t>
      </w:r>
      <w:r>
        <w:rPr>
          <w:rFonts w:eastAsiaTheme="minorEastAsia"/>
          <w:i/>
          <w:iCs/>
          <w:color w:val="auto"/>
        </w:rPr>
        <w:t>Pfkfb3</w:t>
      </w:r>
      <w:r>
        <w:rPr>
          <w:rFonts w:eastAsiaTheme="minorEastAsia"/>
          <w:color w:val="auto"/>
        </w:rPr>
        <w:t xml:space="preserve">-220, ENSMUST00000192949.5). Cas9 </w:t>
      </w:r>
      <w:r>
        <w:rPr>
          <w:rFonts w:hint="eastAsia" w:eastAsiaTheme="minorEastAsia"/>
          <w:color w:val="auto"/>
        </w:rPr>
        <w:t>with</w:t>
      </w:r>
      <w:r>
        <w:rPr>
          <w:rFonts w:eastAsiaTheme="minorEastAsia"/>
          <w:color w:val="auto"/>
        </w:rPr>
        <w:t xml:space="preserve"> sgRNAs w</w:t>
      </w:r>
      <w:r>
        <w:rPr>
          <w:rFonts w:hint="eastAsia" w:eastAsiaTheme="minorEastAsia"/>
          <w:color w:val="auto"/>
        </w:rPr>
        <w:t>as</w:t>
      </w:r>
      <w:r>
        <w:rPr>
          <w:rFonts w:eastAsiaTheme="minorEastAsia"/>
          <w:color w:val="auto"/>
        </w:rPr>
        <w:t xml:space="preserve"> used to delete the genomic region spanning exons 2–3, which contains 223 bp of coding sequence, thereby generating a loss-of-function allele.</w:t>
      </w:r>
      <w:r>
        <w:rPr>
          <w:rFonts w:hint="eastAsia" w:eastAsiaTheme="minorEastAsia"/>
          <w:color w:val="auto"/>
        </w:rPr>
        <w:t xml:space="preserve"> </w:t>
      </w:r>
      <w:r>
        <w:rPr>
          <w:rFonts w:eastAsiaTheme="minorEastAsia"/>
          <w:color w:val="auto"/>
        </w:rPr>
        <w:t>ATG denotes the translation initiation codon (start codon)</w:t>
      </w:r>
      <w:r>
        <w:rPr>
          <w:rFonts w:hint="eastAsia" w:eastAsiaTheme="minorEastAsia"/>
          <w:color w:val="auto"/>
        </w:rPr>
        <w:t xml:space="preserve"> </w:t>
      </w:r>
      <w:r>
        <w:rPr>
          <w:rFonts w:eastAsiaTheme="minorEastAsia"/>
          <w:color w:val="auto"/>
        </w:rPr>
        <w:t xml:space="preserve">of </w:t>
      </w:r>
      <w:r>
        <w:rPr>
          <w:rFonts w:eastAsiaTheme="minorEastAsia"/>
          <w:i/>
          <w:iCs/>
          <w:color w:val="auto"/>
        </w:rPr>
        <w:t>Pfkfb3</w:t>
      </w:r>
      <w:r>
        <w:rPr>
          <w:rFonts w:eastAsiaTheme="minorEastAsia"/>
          <w:color w:val="auto"/>
        </w:rPr>
        <w:t>. ATG, A adenine, T thymine, G guanine</w:t>
      </w:r>
    </w:p>
    <w:p w14:paraId="057F657F">
      <w:pPr>
        <w:rPr>
          <w:rFonts w:eastAsiaTheme="minorEastAsia"/>
          <w:b/>
          <w:bCs/>
          <w:color w:val="auto"/>
        </w:rPr>
      </w:pPr>
    </w:p>
    <w:p w14:paraId="0365608E">
      <w:pPr>
        <w:widowControl/>
        <w:rPr>
          <w:rFonts w:eastAsiaTheme="minorEastAsia"/>
          <w:b/>
          <w:bCs/>
          <w:color w:val="auto"/>
        </w:rPr>
      </w:pPr>
      <w:r>
        <w:rPr>
          <w:rFonts w:eastAsiaTheme="minorEastAsia"/>
          <w:b/>
          <w:bCs/>
          <w:color w:val="auto"/>
        </w:rPr>
        <w:br w:type="page"/>
      </w:r>
    </w:p>
    <w:p w14:paraId="233A32E8">
      <w:pPr>
        <w:rPr>
          <w:color w:val="auto"/>
        </w:rPr>
      </w:pPr>
      <w:r>
        <w:rPr>
          <w:rFonts w:eastAsiaTheme="minorEastAsia"/>
          <w:b/>
          <w:bCs/>
          <w:color w:val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555625</wp:posOffset>
            </wp:positionH>
            <wp:positionV relativeFrom="paragraph">
              <wp:posOffset>101600</wp:posOffset>
            </wp:positionV>
            <wp:extent cx="4282440" cy="3810000"/>
            <wp:effectExtent l="0" t="0" r="0" b="0"/>
            <wp:wrapTopAndBottom/>
            <wp:docPr id="36670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704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8244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1" w:name="OLE_LINK19"/>
      <w:r>
        <w:rPr>
          <w:b/>
          <w:bCs/>
          <w:color w:val="auto"/>
          <w:lang w:bidi="ar"/>
        </w:rPr>
        <w:t>F</w:t>
      </w:r>
      <w:bookmarkStart w:id="42" w:name="OLE_LINK17"/>
      <w:r>
        <w:rPr>
          <w:b/>
          <w:bCs/>
          <w:color w:val="auto"/>
          <w:lang w:bidi="ar"/>
        </w:rPr>
        <w:t>ig</w:t>
      </w:r>
      <w:r>
        <w:rPr>
          <w:rFonts w:hint="eastAsia"/>
          <w:b/>
          <w:bCs/>
          <w:color w:val="auto"/>
          <w:lang w:bidi="ar"/>
        </w:rPr>
        <w:t>.</w:t>
      </w:r>
      <w:r>
        <w:rPr>
          <w:b/>
          <w:bCs/>
          <w:color w:val="auto"/>
          <w:lang w:bidi="ar"/>
        </w:rPr>
        <w:t xml:space="preserve"> S</w:t>
      </w:r>
      <w:r>
        <w:rPr>
          <w:rFonts w:hint="eastAsia"/>
          <w:b/>
          <w:bCs/>
          <w:color w:val="auto"/>
          <w:lang w:bidi="ar"/>
        </w:rPr>
        <w:t>3</w:t>
      </w:r>
      <w:r>
        <w:rPr>
          <w:b/>
          <w:bCs/>
          <w:color w:val="auto"/>
          <w:lang w:bidi="ar"/>
        </w:rPr>
        <w:t xml:space="preserve"> </w:t>
      </w:r>
      <w:bookmarkEnd w:id="41"/>
      <w:r>
        <w:rPr>
          <w:rFonts w:eastAsia="宋体"/>
          <w:color w:val="auto"/>
          <w:lang w:bidi="ar"/>
        </w:rPr>
        <w:t xml:space="preserve">GCGR </w:t>
      </w:r>
      <w:r>
        <w:rPr>
          <w:rFonts w:hint="eastAsia" w:eastAsia="宋体"/>
          <w:color w:val="auto"/>
          <w:lang w:bidi="ar"/>
        </w:rPr>
        <w:t>blockade</w:t>
      </w:r>
      <w:r>
        <w:rPr>
          <w:rFonts w:eastAsia="宋体"/>
          <w:color w:val="auto"/>
          <w:lang w:bidi="ar"/>
        </w:rPr>
        <w:t xml:space="preserve"> does not significantly alter circulating sex hormone levels in mice.</w:t>
      </w:r>
      <w:r>
        <w:rPr>
          <w:rFonts w:hint="eastAsia"/>
          <w:color w:val="auto"/>
        </w:rPr>
        <w:t xml:space="preserve"> </w:t>
      </w:r>
      <w:bookmarkEnd w:id="42"/>
      <w:r>
        <w:rPr>
          <w:color w:val="auto"/>
        </w:rPr>
        <w:t xml:space="preserve">Streptozotocin-induced diabetic </w:t>
      </w:r>
      <w:r>
        <w:rPr>
          <w:rFonts w:hint="eastAsia"/>
          <w:color w:val="auto"/>
        </w:rPr>
        <w:t xml:space="preserve">male </w:t>
      </w:r>
      <w:r>
        <w:rPr>
          <w:color w:val="auto"/>
        </w:rPr>
        <w:t>mice</w:t>
      </w:r>
      <w:r>
        <w:rPr>
          <w:rFonts w:hint="eastAsia"/>
          <w:color w:val="auto"/>
        </w:rPr>
        <w:t xml:space="preserve"> (</w:t>
      </w:r>
      <w:r>
        <w:rPr>
          <w:b/>
          <w:bCs/>
          <w:color w:val="auto"/>
        </w:rPr>
        <w:t>A</w:t>
      </w:r>
      <w:r>
        <w:rPr>
          <w:color w:val="auto"/>
        </w:rPr>
        <w:t>–</w:t>
      </w:r>
      <w:r>
        <w:rPr>
          <w:b/>
          <w:bCs/>
          <w:color w:val="auto"/>
        </w:rPr>
        <w:t>C</w:t>
      </w:r>
      <w:r>
        <w:rPr>
          <w:rFonts w:hint="eastAsia"/>
          <w:color w:val="auto"/>
        </w:rPr>
        <w:t>)</w:t>
      </w:r>
      <w:r>
        <w:rPr>
          <w:color w:val="auto"/>
        </w:rPr>
        <w:t xml:space="preserve"> </w:t>
      </w:r>
      <w:r>
        <w:rPr>
          <w:rFonts w:hint="eastAsia"/>
          <w:color w:val="auto"/>
        </w:rPr>
        <w:t xml:space="preserve">and </w:t>
      </w:r>
      <w:r>
        <w:rPr>
          <w:color w:val="auto"/>
        </w:rPr>
        <w:t>18</w:t>
      </w:r>
      <w:r>
        <w:rPr>
          <w:rFonts w:hint="eastAsia"/>
          <w:color w:val="auto"/>
        </w:rPr>
        <w:t>-</w:t>
      </w:r>
      <w:r>
        <w:rPr>
          <w:color w:val="auto"/>
        </w:rPr>
        <w:t>month</w:t>
      </w:r>
      <w:r>
        <w:rPr>
          <w:rFonts w:hint="eastAsia"/>
          <w:color w:val="auto"/>
        </w:rPr>
        <w:t>-old a</w:t>
      </w:r>
      <w:r>
        <w:rPr>
          <w:color w:val="auto"/>
        </w:rPr>
        <w:t>ged male C57BL/6J mice</w:t>
      </w:r>
      <w:r>
        <w:rPr>
          <w:rFonts w:hint="eastAsia"/>
          <w:color w:val="auto"/>
        </w:rPr>
        <w:t xml:space="preserve"> (</w:t>
      </w:r>
      <w:r>
        <w:rPr>
          <w:b/>
          <w:bCs/>
          <w:color w:val="auto"/>
        </w:rPr>
        <w:t>D</w:t>
      </w:r>
      <w:r>
        <w:rPr>
          <w:color w:val="auto"/>
        </w:rPr>
        <w:t>–</w:t>
      </w:r>
      <w:r>
        <w:rPr>
          <w:b/>
          <w:bCs/>
          <w:color w:val="auto"/>
        </w:rPr>
        <w:t>F</w:t>
      </w:r>
      <w:r>
        <w:rPr>
          <w:rFonts w:hint="eastAsia"/>
          <w:color w:val="auto"/>
        </w:rPr>
        <w:t xml:space="preserve">) </w:t>
      </w:r>
      <w:r>
        <w:rPr>
          <w:color w:val="auto"/>
        </w:rPr>
        <w:t xml:space="preserve">were </w:t>
      </w:r>
      <w:r>
        <w:rPr>
          <w:rFonts w:hint="eastAsia"/>
          <w:color w:val="auto"/>
        </w:rPr>
        <w:t xml:space="preserve">weekly </w:t>
      </w:r>
      <w:r>
        <w:rPr>
          <w:color w:val="auto"/>
        </w:rPr>
        <w:t xml:space="preserve">treated with </w:t>
      </w:r>
      <w:r>
        <w:rPr>
          <w:rFonts w:hint="eastAsia"/>
          <w:color w:val="auto"/>
        </w:rPr>
        <w:t>a GCGR</w:t>
      </w:r>
      <w:r>
        <w:rPr>
          <w:color w:val="auto"/>
        </w:rPr>
        <w:t xml:space="preserve"> monoclonal antibody (mAb, 5 mg/kg) or IgG control (Ctrl, 5 mg/kg)</w:t>
      </w:r>
      <w:r>
        <w:rPr>
          <w:rFonts w:hint="eastAsia"/>
          <w:color w:val="auto"/>
        </w:rPr>
        <w:t xml:space="preserve"> for 4 weeks</w:t>
      </w:r>
      <w:r>
        <w:rPr>
          <w:color w:val="auto"/>
        </w:rPr>
        <w:t>. Plasma levels of testosterone (</w:t>
      </w:r>
      <w:r>
        <w:rPr>
          <w:b/>
          <w:bCs/>
          <w:color w:val="auto"/>
        </w:rPr>
        <w:t>A</w:t>
      </w:r>
      <w:r>
        <w:rPr>
          <w:color w:val="auto"/>
        </w:rPr>
        <w:t xml:space="preserve">, </w:t>
      </w:r>
      <w:r>
        <w:rPr>
          <w:b/>
          <w:bCs/>
          <w:color w:val="auto"/>
        </w:rPr>
        <w:t>D</w:t>
      </w:r>
      <w:r>
        <w:rPr>
          <w:color w:val="auto"/>
        </w:rPr>
        <w:t>), follicle-stimulating hormone (</w:t>
      </w:r>
      <w:r>
        <w:rPr>
          <w:b/>
          <w:bCs/>
          <w:color w:val="auto"/>
        </w:rPr>
        <w:t>B</w:t>
      </w:r>
      <w:r>
        <w:rPr>
          <w:color w:val="auto"/>
        </w:rPr>
        <w:t xml:space="preserve">, </w:t>
      </w:r>
      <w:r>
        <w:rPr>
          <w:b/>
          <w:bCs/>
          <w:color w:val="auto"/>
        </w:rPr>
        <w:t>E</w:t>
      </w:r>
      <w:r>
        <w:rPr>
          <w:color w:val="auto"/>
        </w:rPr>
        <w:t>), and luteinizing hormone (</w:t>
      </w:r>
      <w:r>
        <w:rPr>
          <w:b/>
          <w:bCs/>
          <w:color w:val="auto"/>
        </w:rPr>
        <w:t>C</w:t>
      </w:r>
      <w:r>
        <w:rPr>
          <w:color w:val="auto"/>
        </w:rPr>
        <w:t xml:space="preserve">, </w:t>
      </w:r>
      <w:r>
        <w:rPr>
          <w:b/>
          <w:bCs/>
          <w:color w:val="auto"/>
        </w:rPr>
        <w:t>F</w:t>
      </w:r>
      <w:r>
        <w:rPr>
          <w:color w:val="auto"/>
        </w:rPr>
        <w:t>) were measured by ELISA.</w:t>
      </w:r>
      <w:r>
        <w:rPr>
          <w:rFonts w:hint="eastAsia"/>
          <w:color w:val="auto"/>
        </w:rPr>
        <w:t xml:space="preserve"> </w:t>
      </w:r>
      <w:r>
        <w:rPr>
          <w:color w:val="auto"/>
        </w:rPr>
        <w:t>n = 10</w:t>
      </w:r>
      <w:r>
        <w:rPr>
          <w:rFonts w:hint="eastAsia"/>
          <w:color w:val="auto"/>
        </w:rPr>
        <w:t xml:space="preserve"> in diabetic mice; </w:t>
      </w:r>
      <w:r>
        <w:rPr>
          <w:color w:val="auto"/>
        </w:rPr>
        <w:t>n = 7</w:t>
      </w:r>
      <w:r>
        <w:rPr>
          <w:rFonts w:hint="eastAsia"/>
          <w:color w:val="auto"/>
        </w:rPr>
        <w:t xml:space="preserve"> in aged mice</w:t>
      </w:r>
      <w:r>
        <w:rPr>
          <w:color w:val="auto"/>
        </w:rPr>
        <w:t>.</w:t>
      </w:r>
      <w:r>
        <w:rPr>
          <w:rFonts w:hint="eastAsia"/>
          <w:color w:val="auto"/>
        </w:rPr>
        <w:t xml:space="preserve"> </w:t>
      </w:r>
      <w:r>
        <w:rPr>
          <w:color w:val="auto"/>
        </w:rPr>
        <w:t>Data are presented as the mean ± SD. Statistical significance was assessed using a two-tailed unpaired Student’s t-test</w:t>
      </w:r>
      <w:r>
        <w:rPr>
          <w:rFonts w:hint="eastAsia"/>
          <w:color w:val="auto"/>
        </w:rPr>
        <w:t xml:space="preserve"> or </w:t>
      </w:r>
      <w:r>
        <w:rPr>
          <w:color w:val="auto"/>
        </w:rPr>
        <w:t>Welch’s t-test</w:t>
      </w:r>
    </w:p>
    <w:p w14:paraId="0ABFA9A1">
      <w:pPr>
        <w:widowControl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br w:type="page"/>
      </w:r>
    </w:p>
    <w:p w14:paraId="75DB3391">
      <w:pPr>
        <w:jc w:val="center"/>
        <w:rPr>
          <w:color w:val="auto"/>
          <w:sz w:val="22"/>
          <w:szCs w:val="22"/>
        </w:rPr>
      </w:pPr>
      <w:r>
        <w:rPr>
          <w:rFonts w:eastAsiaTheme="minorEastAsia"/>
          <w:b/>
          <w:bCs/>
          <w:color w:val="auto"/>
        </w:rPr>
        <w:drawing>
          <wp:inline distT="0" distB="0" distL="0" distR="0">
            <wp:extent cx="5763895" cy="7375525"/>
            <wp:effectExtent l="0" t="0" r="8255" b="0"/>
            <wp:docPr id="1507285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2856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3932" cy="7375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30B9A">
      <w:pPr>
        <w:rPr>
          <w:b/>
          <w:bCs/>
          <w:color w:val="auto"/>
          <w:lang w:bidi="ar"/>
        </w:rPr>
      </w:pPr>
    </w:p>
    <w:p w14:paraId="021A81A5">
      <w:pPr>
        <w:rPr>
          <w:color w:val="auto"/>
        </w:rPr>
      </w:pPr>
      <w:r>
        <w:rPr>
          <w:rFonts w:hint="eastAsia"/>
          <w:b/>
          <w:bCs/>
          <w:color w:val="auto"/>
          <w:lang w:bidi="ar"/>
        </w:rPr>
        <w:t>F</w:t>
      </w:r>
      <w:r>
        <w:rPr>
          <w:b/>
          <w:bCs/>
          <w:color w:val="auto"/>
          <w:lang w:bidi="ar"/>
        </w:rPr>
        <w:t>ig</w:t>
      </w:r>
      <w:r>
        <w:rPr>
          <w:rFonts w:hint="eastAsia"/>
          <w:b/>
          <w:bCs/>
          <w:color w:val="auto"/>
          <w:lang w:bidi="ar"/>
        </w:rPr>
        <w:t>.</w:t>
      </w:r>
      <w:r>
        <w:rPr>
          <w:b/>
          <w:bCs/>
          <w:color w:val="auto"/>
          <w:lang w:bidi="ar"/>
        </w:rPr>
        <w:t xml:space="preserve"> S</w:t>
      </w:r>
      <w:r>
        <w:rPr>
          <w:rFonts w:hint="eastAsia"/>
          <w:b/>
          <w:bCs/>
          <w:color w:val="auto"/>
          <w:lang w:bidi="ar"/>
        </w:rPr>
        <w:t>4</w:t>
      </w:r>
      <w:r>
        <w:rPr>
          <w:b/>
          <w:bCs/>
          <w:color w:val="auto"/>
          <w:lang w:bidi="ar"/>
        </w:rPr>
        <w:t xml:space="preserve"> </w:t>
      </w:r>
      <w:r>
        <w:rPr>
          <w:rFonts w:eastAsia="宋体"/>
          <w:color w:val="auto"/>
          <w:lang w:bidi="ar"/>
        </w:rPr>
        <w:t>GCGR blockade improves sperm quality in healthy young C57BL/6J mice.</w:t>
      </w:r>
      <w:r>
        <w:rPr>
          <w:rFonts w:hint="eastAsia" w:eastAsia="宋体"/>
          <w:color w:val="auto"/>
          <w:lang w:bidi="ar"/>
        </w:rPr>
        <w:t xml:space="preserve"> </w:t>
      </w:r>
      <w:r>
        <w:rPr>
          <w:color w:val="auto"/>
        </w:rPr>
        <w:t xml:space="preserve">Healthy 8-week male C57BL/6J mice were treated with </w:t>
      </w:r>
      <w:r>
        <w:rPr>
          <w:rFonts w:hint="eastAsia"/>
          <w:color w:val="auto"/>
        </w:rPr>
        <w:t>a GCGR</w:t>
      </w:r>
      <w:r>
        <w:rPr>
          <w:color w:val="auto"/>
        </w:rPr>
        <w:t xml:space="preserve"> monoclonal antibody (mAb, 5 mg/kg) or IgG control (Ctrl, 5 mg/kg) for 4 weeks. </w:t>
      </w:r>
      <w:r>
        <w:rPr>
          <w:b/>
          <w:bCs/>
          <w:color w:val="auto"/>
        </w:rPr>
        <w:t>A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Body weight. </w:t>
      </w:r>
      <w:r>
        <w:rPr>
          <w:b/>
          <w:bCs/>
          <w:color w:val="auto"/>
        </w:rPr>
        <w:t>B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Random blood glucose. </w:t>
      </w:r>
      <w:r>
        <w:rPr>
          <w:b/>
          <w:bCs/>
          <w:color w:val="auto"/>
        </w:rPr>
        <w:t>C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Fasting blood glucose. </w:t>
      </w:r>
      <w:r>
        <w:rPr>
          <w:b/>
          <w:bCs/>
          <w:color w:val="auto"/>
        </w:rPr>
        <w:t>D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</w:t>
      </w:r>
      <w:r>
        <w:rPr>
          <w:rFonts w:hint="eastAsia"/>
          <w:color w:val="auto"/>
        </w:rPr>
        <w:t>Testicular</w:t>
      </w:r>
      <w:r>
        <w:rPr>
          <w:color w:val="auto"/>
        </w:rPr>
        <w:t xml:space="preserve"> weight. </w:t>
      </w:r>
      <w:r>
        <w:rPr>
          <w:b/>
          <w:bCs/>
          <w:color w:val="auto"/>
        </w:rPr>
        <w:t>E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Gonadosomatic index, testes weight (g) / body weight (g) × 100%. </w:t>
      </w:r>
      <w:r>
        <w:rPr>
          <w:b/>
          <w:bCs/>
          <w:color w:val="auto"/>
        </w:rPr>
        <w:t>F</w:t>
      </w:r>
      <w:r>
        <w:rPr>
          <w:color w:val="auto"/>
        </w:rPr>
        <w:t>–</w:t>
      </w:r>
      <w:r>
        <w:rPr>
          <w:b/>
          <w:bCs/>
          <w:color w:val="auto"/>
        </w:rPr>
        <w:t>O</w:t>
      </w:r>
      <w:r>
        <w:rPr>
          <w:color w:val="auto"/>
        </w:rPr>
        <w:t xml:space="preserve">: Sperm concentration and motility were evaluated using a computer-assisted sperm analysis system. </w:t>
      </w:r>
      <w:r>
        <w:rPr>
          <w:b/>
          <w:bCs/>
          <w:color w:val="auto"/>
        </w:rPr>
        <w:t>F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Sperm concentration, </w:t>
      </w:r>
      <w:r>
        <w:rPr>
          <w:b/>
          <w:bCs/>
          <w:color w:val="auto"/>
        </w:rPr>
        <w:t>G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Rapid progressive motility (grade A sperm). </w:t>
      </w:r>
      <w:r>
        <w:rPr>
          <w:b/>
          <w:bCs/>
          <w:color w:val="auto"/>
        </w:rPr>
        <w:t>H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Progressive motility (grade A+B sperm). </w:t>
      </w:r>
      <w:r>
        <w:rPr>
          <w:b/>
          <w:bCs/>
          <w:color w:val="auto"/>
        </w:rPr>
        <w:t>I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Total motility (grade A+B+C sperm). </w:t>
      </w:r>
      <w:r>
        <w:rPr>
          <w:b/>
          <w:bCs/>
          <w:color w:val="auto"/>
        </w:rPr>
        <w:t>J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Velocity along the straight-line path (VSL). </w:t>
      </w:r>
      <w:r>
        <w:rPr>
          <w:b/>
          <w:bCs/>
          <w:color w:val="auto"/>
        </w:rPr>
        <w:t>K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Velocity along the curvilinear path</w:t>
      </w:r>
      <w:r>
        <w:rPr>
          <w:rFonts w:hint="eastAsia"/>
          <w:color w:val="auto"/>
        </w:rPr>
        <w:t xml:space="preserve"> (VCL)</w:t>
      </w:r>
      <w:r>
        <w:rPr>
          <w:color w:val="auto"/>
        </w:rPr>
        <w:t xml:space="preserve">. </w:t>
      </w:r>
      <w:r>
        <w:rPr>
          <w:b/>
          <w:bCs/>
          <w:color w:val="auto"/>
        </w:rPr>
        <w:t>L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Velocity along the average path (VAP). </w:t>
      </w:r>
      <w:r>
        <w:rPr>
          <w:b/>
          <w:bCs/>
          <w:color w:val="auto"/>
        </w:rPr>
        <w:t>M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Straightness (STR)</w:t>
      </w:r>
      <w:r>
        <w:rPr>
          <w:rFonts w:hint="eastAsia"/>
          <w:color w:val="auto"/>
        </w:rPr>
        <w:t xml:space="preserve">. </w:t>
      </w:r>
      <w:r>
        <w:rPr>
          <w:b/>
          <w:bCs/>
          <w:color w:val="auto"/>
        </w:rPr>
        <w:t>N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Amplitude of lateral head displacement (ALH)</w:t>
      </w:r>
      <w:r>
        <w:rPr>
          <w:rFonts w:hint="eastAsia"/>
          <w:color w:val="auto"/>
        </w:rPr>
        <w:t>.</w:t>
      </w:r>
      <w:r>
        <w:rPr>
          <w:color w:val="auto"/>
        </w:rPr>
        <w:t xml:space="preserve"> </w:t>
      </w:r>
      <w:r>
        <w:rPr>
          <w:b/>
          <w:bCs/>
          <w:color w:val="auto"/>
        </w:rPr>
        <w:t>O</w:t>
      </w:r>
      <w:r>
        <w:rPr>
          <w:rFonts w:hint="eastAsia"/>
          <w:color w:val="auto"/>
        </w:rPr>
        <w:t>:</w:t>
      </w:r>
      <w:r>
        <w:rPr>
          <w:color w:val="auto"/>
        </w:rPr>
        <w:t xml:space="preserve"> Beat-cross frequency (BCF). n = 10</w:t>
      </w:r>
      <w:r>
        <w:rPr>
          <w:rFonts w:hint="eastAsia"/>
          <w:color w:val="auto"/>
        </w:rPr>
        <w:t xml:space="preserve"> per group. </w:t>
      </w:r>
      <w:bookmarkStart w:id="43" w:name="OLE_LINK81"/>
      <w:r>
        <w:rPr>
          <w:color w:val="auto"/>
        </w:rPr>
        <w:t>Data are presented as the mean ± SD. Statistical significance was assessed using one-way ANOVA followed by Tukey’s post hoc test</w:t>
      </w:r>
      <w:bookmarkEnd w:id="43"/>
      <w:r>
        <w:rPr>
          <w:rFonts w:hint="eastAsia"/>
          <w:color w:val="auto"/>
        </w:rPr>
        <w:t xml:space="preserve"> and </w:t>
      </w:r>
      <w:r>
        <w:rPr>
          <w:color w:val="auto"/>
        </w:rPr>
        <w:t>a two-tailed unpaired Student’s t-test. *</w:t>
      </w:r>
      <w:r>
        <w:rPr>
          <w:i/>
          <w:iCs/>
          <w:color w:val="auto"/>
        </w:rPr>
        <w:t>P</w:t>
      </w:r>
      <w:r>
        <w:rPr>
          <w:color w:val="auto"/>
        </w:rPr>
        <w:t xml:space="preserve"> &lt; 0.05, **</w:t>
      </w:r>
      <w:r>
        <w:rPr>
          <w:i/>
          <w:iCs/>
          <w:color w:val="auto"/>
        </w:rPr>
        <w:t>P</w:t>
      </w:r>
      <w:r>
        <w:rPr>
          <w:color w:val="auto"/>
        </w:rPr>
        <w:t xml:space="preserve"> &lt; 0.01</w:t>
      </w:r>
      <w:r>
        <w:rPr>
          <w:rFonts w:hint="eastAsia"/>
          <w:color w:val="auto"/>
        </w:rPr>
        <w:t xml:space="preserve">, </w:t>
      </w:r>
      <w:r>
        <w:rPr>
          <w:color w:val="auto"/>
        </w:rPr>
        <w:t>***</w:t>
      </w:r>
      <w:r>
        <w:rPr>
          <w:i/>
          <w:iCs/>
          <w:color w:val="auto"/>
        </w:rPr>
        <w:t>P</w:t>
      </w:r>
      <w:r>
        <w:rPr>
          <w:color w:val="auto"/>
        </w:rPr>
        <w:t xml:space="preserve"> &lt; 0.001 vs. the control group</w:t>
      </w:r>
    </w:p>
    <w:p w14:paraId="1F501550">
      <w:pPr>
        <w:widowControl/>
        <w:jc w:val="left"/>
        <w:rPr>
          <w:rFonts w:hint="eastAsia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br w:type="page"/>
      </w:r>
    </w:p>
    <w:p w14:paraId="59B63CC5">
      <w:pPr>
        <w:rPr>
          <w:rFonts w:hint="eastAsia" w:eastAsiaTheme="minorEastAsia"/>
          <w:color w:val="auto"/>
        </w:rPr>
      </w:pPr>
      <w:r>
        <w:rPr>
          <w:rFonts w:eastAsiaTheme="minorEastAsia"/>
          <w:color w:val="auto"/>
        </w:rPr>
        <w:drawing>
          <wp:inline distT="0" distB="0" distL="0" distR="0">
            <wp:extent cx="5222875" cy="5287645"/>
            <wp:effectExtent l="0" t="0" r="0" b="8255"/>
            <wp:docPr id="18780928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09281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4353" cy="530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4" w:name="OLE_LINK80"/>
    </w:p>
    <w:p w14:paraId="19CF23B5">
      <w:pPr>
        <w:rPr>
          <w:rFonts w:eastAsia="宋体"/>
          <w:color w:val="auto"/>
          <w:lang w:bidi="ar"/>
        </w:rPr>
      </w:pPr>
      <w:r>
        <w:rPr>
          <w:b/>
          <w:bCs/>
          <w:color w:val="auto"/>
          <w:lang w:bidi="ar"/>
        </w:rPr>
        <w:t>Fig</w:t>
      </w:r>
      <w:r>
        <w:rPr>
          <w:rFonts w:hint="eastAsia"/>
          <w:b/>
          <w:bCs/>
          <w:color w:val="auto"/>
          <w:lang w:bidi="ar"/>
        </w:rPr>
        <w:t>.</w:t>
      </w:r>
      <w:r>
        <w:rPr>
          <w:b/>
          <w:bCs/>
          <w:color w:val="auto"/>
          <w:lang w:bidi="ar"/>
        </w:rPr>
        <w:t xml:space="preserve"> S</w:t>
      </w:r>
      <w:r>
        <w:rPr>
          <w:rFonts w:hint="eastAsia"/>
          <w:b/>
          <w:bCs/>
          <w:color w:val="auto"/>
          <w:lang w:bidi="ar"/>
        </w:rPr>
        <w:t>5</w:t>
      </w:r>
      <w:r>
        <w:rPr>
          <w:b/>
          <w:bCs/>
          <w:color w:val="auto"/>
          <w:lang w:bidi="ar"/>
        </w:rPr>
        <w:t xml:space="preserve"> </w:t>
      </w:r>
      <w:bookmarkStart w:id="45" w:name="_Hlk210665356"/>
      <w:r>
        <w:rPr>
          <w:rFonts w:eastAsia="宋体"/>
          <w:color w:val="auto"/>
          <w:lang w:bidi="ar"/>
        </w:rPr>
        <w:t xml:space="preserve">Global </w:t>
      </w:r>
      <w:r>
        <w:rPr>
          <w:rFonts w:eastAsia="宋体"/>
          <w:i/>
          <w:iCs/>
          <w:color w:val="auto"/>
          <w:lang w:bidi="ar"/>
        </w:rPr>
        <w:t>Gcgr</w:t>
      </w:r>
      <w:r>
        <w:rPr>
          <w:rFonts w:eastAsia="宋体"/>
          <w:color w:val="auto"/>
          <w:lang w:bidi="ar"/>
        </w:rPr>
        <w:t xml:space="preserve"> knockout</w:t>
      </w:r>
      <w:r>
        <w:rPr>
          <w:rFonts w:hint="eastAsia" w:eastAsia="宋体"/>
          <w:color w:val="auto"/>
          <w:lang w:bidi="ar"/>
        </w:rPr>
        <w:t xml:space="preserve"> (KO)</w:t>
      </w:r>
      <w:r>
        <w:rPr>
          <w:rFonts w:eastAsia="宋体"/>
          <w:color w:val="auto"/>
          <w:lang w:bidi="ar"/>
        </w:rPr>
        <w:t xml:space="preserve"> reduces sperm concentration and motility without gross testicular changes</w:t>
      </w:r>
      <w:bookmarkEnd w:id="45"/>
      <w:r>
        <w:rPr>
          <w:rFonts w:eastAsia="宋体"/>
          <w:color w:val="auto"/>
          <w:lang w:bidi="ar"/>
        </w:rPr>
        <w:t>.</w:t>
      </w:r>
      <w:r>
        <w:rPr>
          <w:rFonts w:hint="eastAsia" w:eastAsia="宋体"/>
          <w:color w:val="auto"/>
          <w:lang w:bidi="ar"/>
        </w:rPr>
        <w:t xml:space="preserve"> </w:t>
      </w:r>
      <w:bookmarkEnd w:id="44"/>
      <w:r>
        <w:rPr>
          <w:rFonts w:eastAsia="宋体"/>
          <w:color w:val="auto"/>
          <w:lang w:bidi="ar"/>
        </w:rPr>
        <w:t xml:space="preserve">Twelve-week-old </w:t>
      </w:r>
      <w:r>
        <w:rPr>
          <w:rFonts w:hint="eastAsia" w:eastAsia="宋体"/>
          <w:color w:val="auto"/>
          <w:lang w:bidi="ar"/>
        </w:rPr>
        <w:t xml:space="preserve">GCGR global </w:t>
      </w:r>
      <w:r>
        <w:rPr>
          <w:rFonts w:eastAsia="宋体"/>
          <w:color w:val="auto"/>
          <w:lang w:bidi="ar"/>
        </w:rPr>
        <w:t>knockout (</w:t>
      </w:r>
      <w:r>
        <w:rPr>
          <w:rFonts w:eastAsia="宋体"/>
          <w:i/>
          <w:iCs/>
          <w:color w:val="auto"/>
          <w:lang w:bidi="ar"/>
        </w:rPr>
        <w:t>Gcgr</w:t>
      </w:r>
      <w:r>
        <w:rPr>
          <w:rFonts w:eastAsia="宋体"/>
          <w:i/>
          <w:iCs/>
          <w:color w:val="auto"/>
          <w:vertAlign w:val="superscript"/>
          <w:lang w:bidi="ar"/>
        </w:rPr>
        <w:t>-/-</w:t>
      </w:r>
      <w:r>
        <w:rPr>
          <w:rFonts w:eastAsia="宋体"/>
          <w:color w:val="auto"/>
          <w:lang w:bidi="ar"/>
        </w:rPr>
        <w:t>) mice and wild-type (WT) littermates were included. n = 8 per group.</w:t>
      </w:r>
      <w:r>
        <w:rPr>
          <w:rFonts w:hint="eastAsia" w:eastAsia="宋体"/>
          <w:color w:val="auto"/>
        </w:rPr>
        <w:t xml:space="preserve"> </w:t>
      </w:r>
      <w:r>
        <w:rPr>
          <w:rFonts w:eastAsia="宋体"/>
          <w:b/>
          <w:bCs/>
          <w:color w:val="auto"/>
        </w:rPr>
        <w:t>A</w:t>
      </w:r>
      <w:r>
        <w:rPr>
          <w:rFonts w:eastAsia="宋体"/>
          <w:color w:val="auto"/>
        </w:rPr>
        <w:t xml:space="preserve">: Random blood glucose. </w:t>
      </w:r>
      <w:r>
        <w:rPr>
          <w:rFonts w:eastAsia="宋体"/>
          <w:b/>
          <w:bCs/>
          <w:color w:val="auto"/>
        </w:rPr>
        <w:t>B</w:t>
      </w:r>
      <w:r>
        <w:rPr>
          <w:rFonts w:eastAsia="宋体"/>
          <w:color w:val="auto"/>
        </w:rPr>
        <w:t xml:space="preserve">: Fasting blood glucose. </w:t>
      </w:r>
      <w:r>
        <w:rPr>
          <w:rFonts w:eastAsia="宋体"/>
          <w:b/>
          <w:bCs/>
          <w:color w:val="auto"/>
        </w:rPr>
        <w:t>C</w:t>
      </w:r>
      <w:r>
        <w:rPr>
          <w:rFonts w:eastAsia="宋体"/>
          <w:color w:val="auto"/>
        </w:rPr>
        <w:t xml:space="preserve">: Body weight. </w:t>
      </w:r>
      <w:r>
        <w:rPr>
          <w:rFonts w:eastAsia="宋体"/>
          <w:b/>
          <w:bCs/>
          <w:color w:val="auto"/>
        </w:rPr>
        <w:t>D</w:t>
      </w:r>
      <w:r>
        <w:rPr>
          <w:rFonts w:eastAsia="宋体"/>
          <w:color w:val="auto"/>
        </w:rPr>
        <w:t xml:space="preserve">: Testicular weight. </w:t>
      </w:r>
      <w:r>
        <w:rPr>
          <w:rFonts w:eastAsia="宋体"/>
          <w:b/>
          <w:bCs/>
          <w:color w:val="auto"/>
        </w:rPr>
        <w:t>E</w:t>
      </w:r>
      <w:r>
        <w:rPr>
          <w:rFonts w:eastAsia="宋体"/>
          <w:color w:val="auto"/>
        </w:rPr>
        <w:t xml:space="preserve">: Gonadosomatic index, </w:t>
      </w:r>
      <w:r>
        <w:rPr>
          <w:rFonts w:eastAsiaTheme="minorEastAsia"/>
          <w:color w:val="auto"/>
        </w:rPr>
        <w:t>testes weight (g) / body weight (g) × 100%</w:t>
      </w:r>
      <w:r>
        <w:rPr>
          <w:rFonts w:eastAsia="宋体"/>
          <w:color w:val="auto"/>
        </w:rPr>
        <w:t xml:space="preserve">. </w:t>
      </w:r>
      <w:r>
        <w:rPr>
          <w:rFonts w:eastAsia="宋体"/>
          <w:b/>
          <w:bCs/>
          <w:color w:val="auto"/>
        </w:rPr>
        <w:t>F</w:t>
      </w:r>
      <w:r>
        <w:rPr>
          <w:rFonts w:eastAsiaTheme="minorEastAsia"/>
          <w:color w:val="auto"/>
        </w:rPr>
        <w:t>–</w:t>
      </w:r>
      <w:r>
        <w:rPr>
          <w:rFonts w:eastAsia="宋体"/>
          <w:b/>
          <w:bCs/>
          <w:color w:val="auto"/>
        </w:rPr>
        <w:t>O</w:t>
      </w:r>
      <w:r>
        <w:rPr>
          <w:rFonts w:eastAsia="宋体"/>
          <w:color w:val="auto"/>
        </w:rPr>
        <w:t xml:space="preserve">: Sperm concentration and motility were evaluated using a computer-assisted sperm analysis system. </w:t>
      </w:r>
      <w:r>
        <w:rPr>
          <w:rFonts w:eastAsia="宋体"/>
          <w:b/>
          <w:bCs/>
          <w:color w:val="auto"/>
        </w:rPr>
        <w:t>F</w:t>
      </w:r>
      <w:r>
        <w:rPr>
          <w:rFonts w:eastAsia="宋体"/>
          <w:color w:val="auto"/>
        </w:rPr>
        <w:t xml:space="preserve">: Sperm concentration. </w:t>
      </w:r>
      <w:r>
        <w:rPr>
          <w:rFonts w:eastAsia="宋体"/>
          <w:b/>
          <w:bCs/>
          <w:color w:val="auto"/>
        </w:rPr>
        <w:t>G</w:t>
      </w:r>
      <w:r>
        <w:rPr>
          <w:rFonts w:eastAsia="宋体"/>
          <w:color w:val="auto"/>
        </w:rPr>
        <w:t xml:space="preserve">: Rapid progressive motility (grade A sperm). </w:t>
      </w:r>
      <w:r>
        <w:rPr>
          <w:rFonts w:eastAsia="宋体"/>
          <w:b/>
          <w:bCs/>
          <w:color w:val="auto"/>
        </w:rPr>
        <w:t>H</w:t>
      </w:r>
      <w:r>
        <w:rPr>
          <w:rFonts w:eastAsia="宋体"/>
          <w:color w:val="auto"/>
        </w:rPr>
        <w:t xml:space="preserve">: Progressive motility (grade A + B sperm). </w:t>
      </w:r>
      <w:r>
        <w:rPr>
          <w:rFonts w:eastAsia="宋体"/>
          <w:b/>
          <w:bCs/>
          <w:color w:val="auto"/>
        </w:rPr>
        <w:t>I</w:t>
      </w:r>
      <w:r>
        <w:rPr>
          <w:rFonts w:eastAsia="宋体"/>
          <w:color w:val="auto"/>
        </w:rPr>
        <w:t xml:space="preserve">: Total motility (grade A+B+C sperm). </w:t>
      </w:r>
      <w:r>
        <w:rPr>
          <w:rFonts w:eastAsia="宋体"/>
          <w:b/>
          <w:bCs/>
          <w:color w:val="auto"/>
        </w:rPr>
        <w:t>J</w:t>
      </w:r>
      <w:r>
        <w:rPr>
          <w:rFonts w:eastAsia="宋体"/>
          <w:color w:val="auto"/>
        </w:rPr>
        <w:t xml:space="preserve">: Velocity along the straight‑line path (VSL). </w:t>
      </w:r>
      <w:r>
        <w:rPr>
          <w:rFonts w:eastAsia="宋体"/>
          <w:b/>
          <w:bCs/>
          <w:color w:val="auto"/>
        </w:rPr>
        <w:t>K</w:t>
      </w:r>
      <w:r>
        <w:rPr>
          <w:rFonts w:eastAsia="宋体"/>
          <w:color w:val="auto"/>
        </w:rPr>
        <w:t xml:space="preserve">: Velocity along the curvilinear path (VCL). </w:t>
      </w:r>
      <w:r>
        <w:rPr>
          <w:rFonts w:eastAsia="宋体"/>
          <w:b/>
          <w:bCs/>
          <w:color w:val="auto"/>
        </w:rPr>
        <w:t>L</w:t>
      </w:r>
      <w:r>
        <w:rPr>
          <w:rFonts w:eastAsia="宋体"/>
          <w:color w:val="auto"/>
        </w:rPr>
        <w:t xml:space="preserve">: Velocity along the average path (VAP). </w:t>
      </w:r>
      <w:r>
        <w:rPr>
          <w:rFonts w:eastAsia="宋体"/>
          <w:b/>
          <w:bCs/>
          <w:color w:val="auto"/>
        </w:rPr>
        <w:t>M</w:t>
      </w:r>
      <w:r>
        <w:rPr>
          <w:rFonts w:eastAsia="宋体"/>
          <w:color w:val="auto"/>
        </w:rPr>
        <w:t xml:space="preserve">: Straightness (STR). </w:t>
      </w:r>
      <w:r>
        <w:rPr>
          <w:rFonts w:eastAsia="宋体"/>
          <w:b/>
          <w:bCs/>
          <w:color w:val="auto"/>
        </w:rPr>
        <w:t>N</w:t>
      </w:r>
      <w:r>
        <w:rPr>
          <w:rFonts w:eastAsia="宋体"/>
          <w:color w:val="auto"/>
        </w:rPr>
        <w:t xml:space="preserve">: Amplitude of lateral head displacement (ALH). </w:t>
      </w:r>
      <w:r>
        <w:rPr>
          <w:rFonts w:eastAsia="宋体"/>
          <w:b/>
          <w:bCs/>
          <w:color w:val="auto"/>
        </w:rPr>
        <w:t>O</w:t>
      </w:r>
      <w:r>
        <w:rPr>
          <w:rFonts w:eastAsia="宋体"/>
          <w:color w:val="auto"/>
        </w:rPr>
        <w:t xml:space="preserve">: Beat-cross frequency (BCF). </w:t>
      </w:r>
      <w:bookmarkStart w:id="46" w:name="OLE_LINK95"/>
      <w:r>
        <w:rPr>
          <w:rFonts w:eastAsia="宋体"/>
          <w:b/>
          <w:bCs/>
          <w:color w:val="auto"/>
        </w:rPr>
        <w:t>P</w:t>
      </w:r>
      <w:r>
        <w:rPr>
          <w:rFonts w:eastAsia="宋体"/>
          <w:color w:val="auto"/>
        </w:rPr>
        <w:t>:</w:t>
      </w:r>
      <w:r>
        <w:rPr>
          <w:color w:val="auto"/>
        </w:rPr>
        <w:t xml:space="preserve"> </w:t>
      </w:r>
      <w:r>
        <w:rPr>
          <w:rFonts w:eastAsia="宋体"/>
          <w:color w:val="auto"/>
        </w:rPr>
        <w:t xml:space="preserve">HE staining of the testicular tissue. </w:t>
      </w:r>
      <w:bookmarkEnd w:id="46"/>
      <w:r>
        <w:rPr>
          <w:rFonts w:eastAsia="宋体"/>
          <w:color w:val="auto"/>
        </w:rPr>
        <w:t xml:space="preserve">The region within the dashed box is shown at </w:t>
      </w:r>
      <w:r>
        <w:rPr>
          <w:rFonts w:hint="eastAsia" w:eastAsia="宋体"/>
          <w:color w:val="auto"/>
        </w:rPr>
        <w:t xml:space="preserve">the </w:t>
      </w:r>
      <w:r>
        <w:rPr>
          <w:rFonts w:eastAsia="宋体"/>
          <w:color w:val="auto"/>
        </w:rPr>
        <w:t>higher magnification to the right. Scale bar = 100 μm.</w:t>
      </w:r>
      <w:r>
        <w:rPr>
          <w:rFonts w:hint="eastAsia"/>
          <w:color w:val="auto"/>
          <w:lang w:bidi="ar"/>
        </w:rPr>
        <w:t xml:space="preserve"> </w:t>
      </w:r>
      <w:r>
        <w:rPr>
          <w:color w:val="auto"/>
          <w:lang w:bidi="ar"/>
        </w:rPr>
        <w:t xml:space="preserve">Data </w:t>
      </w:r>
      <w:r>
        <w:rPr>
          <w:rFonts w:eastAsiaTheme="minorEastAsia"/>
          <w:color w:val="auto"/>
          <w:lang w:bidi="ar"/>
        </w:rPr>
        <w:t>are</w:t>
      </w:r>
      <w:r>
        <w:rPr>
          <w:color w:val="auto"/>
          <w:lang w:bidi="ar"/>
        </w:rPr>
        <w:t xml:space="preserve"> expressed as the mean ± SD. Statistical analyses w</w:t>
      </w:r>
      <w:r>
        <w:rPr>
          <w:rFonts w:eastAsia="宋体"/>
          <w:color w:val="auto"/>
          <w:lang w:bidi="ar"/>
        </w:rPr>
        <w:t>ere</w:t>
      </w:r>
      <w:r>
        <w:rPr>
          <w:color w:val="auto"/>
          <w:lang w:bidi="ar"/>
        </w:rPr>
        <w:t xml:space="preserve"> performed by two-tailed unpaired Student’s t-test</w:t>
      </w:r>
      <w:r>
        <w:rPr>
          <w:rFonts w:eastAsia="宋体"/>
          <w:color w:val="auto"/>
          <w:lang w:bidi="ar"/>
        </w:rPr>
        <w:t>. *</w:t>
      </w:r>
      <w:r>
        <w:rPr>
          <w:rFonts w:eastAsia="宋体"/>
          <w:i/>
          <w:iCs/>
          <w:color w:val="auto"/>
          <w:lang w:bidi="ar"/>
        </w:rPr>
        <w:t>P</w:t>
      </w:r>
      <w:r>
        <w:rPr>
          <w:rFonts w:eastAsia="宋体"/>
          <w:color w:val="auto"/>
          <w:lang w:bidi="ar"/>
        </w:rPr>
        <w:t xml:space="preserve"> &lt; 0.05, **</w:t>
      </w:r>
      <w:r>
        <w:rPr>
          <w:rFonts w:eastAsia="宋体"/>
          <w:i/>
          <w:iCs/>
          <w:color w:val="auto"/>
          <w:lang w:bidi="ar"/>
        </w:rPr>
        <w:t>P</w:t>
      </w:r>
      <w:r>
        <w:rPr>
          <w:rFonts w:eastAsia="宋体"/>
          <w:color w:val="auto"/>
          <w:lang w:bidi="ar"/>
        </w:rPr>
        <w:t xml:space="preserve"> &lt; 0.01 vs. the WT group</w:t>
      </w:r>
    </w:p>
    <w:p w14:paraId="3FA27409">
      <w:pPr>
        <w:rPr>
          <w:b/>
          <w:bCs/>
          <w:color w:val="auto"/>
          <w:lang w:bidi="ar"/>
        </w:rPr>
      </w:pPr>
      <w:r>
        <w:rPr>
          <w:rFonts w:eastAsia="宋体"/>
          <w:color w:val="auto"/>
          <w:lang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223520</wp:posOffset>
            </wp:positionV>
            <wp:extent cx="2159635" cy="2116455"/>
            <wp:effectExtent l="0" t="0" r="0" b="0"/>
            <wp:wrapTopAndBottom/>
            <wp:docPr id="193827837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7837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116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46C956">
      <w:pPr>
        <w:rPr>
          <w:rFonts w:eastAsiaTheme="minorEastAsia"/>
          <w:color w:val="auto"/>
        </w:rPr>
      </w:pPr>
      <w:r>
        <w:rPr>
          <w:b/>
          <w:bCs/>
          <w:color w:val="auto"/>
          <w:lang w:bidi="ar"/>
        </w:rPr>
        <w:t>Fig</w:t>
      </w:r>
      <w:r>
        <w:rPr>
          <w:rFonts w:hint="eastAsia"/>
          <w:b/>
          <w:bCs/>
          <w:color w:val="auto"/>
          <w:lang w:bidi="ar"/>
        </w:rPr>
        <w:t>.</w:t>
      </w:r>
      <w:r>
        <w:rPr>
          <w:b/>
          <w:bCs/>
          <w:color w:val="auto"/>
          <w:lang w:bidi="ar"/>
        </w:rPr>
        <w:t xml:space="preserve"> S</w:t>
      </w:r>
      <w:r>
        <w:rPr>
          <w:rFonts w:hint="eastAsia"/>
          <w:b/>
          <w:bCs/>
          <w:color w:val="auto"/>
          <w:lang w:bidi="ar"/>
        </w:rPr>
        <w:t>6</w:t>
      </w:r>
      <w:r>
        <w:rPr>
          <w:b/>
          <w:bCs/>
          <w:color w:val="auto"/>
          <w:lang w:bidi="ar"/>
        </w:rPr>
        <w:t xml:space="preserve"> </w:t>
      </w:r>
      <w:r>
        <w:rPr>
          <w:rFonts w:eastAsia="宋体"/>
          <w:i/>
          <w:iCs/>
          <w:color w:val="auto"/>
          <w:lang w:bidi="ar"/>
        </w:rPr>
        <w:t>Gcgr</w:t>
      </w:r>
      <w:r>
        <w:rPr>
          <w:rFonts w:eastAsia="宋体"/>
          <w:color w:val="auto"/>
          <w:lang w:bidi="ar"/>
        </w:rPr>
        <w:t xml:space="preserve"> knockout in male does not affect the live birth number.</w:t>
      </w:r>
      <w:r>
        <w:rPr>
          <w:rFonts w:hint="eastAsia" w:eastAsia="宋体"/>
          <w:color w:val="auto"/>
          <w:lang w:bidi="ar"/>
        </w:rPr>
        <w:t xml:space="preserve"> The live birth number of </w:t>
      </w:r>
      <w:r>
        <w:rPr>
          <w:rFonts w:eastAsia="宋体"/>
          <w:color w:val="auto"/>
          <w:lang w:bidi="ar"/>
        </w:rPr>
        <w:t>2-6</w:t>
      </w:r>
      <w:r>
        <w:rPr>
          <w:rFonts w:hint="eastAsia" w:eastAsia="宋体"/>
          <w:color w:val="auto"/>
          <w:lang w:bidi="ar"/>
        </w:rPr>
        <w:t xml:space="preserve">-month-old wild-type (WT) mice, global </w:t>
      </w:r>
      <w:r>
        <w:rPr>
          <w:rFonts w:eastAsia="宋体"/>
          <w:i/>
          <w:iCs/>
          <w:color w:val="auto"/>
          <w:lang w:bidi="ar"/>
        </w:rPr>
        <w:t>Gcgr</w:t>
      </w:r>
      <w:r>
        <w:rPr>
          <w:rFonts w:hint="eastAsia" w:eastAsia="宋体"/>
          <w:color w:val="auto"/>
          <w:lang w:bidi="ar"/>
        </w:rPr>
        <w:t xml:space="preserve"> knockout (</w:t>
      </w:r>
      <w:r>
        <w:rPr>
          <w:rFonts w:eastAsia="宋体"/>
          <w:i/>
          <w:iCs/>
          <w:color w:val="auto"/>
          <w:lang w:bidi="ar"/>
        </w:rPr>
        <w:t>Gcgr</w:t>
      </w:r>
      <w:r>
        <w:rPr>
          <w:rFonts w:eastAsia="宋体"/>
          <w:color w:val="auto"/>
          <w:vertAlign w:val="superscript"/>
          <w:lang w:bidi="ar"/>
        </w:rPr>
        <w:t>−/−</w:t>
      </w:r>
      <w:r>
        <w:rPr>
          <w:rFonts w:hint="eastAsia" w:eastAsia="宋体"/>
          <w:color w:val="auto"/>
          <w:lang w:bidi="ar"/>
        </w:rPr>
        <w:t xml:space="preserve">) and heterozygous </w:t>
      </w:r>
      <w:r>
        <w:rPr>
          <w:rFonts w:hint="eastAsia" w:eastAsia="宋体"/>
          <w:i/>
          <w:iCs/>
          <w:color w:val="auto"/>
          <w:lang w:bidi="ar"/>
        </w:rPr>
        <w:t>Gcgr</w:t>
      </w:r>
      <w:r>
        <w:rPr>
          <w:rFonts w:hint="eastAsia" w:eastAsia="宋体"/>
          <w:color w:val="auto"/>
          <w:lang w:bidi="ar"/>
        </w:rPr>
        <w:t xml:space="preserve"> knockout (</w:t>
      </w:r>
      <w:r>
        <w:rPr>
          <w:rFonts w:eastAsia="宋体"/>
          <w:i/>
          <w:iCs/>
          <w:color w:val="auto"/>
          <w:lang w:bidi="ar"/>
        </w:rPr>
        <w:t>Gcgr</w:t>
      </w:r>
      <w:r>
        <w:rPr>
          <w:rFonts w:eastAsia="宋体"/>
          <w:color w:val="auto"/>
          <w:vertAlign w:val="superscript"/>
          <w:lang w:bidi="ar"/>
        </w:rPr>
        <w:t>+/−</w:t>
      </w:r>
      <w:r>
        <w:rPr>
          <w:rFonts w:hint="eastAsia" w:eastAsia="宋体"/>
          <w:color w:val="auto"/>
          <w:lang w:bidi="ar"/>
        </w:rPr>
        <w:t>) mice were compared. The breeding strategies are as follows:</w:t>
      </w:r>
      <w:r>
        <w:rPr>
          <w:rFonts w:eastAsia="宋体"/>
          <w:color w:val="auto"/>
          <w:lang w:bidi="ar"/>
        </w:rPr>
        <w:t xml:space="preserve"> </w:t>
      </w:r>
      <w:bookmarkStart w:id="47" w:name="OLE_LINK83"/>
      <w:r>
        <w:rPr>
          <w:rFonts w:hint="eastAsia" w:eastAsia="宋体"/>
          <w:color w:val="auto"/>
          <w:lang w:bidi="ar"/>
        </w:rPr>
        <w:t>WT</w:t>
      </w:r>
      <w:bookmarkEnd w:id="47"/>
      <w:r>
        <w:rPr>
          <w:rFonts w:hint="eastAsia" w:eastAsia="宋体"/>
          <w:color w:val="auto"/>
          <w:lang w:bidi="ar"/>
        </w:rPr>
        <w:t xml:space="preserve"> </w:t>
      </w:r>
      <w:r>
        <w:rPr>
          <w:rFonts w:eastAsia="宋体"/>
          <w:color w:val="auto"/>
          <w:lang w:bidi="ar"/>
        </w:rPr>
        <w:t>male</w:t>
      </w:r>
      <w:r>
        <w:rPr>
          <w:rFonts w:hint="eastAsia" w:eastAsia="宋体"/>
          <w:color w:val="auto"/>
          <w:lang w:bidi="ar"/>
        </w:rPr>
        <w:t xml:space="preserve"> (</w:t>
      </w:r>
      <w:r>
        <w:rPr>
          <w:rFonts w:eastAsiaTheme="minorEastAsia"/>
          <w:color w:val="auto"/>
        </w:rPr>
        <w:t>♂</w:t>
      </w:r>
      <w:r>
        <w:rPr>
          <w:rFonts w:hint="eastAsia" w:eastAsia="宋体"/>
          <w:color w:val="auto"/>
          <w:lang w:bidi="ar"/>
        </w:rPr>
        <w:t xml:space="preserve">) </w:t>
      </w:r>
      <w:r>
        <w:rPr>
          <w:rFonts w:eastAsia="宋体"/>
          <w:color w:val="auto"/>
          <w:lang w:bidi="ar"/>
        </w:rPr>
        <w:t xml:space="preserve">× </w:t>
      </w:r>
      <w:r>
        <w:rPr>
          <w:rFonts w:hint="eastAsia" w:eastAsia="宋体"/>
          <w:color w:val="auto"/>
          <w:lang w:bidi="ar"/>
        </w:rPr>
        <w:t>WT</w:t>
      </w:r>
      <w:r>
        <w:rPr>
          <w:rFonts w:eastAsia="宋体"/>
          <w:color w:val="auto"/>
          <w:lang w:bidi="ar"/>
        </w:rPr>
        <w:t xml:space="preserve"> female</w:t>
      </w:r>
      <w:r>
        <w:rPr>
          <w:rFonts w:hint="eastAsia" w:eastAsia="宋体"/>
          <w:color w:val="auto"/>
          <w:lang w:bidi="ar"/>
        </w:rPr>
        <w:t xml:space="preserve"> (</w:t>
      </w:r>
      <w:r>
        <w:rPr>
          <w:rFonts w:eastAsiaTheme="minorEastAsia"/>
          <w:color w:val="auto"/>
        </w:rPr>
        <w:t>♀</w:t>
      </w:r>
      <w:r>
        <w:rPr>
          <w:rFonts w:hint="eastAsia" w:eastAsia="宋体"/>
          <w:color w:val="auto"/>
          <w:lang w:bidi="ar"/>
        </w:rPr>
        <w:t>),</w:t>
      </w:r>
      <w:r>
        <w:rPr>
          <w:rFonts w:eastAsia="宋体"/>
          <w:i/>
          <w:iCs/>
          <w:color w:val="auto"/>
          <w:lang w:bidi="ar"/>
        </w:rPr>
        <w:t xml:space="preserve"> Gcgr</w:t>
      </w:r>
      <w:r>
        <w:rPr>
          <w:rFonts w:eastAsia="宋体"/>
          <w:color w:val="auto"/>
          <w:vertAlign w:val="superscript"/>
          <w:lang w:bidi="ar"/>
        </w:rPr>
        <w:t xml:space="preserve">+/− </w:t>
      </w:r>
      <w:r>
        <w:rPr>
          <w:rFonts w:eastAsia="宋体"/>
          <w:color w:val="auto"/>
          <w:lang w:bidi="ar"/>
        </w:rPr>
        <w:t xml:space="preserve">male × </w:t>
      </w:r>
      <w:r>
        <w:rPr>
          <w:rFonts w:hint="eastAsia" w:eastAsia="宋体"/>
          <w:color w:val="auto"/>
          <w:lang w:bidi="ar"/>
        </w:rPr>
        <w:t>WT</w:t>
      </w:r>
      <w:r>
        <w:rPr>
          <w:rFonts w:eastAsia="宋体"/>
          <w:color w:val="auto"/>
          <w:lang w:bidi="ar"/>
        </w:rPr>
        <w:t xml:space="preserve"> female, </w:t>
      </w:r>
      <w:r>
        <w:rPr>
          <w:rFonts w:eastAsia="宋体"/>
          <w:i/>
          <w:iCs/>
          <w:color w:val="auto"/>
          <w:lang w:bidi="ar"/>
        </w:rPr>
        <w:t>Gcgr</w:t>
      </w:r>
      <w:r>
        <w:rPr>
          <w:rFonts w:eastAsia="宋体"/>
          <w:color w:val="auto"/>
          <w:vertAlign w:val="superscript"/>
          <w:lang w:bidi="ar"/>
        </w:rPr>
        <w:t>+/−</w:t>
      </w:r>
      <w:r>
        <w:rPr>
          <w:rFonts w:eastAsia="宋体"/>
          <w:color w:val="auto"/>
          <w:lang w:bidi="ar"/>
        </w:rPr>
        <w:t xml:space="preserve"> male × </w:t>
      </w:r>
      <w:r>
        <w:rPr>
          <w:rFonts w:eastAsia="宋体"/>
          <w:i/>
          <w:iCs/>
          <w:color w:val="auto"/>
          <w:lang w:bidi="ar"/>
        </w:rPr>
        <w:t>Gcgr</w:t>
      </w:r>
      <w:r>
        <w:rPr>
          <w:rFonts w:eastAsia="宋体"/>
          <w:color w:val="auto"/>
          <w:vertAlign w:val="superscript"/>
          <w:lang w:bidi="ar"/>
        </w:rPr>
        <w:t>+/−</w:t>
      </w:r>
      <w:r>
        <w:rPr>
          <w:rFonts w:eastAsia="宋体"/>
          <w:color w:val="auto"/>
          <w:lang w:bidi="ar"/>
        </w:rPr>
        <w:t xml:space="preserve"> female, </w:t>
      </w:r>
      <w:r>
        <w:rPr>
          <w:rFonts w:eastAsia="宋体"/>
          <w:i/>
          <w:iCs/>
          <w:color w:val="auto"/>
          <w:lang w:bidi="ar"/>
        </w:rPr>
        <w:t>Gcgr</w:t>
      </w:r>
      <w:r>
        <w:rPr>
          <w:rFonts w:eastAsia="宋体"/>
          <w:color w:val="auto"/>
          <w:vertAlign w:val="superscript"/>
          <w:lang w:bidi="ar"/>
        </w:rPr>
        <w:t>−/−</w:t>
      </w:r>
      <w:r>
        <w:rPr>
          <w:rFonts w:eastAsia="宋体"/>
          <w:color w:val="auto"/>
          <w:lang w:bidi="ar"/>
        </w:rPr>
        <w:t xml:space="preserve"> male × </w:t>
      </w:r>
      <w:r>
        <w:rPr>
          <w:rFonts w:eastAsia="宋体"/>
          <w:i/>
          <w:iCs/>
          <w:color w:val="auto"/>
          <w:lang w:bidi="ar"/>
        </w:rPr>
        <w:t>Gcgr</w:t>
      </w:r>
      <w:r>
        <w:rPr>
          <w:rFonts w:eastAsia="宋体"/>
          <w:color w:val="auto"/>
          <w:vertAlign w:val="superscript"/>
          <w:lang w:bidi="ar"/>
        </w:rPr>
        <w:t>+/−</w:t>
      </w:r>
      <w:r>
        <w:rPr>
          <w:rFonts w:eastAsia="宋体"/>
          <w:color w:val="auto"/>
          <w:lang w:bidi="ar"/>
        </w:rPr>
        <w:t xml:space="preserve"> female.</w:t>
      </w:r>
      <w:r>
        <w:rPr>
          <w:rFonts w:hint="eastAsia" w:eastAsia="宋体"/>
          <w:color w:val="auto"/>
          <w:lang w:bidi="ar"/>
        </w:rPr>
        <w:t xml:space="preserve"> n = 5</w:t>
      </w:r>
      <w:r>
        <w:rPr>
          <w:rFonts w:eastAsia="宋体"/>
          <w:color w:val="auto"/>
          <w:lang w:bidi="ar"/>
        </w:rPr>
        <w:t xml:space="preserve"> per group</w:t>
      </w:r>
      <w:r>
        <w:rPr>
          <w:rFonts w:hint="eastAsia" w:eastAsia="宋体"/>
          <w:color w:val="auto"/>
          <w:lang w:bidi="ar"/>
        </w:rPr>
        <w:t xml:space="preserve">. </w:t>
      </w:r>
      <w:r>
        <w:rPr>
          <w:color w:val="auto"/>
        </w:rPr>
        <w:t xml:space="preserve">Data are presented as the mean ± SD. </w:t>
      </w:r>
      <w:r>
        <w:rPr>
          <w:color w:val="auto"/>
          <w:lang w:bidi="ar"/>
        </w:rPr>
        <w:t>Statistical analyses w</w:t>
      </w:r>
      <w:r>
        <w:rPr>
          <w:rFonts w:eastAsia="宋体"/>
          <w:color w:val="auto"/>
          <w:lang w:bidi="ar"/>
        </w:rPr>
        <w:t>ere</w:t>
      </w:r>
      <w:r>
        <w:rPr>
          <w:color w:val="auto"/>
          <w:lang w:bidi="ar"/>
        </w:rPr>
        <w:t xml:space="preserve"> performed by</w:t>
      </w:r>
      <w:r>
        <w:rPr>
          <w:color w:val="auto"/>
        </w:rPr>
        <w:t xml:space="preserve"> one-way ANOVA followed by Tukey’s post hoc test</w:t>
      </w:r>
      <w:r>
        <w:rPr>
          <w:rFonts w:hint="eastAsia" w:eastAsiaTheme="minorEastAsia"/>
          <w:color w:val="auto"/>
        </w:rPr>
        <w:drawing>
          <wp:inline distT="0" distB="0" distL="0" distR="0">
            <wp:extent cx="5614035" cy="8067040"/>
            <wp:effectExtent l="0" t="0" r="5715" b="0"/>
            <wp:docPr id="16383734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37340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4564" cy="806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93705">
      <w:pPr>
        <w:widowControl/>
        <w:rPr>
          <w:b/>
          <w:bCs/>
          <w:color w:val="auto"/>
        </w:rPr>
      </w:pPr>
      <w:bookmarkStart w:id="48" w:name="OLE_LINK178"/>
    </w:p>
    <w:p w14:paraId="405269CD">
      <w:pPr>
        <w:widowControl/>
        <w:jc w:val="left"/>
        <w:rPr>
          <w:b/>
          <w:bCs/>
          <w:color w:val="auto"/>
        </w:rPr>
      </w:pPr>
      <w:r>
        <w:rPr>
          <w:b/>
          <w:bCs/>
          <w:color w:val="auto"/>
        </w:rPr>
        <w:br w:type="page"/>
      </w:r>
    </w:p>
    <w:p w14:paraId="5175AE83">
      <w:pPr>
        <w:widowControl/>
        <w:rPr>
          <w:rFonts w:eastAsiaTheme="minorEastAsia"/>
          <w:color w:val="auto"/>
        </w:rPr>
      </w:pPr>
      <w:r>
        <w:rPr>
          <w:b/>
          <w:bCs/>
          <w:color w:val="auto"/>
        </w:rPr>
        <w:t>Fig</w:t>
      </w:r>
      <w:r>
        <w:rPr>
          <w:rFonts w:hint="eastAsia"/>
          <w:b/>
          <w:bCs/>
          <w:color w:val="auto"/>
        </w:rPr>
        <w:t>.</w:t>
      </w:r>
      <w:r>
        <w:rPr>
          <w:b/>
          <w:bCs/>
          <w:color w:val="auto"/>
        </w:rPr>
        <w:t xml:space="preserve"> S</w:t>
      </w:r>
      <w:r>
        <w:rPr>
          <w:rFonts w:hint="eastAsia"/>
          <w:b/>
          <w:bCs/>
          <w:color w:val="auto"/>
        </w:rPr>
        <w:t>7</w:t>
      </w:r>
      <w:r>
        <w:rPr>
          <w:rFonts w:hint="eastAsia" w:eastAsiaTheme="minorEastAsia"/>
          <w:b/>
          <w:bCs/>
          <w:color w:val="auto"/>
        </w:rPr>
        <w:t xml:space="preserve"> </w:t>
      </w:r>
      <w:r>
        <w:rPr>
          <w:rFonts w:eastAsiaTheme="minorEastAsia"/>
          <w:color w:val="auto"/>
        </w:rPr>
        <w:t>GCGR is expressed in Sertoli cells and in mouse testes.</w:t>
      </w:r>
      <w:r>
        <w:rPr>
          <w:rFonts w:hint="eastAsia" w:eastAsiaTheme="minorEastAsia"/>
          <w:color w:val="auto"/>
        </w:rPr>
        <w:t xml:space="preserve"> </w:t>
      </w:r>
      <w:bookmarkEnd w:id="48"/>
      <w:r>
        <w:rPr>
          <w:rFonts w:eastAsiaTheme="minorEastAsia"/>
          <w:b/>
          <w:bCs/>
          <w:color w:val="auto"/>
        </w:rPr>
        <w:t>A</w:t>
      </w:r>
      <w:r>
        <w:rPr>
          <w:rFonts w:eastAsiaTheme="minorEastAsia"/>
          <w:color w:val="auto"/>
        </w:rPr>
        <w:t>–</w:t>
      </w:r>
      <w:r>
        <w:rPr>
          <w:rFonts w:eastAsiaTheme="minorEastAsia"/>
          <w:b/>
          <w:bCs/>
          <w:color w:val="auto"/>
        </w:rPr>
        <w:t>D</w:t>
      </w:r>
      <w:r>
        <w:rPr>
          <w:rFonts w:eastAsiaTheme="minorEastAsia"/>
          <w:color w:val="auto"/>
        </w:rPr>
        <w:t>: Representative immunofluorescence images showing the Sertoli-cell marker SOX9 and glucagon receptor (GCGR) in testes from human (</w:t>
      </w:r>
      <w:r>
        <w:rPr>
          <w:rFonts w:eastAsiaTheme="minorEastAsia"/>
          <w:b/>
          <w:bCs/>
          <w:color w:val="auto"/>
        </w:rPr>
        <w:t>A</w:t>
      </w:r>
      <w:r>
        <w:rPr>
          <w:rFonts w:eastAsiaTheme="minorEastAsia"/>
          <w:color w:val="auto"/>
        </w:rPr>
        <w:t>), streptozotocin-induced diabetic mice (</w:t>
      </w:r>
      <w:r>
        <w:rPr>
          <w:rFonts w:eastAsiaTheme="minorEastAsia"/>
          <w:b/>
          <w:bCs/>
          <w:color w:val="auto"/>
        </w:rPr>
        <w:t>B</w:t>
      </w:r>
      <w:r>
        <w:rPr>
          <w:rFonts w:eastAsiaTheme="minorEastAsia"/>
          <w:color w:val="auto"/>
        </w:rPr>
        <w:t>), aged mice (</w:t>
      </w:r>
      <w:r>
        <w:rPr>
          <w:rFonts w:eastAsiaTheme="minorEastAsia"/>
          <w:b/>
          <w:bCs/>
          <w:color w:val="auto"/>
        </w:rPr>
        <w:t>C</w:t>
      </w:r>
      <w:r>
        <w:rPr>
          <w:rFonts w:eastAsiaTheme="minorEastAsia"/>
          <w:color w:val="auto"/>
        </w:rPr>
        <w:t>), and in TM4 Sertoli cells (</w:t>
      </w:r>
      <w:r>
        <w:rPr>
          <w:rFonts w:eastAsiaTheme="minorEastAsia"/>
          <w:b/>
          <w:bCs/>
          <w:color w:val="auto"/>
        </w:rPr>
        <w:t>D</w:t>
      </w:r>
      <w:r>
        <w:rPr>
          <w:rFonts w:eastAsiaTheme="minorEastAsia"/>
          <w:color w:val="auto"/>
        </w:rPr>
        <w:t xml:space="preserve">). </w:t>
      </w:r>
      <w:r>
        <w:rPr>
          <w:rFonts w:hint="eastAsia" w:eastAsiaTheme="minorEastAsia"/>
          <w:color w:val="auto"/>
        </w:rPr>
        <w:t>M</w:t>
      </w:r>
      <w:r>
        <w:rPr>
          <w:rFonts w:eastAsiaTheme="minorEastAsia"/>
          <w:color w:val="auto"/>
        </w:rPr>
        <w:t>ultiplex immunofluorescence staining was used for</w:t>
      </w:r>
      <w:r>
        <w:rPr>
          <w:rFonts w:hint="eastAsia" w:eastAsiaTheme="minorEastAsia"/>
          <w:color w:val="auto"/>
        </w:rPr>
        <w:t xml:space="preserve"> </w:t>
      </w:r>
      <w:r>
        <w:rPr>
          <w:rFonts w:eastAsiaTheme="minorEastAsia"/>
          <w:b/>
          <w:bCs/>
          <w:color w:val="auto"/>
        </w:rPr>
        <w:t>B</w:t>
      </w:r>
      <w:r>
        <w:rPr>
          <w:rFonts w:hint="eastAsia" w:eastAsiaTheme="minorEastAsia"/>
          <w:color w:val="auto"/>
        </w:rPr>
        <w:t xml:space="preserve">, </w:t>
      </w:r>
      <w:r>
        <w:rPr>
          <w:rFonts w:eastAsiaTheme="minorEastAsia"/>
          <w:b/>
          <w:bCs/>
          <w:color w:val="auto"/>
        </w:rPr>
        <w:t>C</w:t>
      </w:r>
      <w:r>
        <w:rPr>
          <w:rFonts w:hint="eastAsia" w:eastAsiaTheme="minorEastAsia"/>
          <w:color w:val="auto"/>
        </w:rPr>
        <w:t xml:space="preserve">. </w:t>
      </w:r>
      <w:r>
        <w:rPr>
          <w:rFonts w:eastAsiaTheme="minorEastAsia"/>
          <w:color w:val="auto"/>
        </w:rPr>
        <w:t xml:space="preserve">Nuclei were counterstained with </w:t>
      </w:r>
      <w:r>
        <w:rPr>
          <w:rFonts w:hint="eastAsia" w:eastAsiaTheme="minorEastAsia"/>
          <w:color w:val="auto"/>
        </w:rPr>
        <w:t xml:space="preserve">4',6-diamidino-2-phenylindole </w:t>
      </w:r>
      <w:r>
        <w:rPr>
          <w:rFonts w:eastAsiaTheme="minorEastAsia"/>
          <w:color w:val="auto"/>
        </w:rPr>
        <w:t xml:space="preserve">(DAPI). Scale bar = 20 μm. </w:t>
      </w:r>
    </w:p>
    <w:p w14:paraId="718EB48D">
      <w:pPr>
        <w:widowControl/>
        <w:rPr>
          <w:rFonts w:eastAsiaTheme="minorEastAsia"/>
          <w:color w:val="auto"/>
        </w:rPr>
      </w:pPr>
      <w:r>
        <w:rPr>
          <w:rFonts w:eastAsiaTheme="minorEastAsia"/>
          <w:b/>
          <w:bCs/>
          <w:color w:val="auto"/>
        </w:rPr>
        <w:t>E</w:t>
      </w:r>
      <w:r>
        <w:rPr>
          <w:rFonts w:eastAsiaTheme="minorEastAsia"/>
          <w:color w:val="auto"/>
        </w:rPr>
        <w:t>–</w:t>
      </w:r>
      <w:r>
        <w:rPr>
          <w:rFonts w:eastAsiaTheme="minorEastAsia"/>
          <w:b/>
          <w:bCs/>
          <w:color w:val="auto"/>
        </w:rPr>
        <w:t>F</w:t>
      </w:r>
      <w:r>
        <w:rPr>
          <w:rFonts w:hint="eastAsia" w:eastAsiaTheme="minorEastAsia"/>
          <w:color w:val="auto"/>
        </w:rPr>
        <w:t>:</w:t>
      </w:r>
      <w:r>
        <w:rPr>
          <w:rFonts w:eastAsiaTheme="minorEastAsia"/>
          <w:color w:val="auto"/>
        </w:rPr>
        <w:t xml:space="preserve"> </w:t>
      </w:r>
      <w:r>
        <w:rPr>
          <w:color w:val="auto"/>
        </w:rPr>
        <w:t>Streptozotocin-induced diabetic male mice (</w:t>
      </w:r>
      <w:r>
        <w:rPr>
          <w:b/>
          <w:bCs/>
          <w:color w:val="auto"/>
        </w:rPr>
        <w:t>E</w:t>
      </w:r>
      <w:r>
        <w:rPr>
          <w:color w:val="auto"/>
        </w:rPr>
        <w:t>) and 18-month-old aged male C57BL/6J mice (</w:t>
      </w:r>
      <w:r>
        <w:rPr>
          <w:b/>
          <w:bCs/>
          <w:color w:val="auto"/>
        </w:rPr>
        <w:t>F</w:t>
      </w:r>
      <w:r>
        <w:rPr>
          <w:color w:val="auto"/>
        </w:rPr>
        <w:t xml:space="preserve">) were weekly treated with </w:t>
      </w:r>
      <w:r>
        <w:rPr>
          <w:rFonts w:hint="eastAsia"/>
          <w:color w:val="auto"/>
        </w:rPr>
        <w:t>a GCGR</w:t>
      </w:r>
      <w:r>
        <w:rPr>
          <w:color w:val="auto"/>
        </w:rPr>
        <w:t xml:space="preserve"> monoclonal antibody (mAb, 5 mg/kg) or IgG control (Ctrl, 5 mg/kg) for 4 weeks. </w:t>
      </w:r>
      <w:r>
        <w:rPr>
          <w:rFonts w:eastAsiaTheme="minorEastAsia"/>
          <w:color w:val="auto"/>
        </w:rPr>
        <w:t>Protein levels of GCGR and SOX9 in testes were detected by western blot, and were quantified by Image J</w:t>
      </w:r>
      <w:r>
        <w:rPr>
          <w:rFonts w:hint="eastAsia" w:eastAsiaTheme="minorEastAsia"/>
          <w:color w:val="auto"/>
        </w:rPr>
        <w:t>.</w:t>
      </w:r>
      <w:r>
        <w:rPr>
          <w:rFonts w:eastAsiaTheme="minorEastAsia"/>
          <w:color w:val="auto"/>
        </w:rPr>
        <w:t xml:space="preserve"> n = 4.</w:t>
      </w:r>
      <w:r>
        <w:rPr>
          <w:rFonts w:hint="eastAsia" w:eastAsiaTheme="minorEastAsia"/>
          <w:color w:val="auto"/>
        </w:rPr>
        <w:t xml:space="preserve"> </w:t>
      </w:r>
      <w:r>
        <w:rPr>
          <w:rFonts w:eastAsiaTheme="minorEastAsia"/>
          <w:color w:val="auto"/>
        </w:rPr>
        <w:t xml:space="preserve">Data are presented as the mean ± SD. </w:t>
      </w:r>
      <w:r>
        <w:rPr>
          <w:color w:val="auto"/>
        </w:rPr>
        <w:t>Statistical analyses were performed by</w:t>
      </w:r>
      <w:r>
        <w:rPr>
          <w:rFonts w:eastAsiaTheme="minorEastAsia"/>
          <w:color w:val="auto"/>
        </w:rPr>
        <w:t xml:space="preserve"> using two-tailed unpaired Student’s t-test</w:t>
      </w:r>
      <w:r>
        <w:rPr>
          <w:rFonts w:hint="eastAsia" w:eastAsiaTheme="minorEastAsia"/>
          <w:color w:val="auto"/>
        </w:rPr>
        <w:t xml:space="preserve"> or </w:t>
      </w:r>
      <w:r>
        <w:rPr>
          <w:rFonts w:eastAsia="宋体"/>
          <w:color w:val="auto"/>
        </w:rPr>
        <w:t>Welch’s t-test</w:t>
      </w:r>
      <w:r>
        <w:rPr>
          <w:rFonts w:eastAsiaTheme="minorEastAsia"/>
          <w:color w:val="auto"/>
        </w:rPr>
        <w:t>. *</w:t>
      </w:r>
      <w:r>
        <w:rPr>
          <w:rFonts w:eastAsiaTheme="minorEastAsia"/>
          <w:i/>
          <w:iCs/>
          <w:color w:val="auto"/>
        </w:rPr>
        <w:t xml:space="preserve">P </w:t>
      </w:r>
      <w:r>
        <w:rPr>
          <w:rFonts w:eastAsiaTheme="minorEastAsia"/>
          <w:color w:val="auto"/>
        </w:rPr>
        <w:t>&lt; 0.05, *</w:t>
      </w:r>
      <w:bookmarkStart w:id="49" w:name="OLE_LINK181"/>
      <w:r>
        <w:rPr>
          <w:rFonts w:eastAsiaTheme="minorEastAsia"/>
          <w:color w:val="auto"/>
        </w:rPr>
        <w:t>*</w:t>
      </w:r>
      <w:bookmarkEnd w:id="49"/>
      <w:r>
        <w:rPr>
          <w:rFonts w:eastAsiaTheme="minorEastAsia"/>
          <w:color w:val="auto"/>
        </w:rPr>
        <w:t>*</w:t>
      </w:r>
      <w:r>
        <w:rPr>
          <w:rFonts w:eastAsiaTheme="minorEastAsia"/>
          <w:i/>
          <w:iCs/>
          <w:color w:val="auto"/>
        </w:rPr>
        <w:t>P</w:t>
      </w:r>
      <w:r>
        <w:rPr>
          <w:rFonts w:eastAsiaTheme="minorEastAsia"/>
          <w:color w:val="auto"/>
        </w:rPr>
        <w:t xml:space="preserve"> &lt; 0.001 vs. the control group</w:t>
      </w:r>
    </w:p>
    <w:p w14:paraId="0AB1831B">
      <w:pPr>
        <w:widowControl/>
        <w:jc w:val="left"/>
        <w:rPr>
          <w:rFonts w:eastAsiaTheme="minorEastAsia"/>
          <w:color w:val="auto"/>
        </w:rPr>
      </w:pPr>
      <w:r>
        <w:rPr>
          <w:rFonts w:eastAsiaTheme="minorEastAsia"/>
          <w:color w:val="auto"/>
        </w:rPr>
        <w:br w:type="page"/>
      </w:r>
    </w:p>
    <w:p w14:paraId="56FF5C47">
      <w:pPr>
        <w:widowControl/>
        <w:rPr>
          <w:rFonts w:eastAsiaTheme="minorEastAsia"/>
          <w:color w:val="auto"/>
        </w:rPr>
      </w:pPr>
      <w:r>
        <w:rPr>
          <w:rFonts w:eastAsiaTheme="minorEastAsia"/>
          <w:color w:val="auto"/>
        </w:rPr>
        <w:drawing>
          <wp:inline distT="0" distB="0" distL="0" distR="0">
            <wp:extent cx="5507990" cy="2262505"/>
            <wp:effectExtent l="0" t="0" r="0" b="4445"/>
            <wp:docPr id="9081152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11520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08276" cy="22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F09A9">
      <w:pPr>
        <w:rPr>
          <w:rFonts w:eastAsia="宋体"/>
          <w:b/>
          <w:bCs/>
          <w:color w:val="auto"/>
          <w:lang w:bidi="ar"/>
        </w:rPr>
      </w:pPr>
    </w:p>
    <w:p w14:paraId="16970340">
      <w:pPr>
        <w:rPr>
          <w:rFonts w:eastAsia="宋体"/>
          <w:color w:val="auto"/>
          <w:lang w:bidi="ar"/>
        </w:rPr>
      </w:pPr>
      <w:r>
        <w:rPr>
          <w:rFonts w:eastAsia="宋体"/>
          <w:b/>
          <w:bCs/>
          <w:color w:val="auto"/>
          <w:lang w:bidi="ar"/>
        </w:rPr>
        <w:t>Fig</w:t>
      </w:r>
      <w:r>
        <w:rPr>
          <w:rFonts w:hint="eastAsia" w:eastAsia="宋体"/>
          <w:b/>
          <w:bCs/>
          <w:color w:val="auto"/>
          <w:lang w:bidi="ar"/>
        </w:rPr>
        <w:t>.</w:t>
      </w:r>
      <w:r>
        <w:rPr>
          <w:rFonts w:eastAsia="宋体"/>
          <w:b/>
          <w:bCs/>
          <w:color w:val="auto"/>
          <w:lang w:bidi="ar"/>
        </w:rPr>
        <w:t xml:space="preserve"> S</w:t>
      </w:r>
      <w:r>
        <w:rPr>
          <w:rFonts w:hint="eastAsia" w:eastAsia="宋体"/>
          <w:b/>
          <w:bCs/>
          <w:color w:val="auto"/>
          <w:lang w:bidi="ar"/>
        </w:rPr>
        <w:t>8</w:t>
      </w:r>
      <w:r>
        <w:rPr>
          <w:rFonts w:eastAsia="宋体"/>
          <w:b/>
          <w:bCs/>
          <w:color w:val="auto"/>
          <w:lang w:bidi="ar"/>
        </w:rPr>
        <w:t xml:space="preserve"> </w:t>
      </w:r>
      <w:r>
        <w:rPr>
          <w:rFonts w:eastAsia="宋体"/>
          <w:color w:val="auto"/>
          <w:lang w:bidi="ar"/>
        </w:rPr>
        <w:t>GLP-1R does not mediate glucagon-induced effects on Leydig and Sertoli cell proliferation.</w:t>
      </w:r>
      <w:r>
        <w:rPr>
          <w:rFonts w:hint="eastAsia" w:eastAsiaTheme="minorEastAsia"/>
          <w:color w:val="auto"/>
        </w:rPr>
        <w:t xml:space="preserve"> </w:t>
      </w:r>
      <w:r>
        <w:rPr>
          <w:rFonts w:eastAsiaTheme="minorEastAsia"/>
          <w:b/>
          <w:bCs/>
          <w:color w:val="auto"/>
        </w:rPr>
        <w:t>A</w:t>
      </w:r>
      <w:r>
        <w:rPr>
          <w:rFonts w:eastAsiaTheme="minorEastAsia"/>
          <w:color w:val="auto"/>
        </w:rPr>
        <w:t xml:space="preserve">: The expression levels of glucagon-like peptide-1 receptor </w:t>
      </w:r>
      <w:r>
        <w:rPr>
          <w:rFonts w:hint="eastAsia" w:eastAsiaTheme="minorEastAsia"/>
          <w:color w:val="auto"/>
        </w:rPr>
        <w:t>(</w:t>
      </w:r>
      <w:r>
        <w:rPr>
          <w:rFonts w:eastAsiaTheme="minorEastAsia"/>
          <w:color w:val="auto"/>
        </w:rPr>
        <w:t>GLP-1R</w:t>
      </w:r>
      <w:r>
        <w:rPr>
          <w:rFonts w:hint="eastAsia" w:eastAsiaTheme="minorEastAsia"/>
          <w:color w:val="auto"/>
        </w:rPr>
        <w:t>)</w:t>
      </w:r>
      <w:r>
        <w:rPr>
          <w:rFonts w:eastAsiaTheme="minorEastAsia"/>
          <w:color w:val="auto"/>
        </w:rPr>
        <w:t xml:space="preserve"> were assessed in mouse testicular tissues and cell lines</w:t>
      </w:r>
      <w:r>
        <w:rPr>
          <w:rFonts w:hint="eastAsia" w:eastAsiaTheme="minorEastAsia"/>
          <w:color w:val="auto"/>
        </w:rPr>
        <w:t xml:space="preserve"> </w:t>
      </w:r>
      <w:r>
        <w:rPr>
          <w:rFonts w:eastAsiaTheme="minorEastAsia"/>
          <w:color w:val="auto"/>
        </w:rPr>
        <w:t xml:space="preserve">by western blot. Mouse islet β cell line Min6 was used as a positive control for GLP-1R expression. </w:t>
      </w:r>
      <w:r>
        <w:rPr>
          <w:rFonts w:eastAsiaTheme="minorEastAsia"/>
          <w:b/>
          <w:bCs/>
          <w:color w:val="auto"/>
        </w:rPr>
        <w:t>B</w:t>
      </w:r>
      <w:r>
        <w:rPr>
          <w:color w:val="auto"/>
        </w:rPr>
        <w:t>–</w:t>
      </w:r>
      <w:r>
        <w:rPr>
          <w:rFonts w:eastAsiaTheme="minorEastAsia"/>
          <w:b/>
          <w:bCs/>
          <w:color w:val="auto"/>
        </w:rPr>
        <w:t>C</w:t>
      </w:r>
      <w:r>
        <w:rPr>
          <w:rFonts w:eastAsiaTheme="minorEastAsia"/>
          <w:color w:val="auto"/>
        </w:rPr>
        <w:t>:</w:t>
      </w:r>
      <w:r>
        <w:rPr>
          <w:color w:val="auto"/>
        </w:rPr>
        <w:t xml:space="preserve"> </w:t>
      </w:r>
      <w:r>
        <w:rPr>
          <w:rFonts w:eastAsiaTheme="minorEastAsia"/>
          <w:color w:val="auto"/>
        </w:rPr>
        <w:t>Mouse Leydig cells (TM3) and Sertoli cells (TM4) were treated with different concentrations of glucagon</w:t>
      </w:r>
      <w:r>
        <w:rPr>
          <w:rFonts w:hint="eastAsia" w:eastAsiaTheme="minorEastAsia"/>
          <w:color w:val="auto"/>
        </w:rPr>
        <w:t xml:space="preserve"> (GCG)</w:t>
      </w:r>
      <w:r>
        <w:rPr>
          <w:rFonts w:eastAsiaTheme="minorEastAsia"/>
          <w:color w:val="auto"/>
        </w:rPr>
        <w:t xml:space="preserve"> in combination with exendin 9-39 (Ex9, a GLP-1R antagonist; 200 nmol/L). </w:t>
      </w:r>
      <w:r>
        <w:rPr>
          <w:rFonts w:hint="eastAsia" w:eastAsiaTheme="minorEastAsia"/>
          <w:color w:val="auto"/>
        </w:rPr>
        <w:t>C</w:t>
      </w:r>
      <w:r>
        <w:rPr>
          <w:rFonts w:eastAsiaTheme="minorEastAsia"/>
          <w:color w:val="auto"/>
        </w:rPr>
        <w:t>ell proliferation was evaluated using the CCK8 assay, n = 3–4.</w:t>
      </w:r>
      <w:r>
        <w:rPr>
          <w:rFonts w:hint="eastAsia" w:eastAsiaTheme="minorEastAsia"/>
          <w:color w:val="auto"/>
        </w:rPr>
        <w:t xml:space="preserve"> </w:t>
      </w:r>
      <w:r>
        <w:rPr>
          <w:rFonts w:eastAsia="宋体"/>
          <w:color w:val="auto"/>
          <w:lang w:bidi="ar"/>
        </w:rPr>
        <w:t xml:space="preserve">Data are presented as mean ± SD. </w:t>
      </w:r>
      <w:r>
        <w:rPr>
          <w:color w:val="auto"/>
        </w:rPr>
        <w:t>Statistical analyses were performed by</w:t>
      </w:r>
      <w:r>
        <w:rPr>
          <w:rFonts w:eastAsia="宋体"/>
          <w:color w:val="auto"/>
          <w:lang w:bidi="ar"/>
        </w:rPr>
        <w:t xml:space="preserve"> </w:t>
      </w:r>
      <w:r>
        <w:rPr>
          <w:color w:val="auto"/>
        </w:rPr>
        <w:t>two-way ANOVA followed by Tukey’s post hoc tests</w:t>
      </w:r>
    </w:p>
    <w:p w14:paraId="3A646CD1">
      <w:pPr>
        <w:rPr>
          <w:rFonts w:eastAsia="宋体"/>
          <w:color w:val="auto"/>
          <w:sz w:val="21"/>
          <w:szCs w:val="21"/>
          <w:lang w:bidi="ar"/>
        </w:rPr>
      </w:pPr>
    </w:p>
    <w:p w14:paraId="39AF5B1A">
      <w:pPr>
        <w:widowControl/>
        <w:jc w:val="center"/>
        <w:rPr>
          <w:rFonts w:eastAsiaTheme="minorEastAsia"/>
          <w:color w:val="auto"/>
        </w:rPr>
      </w:pPr>
      <w:r>
        <w:rPr>
          <w:rFonts w:hint="eastAsia" w:eastAsiaTheme="minorEastAsia"/>
          <w:color w:val="auto"/>
        </w:rPr>
        <w:drawing>
          <wp:inline distT="0" distB="0" distL="0" distR="0">
            <wp:extent cx="5515610" cy="5628640"/>
            <wp:effectExtent l="0" t="0" r="0" b="0"/>
            <wp:docPr id="2783810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381049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21706" cy="5634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4227B">
      <w:pPr>
        <w:widowControl/>
        <w:rPr>
          <w:b/>
          <w:bCs/>
          <w:color w:val="auto"/>
        </w:rPr>
      </w:pPr>
    </w:p>
    <w:p w14:paraId="08D6702A">
      <w:pPr>
        <w:widowControl/>
        <w:rPr>
          <w:rFonts w:eastAsiaTheme="minorEastAsia"/>
          <w:color w:val="auto"/>
          <w:sz w:val="21"/>
          <w:szCs w:val="21"/>
        </w:rPr>
      </w:pPr>
      <w:r>
        <w:rPr>
          <w:b/>
          <w:bCs/>
          <w:color w:val="auto"/>
        </w:rPr>
        <w:t>Fig</w:t>
      </w:r>
      <w:r>
        <w:rPr>
          <w:rFonts w:hint="eastAsia"/>
          <w:b/>
          <w:bCs/>
          <w:color w:val="auto"/>
        </w:rPr>
        <w:t>.</w:t>
      </w:r>
      <w:r>
        <w:rPr>
          <w:b/>
          <w:bCs/>
          <w:color w:val="auto"/>
        </w:rPr>
        <w:t xml:space="preserve"> S</w:t>
      </w:r>
      <w:r>
        <w:rPr>
          <w:rFonts w:hint="eastAsia"/>
          <w:b/>
          <w:bCs/>
          <w:color w:val="auto"/>
        </w:rPr>
        <w:t>9</w:t>
      </w:r>
      <w:r>
        <w:rPr>
          <w:rFonts w:hint="eastAsia" w:eastAsiaTheme="minorEastAsia"/>
          <w:b/>
          <w:bCs/>
          <w:color w:val="auto"/>
        </w:rPr>
        <w:t xml:space="preserve"> </w:t>
      </w:r>
      <w:r>
        <w:rPr>
          <w:rFonts w:eastAsiaTheme="minorEastAsia"/>
          <w:color w:val="auto"/>
        </w:rPr>
        <w:t>GCGR and GLP-1R signaling partially modulates glucagon-induced metabolic and functional changes in Sertoli cells.</w:t>
      </w:r>
      <w:r>
        <w:rPr>
          <w:rFonts w:hint="eastAsia" w:eastAsia="宋体"/>
          <w:color w:val="auto"/>
        </w:rPr>
        <w:t xml:space="preserve"> </w:t>
      </w:r>
      <w:bookmarkStart w:id="50" w:name="OLE_LINK189"/>
      <w:r>
        <w:rPr>
          <w:rFonts w:hint="eastAsia" w:eastAsia="宋体"/>
          <w:color w:val="auto"/>
        </w:rPr>
        <w:t xml:space="preserve">Mouse Sertoli cell line </w:t>
      </w:r>
      <w:r>
        <w:rPr>
          <w:rFonts w:eastAsia="宋体"/>
          <w:color w:val="auto"/>
        </w:rPr>
        <w:t>TM4 cells</w:t>
      </w:r>
      <w:r>
        <w:rPr>
          <w:rFonts w:eastAsiaTheme="minorEastAsia"/>
          <w:color w:val="auto"/>
        </w:rPr>
        <w:t xml:space="preserve"> were treated with vehicle control (Ctrl), glucagon (GCG, 100 nmol/L), GCG </w:t>
      </w:r>
      <w:r>
        <w:rPr>
          <w:rFonts w:hint="eastAsia" w:eastAsiaTheme="minorEastAsia"/>
          <w:color w:val="auto"/>
        </w:rPr>
        <w:t>+ a GCGR</w:t>
      </w:r>
      <w:r>
        <w:rPr>
          <w:rFonts w:eastAsiaTheme="minorEastAsia"/>
          <w:color w:val="auto"/>
        </w:rPr>
        <w:t xml:space="preserve"> monoclonal antibody (mAb, 1000 nmol/L), or GCG </w:t>
      </w:r>
      <w:r>
        <w:rPr>
          <w:rFonts w:hint="eastAsia" w:eastAsiaTheme="minorEastAsia"/>
          <w:color w:val="auto"/>
        </w:rPr>
        <w:t>+</w:t>
      </w:r>
      <w:r>
        <w:rPr>
          <w:rFonts w:eastAsiaTheme="minorEastAsia"/>
          <w:color w:val="auto"/>
        </w:rPr>
        <w:t xml:space="preserve"> exendin 9-39 (Ex9, a GLP-1R antagonist; 200 nmol/L). </w:t>
      </w:r>
      <w:r>
        <w:rPr>
          <w:rFonts w:hint="eastAsia" w:eastAsiaTheme="minorEastAsia"/>
          <w:color w:val="auto"/>
        </w:rPr>
        <w:t>I</w:t>
      </w:r>
      <w:r>
        <w:rPr>
          <w:rFonts w:eastAsiaTheme="minorEastAsia"/>
          <w:color w:val="auto"/>
        </w:rPr>
        <w:t>ntracellular cAMP content (</w:t>
      </w:r>
      <w:r>
        <w:rPr>
          <w:rFonts w:eastAsiaTheme="minorEastAsia"/>
          <w:b/>
          <w:bCs/>
          <w:color w:val="auto"/>
        </w:rPr>
        <w:t>A</w:t>
      </w:r>
      <w:r>
        <w:rPr>
          <w:rFonts w:eastAsiaTheme="minorEastAsia"/>
          <w:color w:val="auto"/>
        </w:rPr>
        <w:t xml:space="preserve">) was measured after 15 min of </w:t>
      </w:r>
      <w:r>
        <w:rPr>
          <w:rFonts w:hint="eastAsia" w:eastAsiaTheme="minorEastAsia"/>
          <w:color w:val="auto"/>
        </w:rPr>
        <w:t xml:space="preserve">glucagon </w:t>
      </w:r>
      <w:r>
        <w:rPr>
          <w:rFonts w:eastAsiaTheme="minorEastAsia"/>
          <w:color w:val="auto"/>
        </w:rPr>
        <w:t>treatment</w:t>
      </w:r>
      <w:r>
        <w:rPr>
          <w:rFonts w:hint="eastAsia" w:eastAsiaTheme="minorEastAsia"/>
          <w:color w:val="auto"/>
        </w:rPr>
        <w:t xml:space="preserve">, </w:t>
      </w:r>
      <w:r>
        <w:rPr>
          <w:rFonts w:eastAsiaTheme="minorEastAsia"/>
          <w:color w:val="auto"/>
        </w:rPr>
        <w:t>wh</w:t>
      </w:r>
      <w:r>
        <w:rPr>
          <w:rFonts w:hint="eastAsia" w:eastAsiaTheme="minorEastAsia"/>
          <w:color w:val="auto"/>
        </w:rPr>
        <w:t>ile</w:t>
      </w:r>
      <w:r>
        <w:rPr>
          <w:rFonts w:eastAsiaTheme="minorEastAsia"/>
          <w:color w:val="auto"/>
        </w:rPr>
        <w:t xml:space="preserve"> </w:t>
      </w:r>
      <w:r>
        <w:rPr>
          <w:rFonts w:hint="eastAsia" w:eastAsiaTheme="minorEastAsia"/>
          <w:color w:val="auto"/>
        </w:rPr>
        <w:t>l</w:t>
      </w:r>
      <w:r>
        <w:rPr>
          <w:rFonts w:eastAsiaTheme="minorEastAsia"/>
          <w:color w:val="auto"/>
        </w:rPr>
        <w:t>actate content (</w:t>
      </w:r>
      <w:r>
        <w:rPr>
          <w:rFonts w:eastAsiaTheme="minorEastAsia"/>
          <w:b/>
          <w:bCs/>
          <w:color w:val="auto"/>
        </w:rPr>
        <w:t>B</w:t>
      </w:r>
      <w:r>
        <w:rPr>
          <w:rFonts w:eastAsiaTheme="minorEastAsia"/>
          <w:color w:val="auto"/>
        </w:rPr>
        <w:t>) and gene expression analyses (</w:t>
      </w:r>
      <w:bookmarkStart w:id="51" w:name="OLE_LINK190"/>
      <w:r>
        <w:rPr>
          <w:rFonts w:eastAsiaTheme="minorEastAsia"/>
          <w:b/>
          <w:bCs/>
          <w:color w:val="auto"/>
        </w:rPr>
        <w:t>C</w:t>
      </w:r>
      <w:r>
        <w:rPr>
          <w:rFonts w:eastAsiaTheme="minorEastAsia"/>
          <w:color w:val="auto"/>
        </w:rPr>
        <w:t>–</w:t>
      </w:r>
      <w:bookmarkEnd w:id="51"/>
      <w:r>
        <w:rPr>
          <w:rFonts w:eastAsiaTheme="minorEastAsia"/>
          <w:b/>
          <w:bCs/>
          <w:color w:val="auto"/>
        </w:rPr>
        <w:t>I</w:t>
      </w:r>
      <w:r>
        <w:rPr>
          <w:rFonts w:eastAsiaTheme="minorEastAsia"/>
          <w:color w:val="auto"/>
        </w:rPr>
        <w:t>) were performed after 24 h of treatment.</w:t>
      </w:r>
      <w:r>
        <w:rPr>
          <w:rFonts w:hint="eastAsia" w:eastAsiaTheme="minorEastAsia"/>
          <w:color w:val="auto"/>
        </w:rPr>
        <w:t xml:space="preserve"> I</w:t>
      </w:r>
      <w:r>
        <w:rPr>
          <w:rFonts w:eastAsiaTheme="minorEastAsia"/>
          <w:color w:val="auto"/>
        </w:rPr>
        <w:t>ntracellular cAMP content (</w:t>
      </w:r>
      <w:r>
        <w:rPr>
          <w:rFonts w:eastAsiaTheme="minorEastAsia"/>
          <w:b/>
          <w:bCs/>
          <w:color w:val="auto"/>
        </w:rPr>
        <w:t>A</w:t>
      </w:r>
      <w:r>
        <w:rPr>
          <w:rFonts w:eastAsiaTheme="minorEastAsia"/>
          <w:color w:val="auto"/>
        </w:rPr>
        <w:t>)</w:t>
      </w:r>
      <w:r>
        <w:rPr>
          <w:rFonts w:hint="eastAsia" w:eastAsiaTheme="minorEastAsia"/>
          <w:color w:val="auto"/>
        </w:rPr>
        <w:t xml:space="preserve"> and l</w:t>
      </w:r>
      <w:r>
        <w:rPr>
          <w:rFonts w:eastAsiaTheme="minorEastAsia"/>
          <w:color w:val="auto"/>
        </w:rPr>
        <w:t>actate content (</w:t>
      </w:r>
      <w:r>
        <w:rPr>
          <w:rFonts w:eastAsiaTheme="minorEastAsia"/>
          <w:b/>
          <w:bCs/>
          <w:color w:val="auto"/>
        </w:rPr>
        <w:t>B</w:t>
      </w:r>
      <w:r>
        <w:rPr>
          <w:rFonts w:eastAsiaTheme="minorEastAsia"/>
          <w:color w:val="auto"/>
        </w:rPr>
        <w:t>)</w:t>
      </w:r>
      <w:r>
        <w:rPr>
          <w:rFonts w:hint="eastAsia" w:eastAsiaTheme="minorEastAsia"/>
          <w:color w:val="auto"/>
        </w:rPr>
        <w:t xml:space="preserve"> </w:t>
      </w:r>
      <w:r>
        <w:rPr>
          <w:rFonts w:eastAsia="宋体"/>
          <w:color w:val="auto"/>
        </w:rPr>
        <w:t xml:space="preserve">were </w:t>
      </w:r>
      <w:bookmarkStart w:id="52" w:name="OLE_LINK82"/>
      <w:r>
        <w:rPr>
          <w:rFonts w:eastAsia="宋体"/>
          <w:color w:val="auto"/>
        </w:rPr>
        <w:t>measured using commercial colorimetric assay kits</w:t>
      </w:r>
      <w:bookmarkEnd w:id="52"/>
      <w:r>
        <w:rPr>
          <w:rFonts w:hint="eastAsia" w:eastAsia="宋体"/>
          <w:color w:val="auto"/>
        </w:rPr>
        <w:t xml:space="preserve">. </w:t>
      </w:r>
      <w:r>
        <w:rPr>
          <w:rFonts w:eastAsiaTheme="minorEastAsia"/>
          <w:i/>
          <w:iCs/>
          <w:color w:val="auto"/>
        </w:rPr>
        <w:t>Pfkfb3</w:t>
      </w:r>
      <w:r>
        <w:rPr>
          <w:rFonts w:eastAsiaTheme="minorEastAsia"/>
          <w:color w:val="auto"/>
        </w:rPr>
        <w:t xml:space="preserve"> mRNA expression (</w:t>
      </w:r>
      <w:r>
        <w:rPr>
          <w:rFonts w:eastAsiaTheme="minorEastAsia"/>
          <w:b/>
          <w:bCs/>
          <w:color w:val="auto"/>
        </w:rPr>
        <w:t>C</w:t>
      </w:r>
      <w:r>
        <w:rPr>
          <w:rFonts w:eastAsiaTheme="minorEastAsia"/>
          <w:color w:val="auto"/>
        </w:rPr>
        <w:t>), Sertoli-cell markers gene expression (</w:t>
      </w:r>
      <w:r>
        <w:rPr>
          <w:rFonts w:eastAsiaTheme="minorEastAsia"/>
          <w:b/>
          <w:bCs/>
          <w:color w:val="auto"/>
        </w:rPr>
        <w:t>D</w:t>
      </w:r>
      <w:r>
        <w:rPr>
          <w:rFonts w:hint="eastAsia" w:eastAsiaTheme="minorEastAsia"/>
          <w:color w:val="auto"/>
        </w:rPr>
        <w:t xml:space="preserve">, </w:t>
      </w:r>
      <w:r>
        <w:rPr>
          <w:rFonts w:eastAsiaTheme="minorEastAsia"/>
          <w:b/>
          <w:bCs/>
          <w:color w:val="auto"/>
        </w:rPr>
        <w:t>E</w:t>
      </w:r>
      <w:r>
        <w:rPr>
          <w:rFonts w:eastAsiaTheme="minorEastAsia"/>
          <w:color w:val="auto"/>
        </w:rPr>
        <w:t>), and</w:t>
      </w:r>
      <w:r>
        <w:rPr>
          <w:rFonts w:hint="eastAsia" w:eastAsiaTheme="minorEastAsia"/>
          <w:color w:val="auto"/>
        </w:rPr>
        <w:t xml:space="preserve"> </w:t>
      </w:r>
      <w:r>
        <w:rPr>
          <w:rFonts w:eastAsiaTheme="minorEastAsia"/>
          <w:color w:val="auto"/>
        </w:rPr>
        <w:t xml:space="preserve">blood–testis barrier-associated </w:t>
      </w:r>
      <w:r>
        <w:rPr>
          <w:rFonts w:hint="eastAsia" w:eastAsiaTheme="minorEastAsia"/>
          <w:color w:val="auto"/>
        </w:rPr>
        <w:t xml:space="preserve">gene </w:t>
      </w:r>
      <w:r>
        <w:rPr>
          <w:rFonts w:eastAsiaTheme="minorEastAsia"/>
          <w:color w:val="auto"/>
        </w:rPr>
        <w:t>expression (</w:t>
      </w:r>
      <w:r>
        <w:rPr>
          <w:rFonts w:eastAsiaTheme="minorEastAsia"/>
          <w:b/>
          <w:bCs/>
          <w:color w:val="auto"/>
        </w:rPr>
        <w:t>F</w:t>
      </w:r>
      <w:r>
        <w:rPr>
          <w:rFonts w:eastAsiaTheme="minorEastAsia"/>
          <w:color w:val="auto"/>
        </w:rPr>
        <w:t>–</w:t>
      </w:r>
      <w:r>
        <w:rPr>
          <w:rFonts w:eastAsiaTheme="minorEastAsia"/>
          <w:b/>
          <w:bCs/>
          <w:color w:val="auto"/>
        </w:rPr>
        <w:t>I</w:t>
      </w:r>
      <w:r>
        <w:rPr>
          <w:rFonts w:eastAsiaTheme="minorEastAsia"/>
          <w:color w:val="auto"/>
        </w:rPr>
        <w:t>) were assessed by reverse transcription qPCR. n = 4.</w:t>
      </w:r>
      <w:r>
        <w:rPr>
          <w:rFonts w:hint="eastAsia" w:eastAsiaTheme="minorEastAsia"/>
          <w:color w:val="auto"/>
        </w:rPr>
        <w:t xml:space="preserve"> </w:t>
      </w:r>
      <w:bookmarkEnd w:id="50"/>
      <w:r>
        <w:rPr>
          <w:rFonts w:eastAsiaTheme="minorEastAsia"/>
          <w:color w:val="auto"/>
        </w:rPr>
        <w:t xml:space="preserve">Data are presented as the mean ± SD. </w:t>
      </w:r>
      <w:r>
        <w:rPr>
          <w:color w:val="auto"/>
        </w:rPr>
        <w:t>Statistical analyses were performed by</w:t>
      </w:r>
      <w:r>
        <w:rPr>
          <w:rFonts w:eastAsiaTheme="minorEastAsia"/>
          <w:color w:val="auto"/>
        </w:rPr>
        <w:t xml:space="preserve"> one-way ANOVA</w:t>
      </w:r>
      <w:r>
        <w:rPr>
          <w:rFonts w:hint="eastAsia" w:eastAsiaTheme="minorEastAsia"/>
          <w:color w:val="auto"/>
        </w:rPr>
        <w:t xml:space="preserve">, </w:t>
      </w:r>
      <w:r>
        <w:rPr>
          <w:rFonts w:eastAsiaTheme="minorEastAsia"/>
          <w:color w:val="auto"/>
        </w:rPr>
        <w:t xml:space="preserve">followed by </w:t>
      </w:r>
      <w:r>
        <w:rPr>
          <w:color w:val="auto"/>
        </w:rPr>
        <w:t xml:space="preserve">Dunnett’s T3 </w:t>
      </w:r>
      <w:r>
        <w:rPr>
          <w:rFonts w:hint="eastAsia"/>
          <w:color w:val="auto"/>
        </w:rPr>
        <w:t xml:space="preserve">or </w:t>
      </w:r>
      <w:r>
        <w:rPr>
          <w:color w:val="auto"/>
        </w:rPr>
        <w:t>Tamhane's T2</w:t>
      </w:r>
      <w:r>
        <w:rPr>
          <w:rFonts w:eastAsiaTheme="minorEastAsia"/>
          <w:color w:val="auto"/>
        </w:rPr>
        <w:t>. *</w:t>
      </w:r>
      <w:r>
        <w:rPr>
          <w:rFonts w:eastAsiaTheme="minorEastAsia"/>
          <w:i/>
          <w:iCs/>
          <w:color w:val="auto"/>
        </w:rPr>
        <w:t xml:space="preserve">P </w:t>
      </w:r>
      <w:r>
        <w:rPr>
          <w:rFonts w:eastAsiaTheme="minorEastAsia"/>
          <w:color w:val="auto"/>
        </w:rPr>
        <w:t>&lt; 0.05, **</w:t>
      </w:r>
      <w:r>
        <w:rPr>
          <w:rFonts w:eastAsiaTheme="minorEastAsia"/>
          <w:i/>
          <w:iCs/>
          <w:color w:val="auto"/>
        </w:rPr>
        <w:t xml:space="preserve">P </w:t>
      </w:r>
      <w:r>
        <w:rPr>
          <w:rFonts w:eastAsiaTheme="minorEastAsia"/>
          <w:color w:val="auto"/>
        </w:rPr>
        <w:t>&lt; 0.01, ***</w:t>
      </w:r>
      <w:r>
        <w:rPr>
          <w:rFonts w:eastAsiaTheme="minorEastAsia"/>
          <w:i/>
          <w:iCs/>
          <w:color w:val="auto"/>
        </w:rPr>
        <w:t>P</w:t>
      </w:r>
      <w:r>
        <w:rPr>
          <w:rFonts w:eastAsiaTheme="minorEastAsia"/>
          <w:color w:val="auto"/>
        </w:rPr>
        <w:t xml:space="preserve"> &lt; 0.001 vs. </w:t>
      </w:r>
      <w:r>
        <w:rPr>
          <w:rFonts w:hint="eastAsia" w:eastAsiaTheme="minorEastAsia"/>
          <w:color w:val="auto"/>
        </w:rPr>
        <w:t>the control group</w:t>
      </w:r>
      <w:r>
        <w:rPr>
          <w:rFonts w:eastAsiaTheme="minorEastAsia"/>
          <w:color w:val="auto"/>
        </w:rPr>
        <w:t xml:space="preserve">; </w:t>
      </w:r>
      <w:r>
        <w:rPr>
          <w:rFonts w:eastAsiaTheme="minorEastAsia"/>
          <w:color w:val="auto"/>
          <w:vertAlign w:val="superscript"/>
        </w:rPr>
        <w:t>#</w:t>
      </w:r>
      <w:r>
        <w:rPr>
          <w:rFonts w:eastAsiaTheme="minorEastAsia"/>
          <w:i/>
          <w:iCs/>
          <w:color w:val="auto"/>
        </w:rPr>
        <w:t>P</w:t>
      </w:r>
      <w:r>
        <w:rPr>
          <w:rFonts w:eastAsiaTheme="minorEastAsia"/>
          <w:color w:val="auto"/>
        </w:rPr>
        <w:t xml:space="preserve"> &lt; 0.05, </w:t>
      </w:r>
      <w:r>
        <w:rPr>
          <w:rFonts w:eastAsiaTheme="minorEastAsia"/>
          <w:color w:val="auto"/>
          <w:vertAlign w:val="superscript"/>
        </w:rPr>
        <w:t>##</w:t>
      </w:r>
      <w:r>
        <w:rPr>
          <w:rFonts w:eastAsiaTheme="minorEastAsia"/>
          <w:i/>
          <w:iCs/>
          <w:color w:val="auto"/>
        </w:rPr>
        <w:t>P</w:t>
      </w:r>
      <w:r>
        <w:rPr>
          <w:rFonts w:eastAsiaTheme="minorEastAsia"/>
          <w:color w:val="auto"/>
        </w:rPr>
        <w:t xml:space="preserve"> &lt; 0.01, </w:t>
      </w:r>
      <w:r>
        <w:rPr>
          <w:rFonts w:eastAsiaTheme="minorEastAsia"/>
          <w:color w:val="auto"/>
          <w:vertAlign w:val="superscript"/>
        </w:rPr>
        <w:t>###</w:t>
      </w:r>
      <w:r>
        <w:rPr>
          <w:rFonts w:eastAsiaTheme="minorEastAsia"/>
          <w:i/>
          <w:iCs/>
          <w:color w:val="auto"/>
        </w:rPr>
        <w:t>P</w:t>
      </w:r>
      <w:r>
        <w:rPr>
          <w:rFonts w:eastAsiaTheme="minorEastAsia"/>
          <w:color w:val="auto"/>
        </w:rPr>
        <w:t xml:space="preserve"> &lt; 0.001 vs. the GCG group</w:t>
      </w:r>
    </w:p>
    <w:p w14:paraId="2599B45B">
      <w:pPr>
        <w:widowControl/>
        <w:jc w:val="left"/>
        <w:rPr>
          <w:rFonts w:eastAsiaTheme="minorEastAsia"/>
          <w:color w:val="auto"/>
          <w:sz w:val="21"/>
          <w:szCs w:val="21"/>
        </w:rPr>
      </w:pPr>
      <w:r>
        <w:rPr>
          <w:rFonts w:eastAsiaTheme="minorEastAsia"/>
          <w:color w:val="auto"/>
          <w:sz w:val="21"/>
          <w:szCs w:val="21"/>
        </w:rPr>
        <w:br w:type="page"/>
      </w:r>
    </w:p>
    <w:p w14:paraId="2CFBEE46">
      <w:pPr>
        <w:widowControl/>
        <w:rPr>
          <w:rFonts w:eastAsiaTheme="minorEastAsia"/>
          <w:color w:val="auto"/>
          <w:sz w:val="21"/>
          <w:szCs w:val="21"/>
        </w:rPr>
      </w:pPr>
    </w:p>
    <w:p w14:paraId="14A8CA46">
      <w:pPr>
        <w:rPr>
          <w:rFonts w:eastAsia="宋体"/>
          <w:color w:val="auto"/>
          <w:sz w:val="22"/>
          <w:szCs w:val="22"/>
          <w:lang w:bidi="ar"/>
        </w:rPr>
      </w:pPr>
      <w:r>
        <w:rPr>
          <w:rFonts w:hint="eastAsia" w:eastAsia="宋体"/>
          <w:color w:val="auto"/>
          <w:sz w:val="22"/>
          <w:szCs w:val="22"/>
          <w:lang w:bidi="ar"/>
        </w:rPr>
        <w:drawing>
          <wp:inline distT="0" distB="0" distL="0" distR="0">
            <wp:extent cx="5560695" cy="2997200"/>
            <wp:effectExtent l="0" t="0" r="1905" b="0"/>
            <wp:docPr id="51653270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532703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rcRect t="389" b="389"/>
                    <a:stretch>
                      <a:fillRect/>
                    </a:stretch>
                  </pic:blipFill>
                  <pic:spPr>
                    <a:xfrm>
                      <a:off x="0" y="0"/>
                      <a:ext cx="5565431" cy="29995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D3CBA">
      <w:pPr>
        <w:widowControl/>
        <w:rPr>
          <w:b/>
          <w:bCs/>
          <w:color w:val="auto"/>
        </w:rPr>
      </w:pPr>
    </w:p>
    <w:p w14:paraId="6F00047A">
      <w:pPr>
        <w:widowControl/>
        <w:rPr>
          <w:rFonts w:eastAsia="宋体"/>
          <w:color w:val="auto"/>
          <w:lang w:bidi="ar"/>
        </w:rPr>
      </w:pPr>
      <w:r>
        <w:rPr>
          <w:b/>
          <w:bCs/>
          <w:color w:val="auto"/>
        </w:rPr>
        <w:t>Fig</w:t>
      </w:r>
      <w:r>
        <w:rPr>
          <w:rFonts w:hint="eastAsia"/>
          <w:b/>
          <w:bCs/>
          <w:color w:val="auto"/>
        </w:rPr>
        <w:t>.</w:t>
      </w:r>
      <w:r>
        <w:rPr>
          <w:b/>
          <w:bCs/>
          <w:color w:val="auto"/>
        </w:rPr>
        <w:t xml:space="preserve"> S</w:t>
      </w:r>
      <w:r>
        <w:rPr>
          <w:rFonts w:hint="eastAsia"/>
          <w:b/>
          <w:bCs/>
          <w:color w:val="auto"/>
        </w:rPr>
        <w:t>10</w:t>
      </w:r>
      <w:r>
        <w:rPr>
          <w:rFonts w:hint="eastAsia" w:eastAsiaTheme="minorEastAsia"/>
          <w:b/>
          <w:bCs/>
          <w:color w:val="auto"/>
        </w:rPr>
        <w:t xml:space="preserve"> </w:t>
      </w:r>
      <w:r>
        <w:rPr>
          <w:rFonts w:eastAsiaTheme="minorEastAsia"/>
          <w:color w:val="auto"/>
        </w:rPr>
        <w:t>PFKFB3 is expressed in Sertoli cells in mouse testis.</w:t>
      </w:r>
      <w:r>
        <w:rPr>
          <w:rFonts w:hint="eastAsia" w:eastAsia="宋体"/>
          <w:color w:val="auto"/>
          <w:lang w:bidi="ar"/>
        </w:rPr>
        <w:t xml:space="preserve"> </w:t>
      </w:r>
      <w:bookmarkStart w:id="53" w:name="OLE_LINK84"/>
      <w:r>
        <w:rPr>
          <w:rFonts w:eastAsia="宋体"/>
          <w:color w:val="auto"/>
          <w:lang w:bidi="ar"/>
        </w:rPr>
        <w:t>Testicular sections from healthy 8-week-old male C57BL/6J mice were processed for multiplex immunofluorescence staining of PFKFB3, SOX9 (</w:t>
      </w:r>
      <w:r>
        <w:rPr>
          <w:rFonts w:hint="eastAsia" w:eastAsia="宋体"/>
          <w:color w:val="auto"/>
          <w:lang w:bidi="ar"/>
        </w:rPr>
        <w:t>a</w:t>
      </w:r>
      <w:r>
        <w:rPr>
          <w:rFonts w:eastAsia="宋体"/>
          <w:color w:val="auto"/>
          <w:lang w:bidi="ar"/>
        </w:rPr>
        <w:t xml:space="preserve"> Sertoli-cell marker), and</w:t>
      </w:r>
      <w:r>
        <w:rPr>
          <w:rFonts w:hint="eastAsia" w:eastAsia="宋体"/>
          <w:color w:val="auto"/>
          <w:lang w:bidi="ar"/>
        </w:rPr>
        <w:t xml:space="preserve"> 4',6-diamidino-2-phenylindole (DAPI). </w:t>
      </w:r>
      <w:bookmarkEnd w:id="53"/>
      <w:r>
        <w:rPr>
          <w:rFonts w:hint="eastAsia" w:eastAsia="宋体"/>
          <w:color w:val="auto"/>
          <w:lang w:bidi="ar"/>
        </w:rPr>
        <w:t>Merged images show detectable PFKFB3 signals in SOX9-positive Sertoli cells within seminiferous tubules. Scale bar</w:t>
      </w:r>
      <w:r>
        <w:rPr>
          <w:rFonts w:eastAsia="宋体"/>
          <w:color w:val="auto"/>
          <w:lang w:bidi="ar"/>
        </w:rPr>
        <w:t xml:space="preserve"> = 50 μm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0303344"/>
    </w:sdtPr>
    <w:sdtContent>
      <w:p w14:paraId="7750BB48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F2DC35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hideSpellingErrors/>
  <w:hideGrammaticalErrors/>
  <w:documentProtection w:enforcement="0"/>
  <w:defaultTabStop w:val="420"/>
  <w:drawingGridHorizontalSpacing w:val="120"/>
  <w:drawingGridVerticalSpacing w:val="163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1MDNhZmE3NGM0ZTg2ODFkYzQzYWFlNTBjZTM4ZDM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311EC8"/>
    <w:rsid w:val="000014CC"/>
    <w:rsid w:val="00004185"/>
    <w:rsid w:val="00007FB7"/>
    <w:rsid w:val="00010285"/>
    <w:rsid w:val="0001065F"/>
    <w:rsid w:val="00012239"/>
    <w:rsid w:val="00013FAA"/>
    <w:rsid w:val="000146A2"/>
    <w:rsid w:val="000151AA"/>
    <w:rsid w:val="00017E0F"/>
    <w:rsid w:val="000222CB"/>
    <w:rsid w:val="00022379"/>
    <w:rsid w:val="00025982"/>
    <w:rsid w:val="00032A4E"/>
    <w:rsid w:val="0003676B"/>
    <w:rsid w:val="00042FD5"/>
    <w:rsid w:val="000432CD"/>
    <w:rsid w:val="00044970"/>
    <w:rsid w:val="000454AE"/>
    <w:rsid w:val="000463D4"/>
    <w:rsid w:val="000471BB"/>
    <w:rsid w:val="000474B3"/>
    <w:rsid w:val="00054814"/>
    <w:rsid w:val="00054E48"/>
    <w:rsid w:val="000556AA"/>
    <w:rsid w:val="00056A4A"/>
    <w:rsid w:val="00057FEE"/>
    <w:rsid w:val="00064A79"/>
    <w:rsid w:val="00066221"/>
    <w:rsid w:val="0006642F"/>
    <w:rsid w:val="00070716"/>
    <w:rsid w:val="00073A00"/>
    <w:rsid w:val="000747EC"/>
    <w:rsid w:val="000771E4"/>
    <w:rsid w:val="00081710"/>
    <w:rsid w:val="0008720E"/>
    <w:rsid w:val="00087E3B"/>
    <w:rsid w:val="0009011E"/>
    <w:rsid w:val="000947D2"/>
    <w:rsid w:val="00094C9D"/>
    <w:rsid w:val="00094EF3"/>
    <w:rsid w:val="0009589B"/>
    <w:rsid w:val="00096BC1"/>
    <w:rsid w:val="000A2391"/>
    <w:rsid w:val="000A595D"/>
    <w:rsid w:val="000A7A06"/>
    <w:rsid w:val="000B048A"/>
    <w:rsid w:val="000B0604"/>
    <w:rsid w:val="000B21E9"/>
    <w:rsid w:val="000B2630"/>
    <w:rsid w:val="000B3AFD"/>
    <w:rsid w:val="000B41B2"/>
    <w:rsid w:val="000C08E4"/>
    <w:rsid w:val="000C0908"/>
    <w:rsid w:val="000C637F"/>
    <w:rsid w:val="000C698F"/>
    <w:rsid w:val="000C7C0B"/>
    <w:rsid w:val="000D05DF"/>
    <w:rsid w:val="000D0911"/>
    <w:rsid w:val="000D1301"/>
    <w:rsid w:val="000D198F"/>
    <w:rsid w:val="000D29DD"/>
    <w:rsid w:val="000D33F7"/>
    <w:rsid w:val="000D4F98"/>
    <w:rsid w:val="000D5282"/>
    <w:rsid w:val="000D7485"/>
    <w:rsid w:val="000E0563"/>
    <w:rsid w:val="000E3974"/>
    <w:rsid w:val="000E4D86"/>
    <w:rsid w:val="000E562E"/>
    <w:rsid w:val="000E5D29"/>
    <w:rsid w:val="000E6A86"/>
    <w:rsid w:val="000E7B24"/>
    <w:rsid w:val="000F2476"/>
    <w:rsid w:val="000F3581"/>
    <w:rsid w:val="001021A1"/>
    <w:rsid w:val="0010333B"/>
    <w:rsid w:val="00105504"/>
    <w:rsid w:val="0010593C"/>
    <w:rsid w:val="00106FFF"/>
    <w:rsid w:val="00107DC4"/>
    <w:rsid w:val="001109A2"/>
    <w:rsid w:val="001116B9"/>
    <w:rsid w:val="00113AB3"/>
    <w:rsid w:val="0011482A"/>
    <w:rsid w:val="001166EF"/>
    <w:rsid w:val="001167E7"/>
    <w:rsid w:val="00123AA7"/>
    <w:rsid w:val="001246F0"/>
    <w:rsid w:val="00124961"/>
    <w:rsid w:val="00136CD9"/>
    <w:rsid w:val="001463F2"/>
    <w:rsid w:val="00150D83"/>
    <w:rsid w:val="00153C01"/>
    <w:rsid w:val="0015493E"/>
    <w:rsid w:val="00156C7A"/>
    <w:rsid w:val="00156CF1"/>
    <w:rsid w:val="0015766A"/>
    <w:rsid w:val="00161BEC"/>
    <w:rsid w:val="00161F9F"/>
    <w:rsid w:val="0016337E"/>
    <w:rsid w:val="0016761A"/>
    <w:rsid w:val="00170A0C"/>
    <w:rsid w:val="001721AF"/>
    <w:rsid w:val="00172BE9"/>
    <w:rsid w:val="001744CD"/>
    <w:rsid w:val="00174ADD"/>
    <w:rsid w:val="001771AE"/>
    <w:rsid w:val="00182CF4"/>
    <w:rsid w:val="00183FED"/>
    <w:rsid w:val="00185295"/>
    <w:rsid w:val="00185CF3"/>
    <w:rsid w:val="00187067"/>
    <w:rsid w:val="00191761"/>
    <w:rsid w:val="0019723C"/>
    <w:rsid w:val="001A19A9"/>
    <w:rsid w:val="001A1AB0"/>
    <w:rsid w:val="001A3D91"/>
    <w:rsid w:val="001A4446"/>
    <w:rsid w:val="001A6DDA"/>
    <w:rsid w:val="001A7719"/>
    <w:rsid w:val="001A7CD5"/>
    <w:rsid w:val="001B1F9E"/>
    <w:rsid w:val="001B3E80"/>
    <w:rsid w:val="001B43FF"/>
    <w:rsid w:val="001B50BB"/>
    <w:rsid w:val="001B66A4"/>
    <w:rsid w:val="001B766E"/>
    <w:rsid w:val="001C082D"/>
    <w:rsid w:val="001C2713"/>
    <w:rsid w:val="001C6AC5"/>
    <w:rsid w:val="001D1E3F"/>
    <w:rsid w:val="001D59D4"/>
    <w:rsid w:val="001D7F8B"/>
    <w:rsid w:val="001E1615"/>
    <w:rsid w:val="001E2D8D"/>
    <w:rsid w:val="001E4ABE"/>
    <w:rsid w:val="001F10BE"/>
    <w:rsid w:val="001F1128"/>
    <w:rsid w:val="001F20FE"/>
    <w:rsid w:val="001F3235"/>
    <w:rsid w:val="001F41E9"/>
    <w:rsid w:val="001F58A3"/>
    <w:rsid w:val="001F5DED"/>
    <w:rsid w:val="00201563"/>
    <w:rsid w:val="002021DA"/>
    <w:rsid w:val="002039D5"/>
    <w:rsid w:val="0020446D"/>
    <w:rsid w:val="00205C53"/>
    <w:rsid w:val="0020738D"/>
    <w:rsid w:val="00210EF7"/>
    <w:rsid w:val="00217096"/>
    <w:rsid w:val="002252AA"/>
    <w:rsid w:val="0023057A"/>
    <w:rsid w:val="0023689D"/>
    <w:rsid w:val="002416B4"/>
    <w:rsid w:val="00241927"/>
    <w:rsid w:val="00242D10"/>
    <w:rsid w:val="00243176"/>
    <w:rsid w:val="002457E4"/>
    <w:rsid w:val="00245BC2"/>
    <w:rsid w:val="0024706A"/>
    <w:rsid w:val="00250E9D"/>
    <w:rsid w:val="0025393B"/>
    <w:rsid w:val="00253C53"/>
    <w:rsid w:val="0025441B"/>
    <w:rsid w:val="0025650D"/>
    <w:rsid w:val="002569C0"/>
    <w:rsid w:val="00260529"/>
    <w:rsid w:val="00262CD9"/>
    <w:rsid w:val="00262FA9"/>
    <w:rsid w:val="002636DF"/>
    <w:rsid w:val="00263751"/>
    <w:rsid w:val="002701B1"/>
    <w:rsid w:val="00270556"/>
    <w:rsid w:val="00271283"/>
    <w:rsid w:val="00272EAA"/>
    <w:rsid w:val="00273235"/>
    <w:rsid w:val="002740F1"/>
    <w:rsid w:val="00274165"/>
    <w:rsid w:val="0027437B"/>
    <w:rsid w:val="00275359"/>
    <w:rsid w:val="0028279C"/>
    <w:rsid w:val="00286AE4"/>
    <w:rsid w:val="002902B9"/>
    <w:rsid w:val="0029032B"/>
    <w:rsid w:val="002923E8"/>
    <w:rsid w:val="00293AB6"/>
    <w:rsid w:val="00295683"/>
    <w:rsid w:val="002970E0"/>
    <w:rsid w:val="002A02D2"/>
    <w:rsid w:val="002A0A51"/>
    <w:rsid w:val="002A2DBF"/>
    <w:rsid w:val="002A3E63"/>
    <w:rsid w:val="002A4DFC"/>
    <w:rsid w:val="002A781B"/>
    <w:rsid w:val="002A7A78"/>
    <w:rsid w:val="002B1CB6"/>
    <w:rsid w:val="002B246B"/>
    <w:rsid w:val="002B2D3A"/>
    <w:rsid w:val="002B3940"/>
    <w:rsid w:val="002B6E92"/>
    <w:rsid w:val="002B7113"/>
    <w:rsid w:val="002C05B0"/>
    <w:rsid w:val="002C143D"/>
    <w:rsid w:val="002C1874"/>
    <w:rsid w:val="002C18AC"/>
    <w:rsid w:val="002C21F2"/>
    <w:rsid w:val="002C33E4"/>
    <w:rsid w:val="002C49E6"/>
    <w:rsid w:val="002C4AEE"/>
    <w:rsid w:val="002C5A91"/>
    <w:rsid w:val="002C67A5"/>
    <w:rsid w:val="002C7CD5"/>
    <w:rsid w:val="002D0B0C"/>
    <w:rsid w:val="002D10A4"/>
    <w:rsid w:val="002D35CF"/>
    <w:rsid w:val="002D61AD"/>
    <w:rsid w:val="002D6C1D"/>
    <w:rsid w:val="002D7665"/>
    <w:rsid w:val="002E04A1"/>
    <w:rsid w:val="002E63EA"/>
    <w:rsid w:val="002F1EA1"/>
    <w:rsid w:val="002F1EB4"/>
    <w:rsid w:val="002F2AE6"/>
    <w:rsid w:val="002F2D2F"/>
    <w:rsid w:val="002F586B"/>
    <w:rsid w:val="002F7772"/>
    <w:rsid w:val="002F7B65"/>
    <w:rsid w:val="00300C12"/>
    <w:rsid w:val="003020CA"/>
    <w:rsid w:val="0030334B"/>
    <w:rsid w:val="0030622D"/>
    <w:rsid w:val="0030761F"/>
    <w:rsid w:val="0031103A"/>
    <w:rsid w:val="00311EC8"/>
    <w:rsid w:val="0031523B"/>
    <w:rsid w:val="003164B2"/>
    <w:rsid w:val="00316749"/>
    <w:rsid w:val="00321A66"/>
    <w:rsid w:val="00322579"/>
    <w:rsid w:val="0032370A"/>
    <w:rsid w:val="00324118"/>
    <w:rsid w:val="00324862"/>
    <w:rsid w:val="0032519A"/>
    <w:rsid w:val="0032609C"/>
    <w:rsid w:val="00326493"/>
    <w:rsid w:val="00327987"/>
    <w:rsid w:val="00331B8D"/>
    <w:rsid w:val="00332FE7"/>
    <w:rsid w:val="00333AFA"/>
    <w:rsid w:val="003347A9"/>
    <w:rsid w:val="00337AEB"/>
    <w:rsid w:val="00340E19"/>
    <w:rsid w:val="0034256F"/>
    <w:rsid w:val="0034317D"/>
    <w:rsid w:val="00343C2E"/>
    <w:rsid w:val="003472D0"/>
    <w:rsid w:val="003474E2"/>
    <w:rsid w:val="00350635"/>
    <w:rsid w:val="00353C28"/>
    <w:rsid w:val="00353CBB"/>
    <w:rsid w:val="00353D71"/>
    <w:rsid w:val="00353F23"/>
    <w:rsid w:val="00355269"/>
    <w:rsid w:val="0036067E"/>
    <w:rsid w:val="00360E62"/>
    <w:rsid w:val="00361158"/>
    <w:rsid w:val="00361962"/>
    <w:rsid w:val="00363129"/>
    <w:rsid w:val="00370530"/>
    <w:rsid w:val="00370B46"/>
    <w:rsid w:val="00370D3C"/>
    <w:rsid w:val="0037104A"/>
    <w:rsid w:val="00371A43"/>
    <w:rsid w:val="00375D37"/>
    <w:rsid w:val="003766E6"/>
    <w:rsid w:val="00376AD3"/>
    <w:rsid w:val="00381FCB"/>
    <w:rsid w:val="00382545"/>
    <w:rsid w:val="0038404C"/>
    <w:rsid w:val="003861D9"/>
    <w:rsid w:val="00387DE8"/>
    <w:rsid w:val="00390754"/>
    <w:rsid w:val="0039251A"/>
    <w:rsid w:val="00392F74"/>
    <w:rsid w:val="00394BAB"/>
    <w:rsid w:val="0039502A"/>
    <w:rsid w:val="00396AF4"/>
    <w:rsid w:val="003A283B"/>
    <w:rsid w:val="003A2986"/>
    <w:rsid w:val="003A3408"/>
    <w:rsid w:val="003A5B30"/>
    <w:rsid w:val="003A5F9E"/>
    <w:rsid w:val="003A7CD5"/>
    <w:rsid w:val="003B06E4"/>
    <w:rsid w:val="003B076E"/>
    <w:rsid w:val="003B19A1"/>
    <w:rsid w:val="003B4886"/>
    <w:rsid w:val="003B48B7"/>
    <w:rsid w:val="003B4AC8"/>
    <w:rsid w:val="003B706D"/>
    <w:rsid w:val="003C4845"/>
    <w:rsid w:val="003C51F7"/>
    <w:rsid w:val="003C52CA"/>
    <w:rsid w:val="003C66F4"/>
    <w:rsid w:val="003C67E4"/>
    <w:rsid w:val="003C6895"/>
    <w:rsid w:val="003C7035"/>
    <w:rsid w:val="003D1B3F"/>
    <w:rsid w:val="003D29BA"/>
    <w:rsid w:val="003D50D5"/>
    <w:rsid w:val="003D5E07"/>
    <w:rsid w:val="003D69E8"/>
    <w:rsid w:val="003D7B4A"/>
    <w:rsid w:val="003E0954"/>
    <w:rsid w:val="003E09C4"/>
    <w:rsid w:val="003E2072"/>
    <w:rsid w:val="003E2183"/>
    <w:rsid w:val="003E51A2"/>
    <w:rsid w:val="003E54CD"/>
    <w:rsid w:val="003E7718"/>
    <w:rsid w:val="003F06B2"/>
    <w:rsid w:val="003F26D5"/>
    <w:rsid w:val="003F2F66"/>
    <w:rsid w:val="003F327B"/>
    <w:rsid w:val="003F458D"/>
    <w:rsid w:val="003F5B6B"/>
    <w:rsid w:val="003F70DA"/>
    <w:rsid w:val="003F744C"/>
    <w:rsid w:val="003F76C0"/>
    <w:rsid w:val="003F7A3C"/>
    <w:rsid w:val="003F7D72"/>
    <w:rsid w:val="00403BC3"/>
    <w:rsid w:val="00404337"/>
    <w:rsid w:val="00411225"/>
    <w:rsid w:val="00412413"/>
    <w:rsid w:val="0041398E"/>
    <w:rsid w:val="00415492"/>
    <w:rsid w:val="00420073"/>
    <w:rsid w:val="00422911"/>
    <w:rsid w:val="00423B15"/>
    <w:rsid w:val="004254E8"/>
    <w:rsid w:val="00426CB5"/>
    <w:rsid w:val="00426DEE"/>
    <w:rsid w:val="0042729A"/>
    <w:rsid w:val="00427ED0"/>
    <w:rsid w:val="004329BD"/>
    <w:rsid w:val="004335FF"/>
    <w:rsid w:val="00433C1E"/>
    <w:rsid w:val="004355F2"/>
    <w:rsid w:val="00436B2F"/>
    <w:rsid w:val="00436C04"/>
    <w:rsid w:val="004371CB"/>
    <w:rsid w:val="00437D02"/>
    <w:rsid w:val="0044038B"/>
    <w:rsid w:val="004412FD"/>
    <w:rsid w:val="00441668"/>
    <w:rsid w:val="00441770"/>
    <w:rsid w:val="0044675C"/>
    <w:rsid w:val="00447CA7"/>
    <w:rsid w:val="00451397"/>
    <w:rsid w:val="00452850"/>
    <w:rsid w:val="004533C4"/>
    <w:rsid w:val="004537E6"/>
    <w:rsid w:val="00455051"/>
    <w:rsid w:val="004551B2"/>
    <w:rsid w:val="00455994"/>
    <w:rsid w:val="00457FAB"/>
    <w:rsid w:val="00460F85"/>
    <w:rsid w:val="004627D3"/>
    <w:rsid w:val="00466627"/>
    <w:rsid w:val="00467B9F"/>
    <w:rsid w:val="00470E62"/>
    <w:rsid w:val="00470EC2"/>
    <w:rsid w:val="00472925"/>
    <w:rsid w:val="00474424"/>
    <w:rsid w:val="004765FF"/>
    <w:rsid w:val="00477253"/>
    <w:rsid w:val="00481368"/>
    <w:rsid w:val="004846E3"/>
    <w:rsid w:val="00485836"/>
    <w:rsid w:val="0049038E"/>
    <w:rsid w:val="00492241"/>
    <w:rsid w:val="00492444"/>
    <w:rsid w:val="0049351D"/>
    <w:rsid w:val="00494D59"/>
    <w:rsid w:val="00494F4D"/>
    <w:rsid w:val="00494F87"/>
    <w:rsid w:val="00496552"/>
    <w:rsid w:val="004972BD"/>
    <w:rsid w:val="004A3244"/>
    <w:rsid w:val="004A5900"/>
    <w:rsid w:val="004B032C"/>
    <w:rsid w:val="004B5884"/>
    <w:rsid w:val="004B7214"/>
    <w:rsid w:val="004B7FC6"/>
    <w:rsid w:val="004C5A39"/>
    <w:rsid w:val="004C5F9F"/>
    <w:rsid w:val="004D1558"/>
    <w:rsid w:val="004D1EB5"/>
    <w:rsid w:val="004D2B75"/>
    <w:rsid w:val="004D3088"/>
    <w:rsid w:val="004D5524"/>
    <w:rsid w:val="004D557F"/>
    <w:rsid w:val="004D7855"/>
    <w:rsid w:val="004E113A"/>
    <w:rsid w:val="004E30CB"/>
    <w:rsid w:val="004E36C2"/>
    <w:rsid w:val="004E4012"/>
    <w:rsid w:val="004F12BF"/>
    <w:rsid w:val="004F2D9B"/>
    <w:rsid w:val="004F626B"/>
    <w:rsid w:val="004F6CB7"/>
    <w:rsid w:val="005025C0"/>
    <w:rsid w:val="00511B18"/>
    <w:rsid w:val="00511D45"/>
    <w:rsid w:val="00511E57"/>
    <w:rsid w:val="005121A3"/>
    <w:rsid w:val="00512B10"/>
    <w:rsid w:val="005178F7"/>
    <w:rsid w:val="005218D4"/>
    <w:rsid w:val="0052247D"/>
    <w:rsid w:val="0052256D"/>
    <w:rsid w:val="005256F4"/>
    <w:rsid w:val="005257D9"/>
    <w:rsid w:val="00526E15"/>
    <w:rsid w:val="00527DDD"/>
    <w:rsid w:val="005321B4"/>
    <w:rsid w:val="0053230A"/>
    <w:rsid w:val="00542C62"/>
    <w:rsid w:val="00543238"/>
    <w:rsid w:val="0054345F"/>
    <w:rsid w:val="00544F83"/>
    <w:rsid w:val="0055103D"/>
    <w:rsid w:val="00556819"/>
    <w:rsid w:val="00556E53"/>
    <w:rsid w:val="00562F3F"/>
    <w:rsid w:val="00566B7E"/>
    <w:rsid w:val="00567E7F"/>
    <w:rsid w:val="00571C8C"/>
    <w:rsid w:val="00572A35"/>
    <w:rsid w:val="00577984"/>
    <w:rsid w:val="005907EA"/>
    <w:rsid w:val="00592AEC"/>
    <w:rsid w:val="00594758"/>
    <w:rsid w:val="00594B51"/>
    <w:rsid w:val="00597D5F"/>
    <w:rsid w:val="005A22BC"/>
    <w:rsid w:val="005A3220"/>
    <w:rsid w:val="005A35DD"/>
    <w:rsid w:val="005B0590"/>
    <w:rsid w:val="005B4E90"/>
    <w:rsid w:val="005B594B"/>
    <w:rsid w:val="005C5BB6"/>
    <w:rsid w:val="005D101D"/>
    <w:rsid w:val="005D2547"/>
    <w:rsid w:val="005D426A"/>
    <w:rsid w:val="005D584F"/>
    <w:rsid w:val="005D69D7"/>
    <w:rsid w:val="005D7BE3"/>
    <w:rsid w:val="005E12A2"/>
    <w:rsid w:val="005E181A"/>
    <w:rsid w:val="005E6044"/>
    <w:rsid w:val="005E65A3"/>
    <w:rsid w:val="005E6978"/>
    <w:rsid w:val="005E6EB2"/>
    <w:rsid w:val="005F2634"/>
    <w:rsid w:val="005F67D4"/>
    <w:rsid w:val="00600D5E"/>
    <w:rsid w:val="00602DF1"/>
    <w:rsid w:val="00602E50"/>
    <w:rsid w:val="00605D11"/>
    <w:rsid w:val="006077DA"/>
    <w:rsid w:val="00611A17"/>
    <w:rsid w:val="0061292B"/>
    <w:rsid w:val="0061377D"/>
    <w:rsid w:val="00614793"/>
    <w:rsid w:val="00622494"/>
    <w:rsid w:val="0062296C"/>
    <w:rsid w:val="006259D0"/>
    <w:rsid w:val="00627A57"/>
    <w:rsid w:val="00631935"/>
    <w:rsid w:val="00634317"/>
    <w:rsid w:val="00641119"/>
    <w:rsid w:val="00641D80"/>
    <w:rsid w:val="00643866"/>
    <w:rsid w:val="00644400"/>
    <w:rsid w:val="0064685C"/>
    <w:rsid w:val="0064716F"/>
    <w:rsid w:val="00650724"/>
    <w:rsid w:val="006515A8"/>
    <w:rsid w:val="00655410"/>
    <w:rsid w:val="00656B67"/>
    <w:rsid w:val="00657460"/>
    <w:rsid w:val="00663853"/>
    <w:rsid w:val="00666B8D"/>
    <w:rsid w:val="00666C0C"/>
    <w:rsid w:val="006711E7"/>
    <w:rsid w:val="00672F39"/>
    <w:rsid w:val="0067337B"/>
    <w:rsid w:val="006737D9"/>
    <w:rsid w:val="00674814"/>
    <w:rsid w:val="0068007E"/>
    <w:rsid w:val="00681848"/>
    <w:rsid w:val="00687375"/>
    <w:rsid w:val="00690DB8"/>
    <w:rsid w:val="00692014"/>
    <w:rsid w:val="00697BD1"/>
    <w:rsid w:val="006A103B"/>
    <w:rsid w:val="006A293E"/>
    <w:rsid w:val="006A3159"/>
    <w:rsid w:val="006A44E9"/>
    <w:rsid w:val="006A5010"/>
    <w:rsid w:val="006B1911"/>
    <w:rsid w:val="006B6B7A"/>
    <w:rsid w:val="006C132D"/>
    <w:rsid w:val="006C1ACB"/>
    <w:rsid w:val="006C2083"/>
    <w:rsid w:val="006C5DD0"/>
    <w:rsid w:val="006C5F70"/>
    <w:rsid w:val="006D0DCB"/>
    <w:rsid w:val="006D1FA5"/>
    <w:rsid w:val="006D290F"/>
    <w:rsid w:val="006D3720"/>
    <w:rsid w:val="006D3CC1"/>
    <w:rsid w:val="006D5F4D"/>
    <w:rsid w:val="006D6F2A"/>
    <w:rsid w:val="006E0636"/>
    <w:rsid w:val="006E0D39"/>
    <w:rsid w:val="006E120B"/>
    <w:rsid w:val="006E4071"/>
    <w:rsid w:val="006E410F"/>
    <w:rsid w:val="006E496B"/>
    <w:rsid w:val="006F0E6D"/>
    <w:rsid w:val="006F2C53"/>
    <w:rsid w:val="006F3E97"/>
    <w:rsid w:val="006F7D61"/>
    <w:rsid w:val="00701232"/>
    <w:rsid w:val="00706CEF"/>
    <w:rsid w:val="00706F45"/>
    <w:rsid w:val="0071061C"/>
    <w:rsid w:val="00713B1C"/>
    <w:rsid w:val="007156CA"/>
    <w:rsid w:val="0071601E"/>
    <w:rsid w:val="00720040"/>
    <w:rsid w:val="00723304"/>
    <w:rsid w:val="00732C21"/>
    <w:rsid w:val="007333D3"/>
    <w:rsid w:val="0073544C"/>
    <w:rsid w:val="00740237"/>
    <w:rsid w:val="00741553"/>
    <w:rsid w:val="00743B60"/>
    <w:rsid w:val="0075149E"/>
    <w:rsid w:val="00755DAC"/>
    <w:rsid w:val="00760696"/>
    <w:rsid w:val="00764246"/>
    <w:rsid w:val="00764910"/>
    <w:rsid w:val="00766D70"/>
    <w:rsid w:val="00771BB0"/>
    <w:rsid w:val="00773082"/>
    <w:rsid w:val="0077322B"/>
    <w:rsid w:val="007758D6"/>
    <w:rsid w:val="00776498"/>
    <w:rsid w:val="00777B67"/>
    <w:rsid w:val="007822EE"/>
    <w:rsid w:val="007844F9"/>
    <w:rsid w:val="00784C91"/>
    <w:rsid w:val="00787777"/>
    <w:rsid w:val="007900DD"/>
    <w:rsid w:val="00790787"/>
    <w:rsid w:val="00790868"/>
    <w:rsid w:val="00790A17"/>
    <w:rsid w:val="00790F75"/>
    <w:rsid w:val="00791988"/>
    <w:rsid w:val="00792CD2"/>
    <w:rsid w:val="00792F34"/>
    <w:rsid w:val="00796309"/>
    <w:rsid w:val="0079632D"/>
    <w:rsid w:val="0079716D"/>
    <w:rsid w:val="007A236C"/>
    <w:rsid w:val="007A50BA"/>
    <w:rsid w:val="007A64A2"/>
    <w:rsid w:val="007A66BB"/>
    <w:rsid w:val="007A6DFF"/>
    <w:rsid w:val="007A71C3"/>
    <w:rsid w:val="007A72D7"/>
    <w:rsid w:val="007B0B67"/>
    <w:rsid w:val="007B1174"/>
    <w:rsid w:val="007B18AF"/>
    <w:rsid w:val="007B2762"/>
    <w:rsid w:val="007B687B"/>
    <w:rsid w:val="007B6CEE"/>
    <w:rsid w:val="007C426D"/>
    <w:rsid w:val="007C43BC"/>
    <w:rsid w:val="007D6A50"/>
    <w:rsid w:val="007D6ED1"/>
    <w:rsid w:val="007D79F7"/>
    <w:rsid w:val="007E0DC1"/>
    <w:rsid w:val="007E0EA4"/>
    <w:rsid w:val="007E38E2"/>
    <w:rsid w:val="007E419A"/>
    <w:rsid w:val="007E5423"/>
    <w:rsid w:val="007F03E5"/>
    <w:rsid w:val="007F25E8"/>
    <w:rsid w:val="007F4FF8"/>
    <w:rsid w:val="007F6ACF"/>
    <w:rsid w:val="007F7C46"/>
    <w:rsid w:val="00806664"/>
    <w:rsid w:val="00810D08"/>
    <w:rsid w:val="00810E4A"/>
    <w:rsid w:val="008117B6"/>
    <w:rsid w:val="008154BD"/>
    <w:rsid w:val="00817721"/>
    <w:rsid w:val="00817AC3"/>
    <w:rsid w:val="00820AB8"/>
    <w:rsid w:val="00822C79"/>
    <w:rsid w:val="00822F12"/>
    <w:rsid w:val="0082603E"/>
    <w:rsid w:val="008309AF"/>
    <w:rsid w:val="00832B63"/>
    <w:rsid w:val="00832FA5"/>
    <w:rsid w:val="0084177B"/>
    <w:rsid w:val="00843CD4"/>
    <w:rsid w:val="008449DC"/>
    <w:rsid w:val="008478D7"/>
    <w:rsid w:val="00852C6E"/>
    <w:rsid w:val="0085305E"/>
    <w:rsid w:val="00854B76"/>
    <w:rsid w:val="00861BFE"/>
    <w:rsid w:val="008625AE"/>
    <w:rsid w:val="008635BF"/>
    <w:rsid w:val="00863BEB"/>
    <w:rsid w:val="008647C3"/>
    <w:rsid w:val="008701DB"/>
    <w:rsid w:val="0087032D"/>
    <w:rsid w:val="00872F5B"/>
    <w:rsid w:val="00875402"/>
    <w:rsid w:val="0087673C"/>
    <w:rsid w:val="008768D6"/>
    <w:rsid w:val="00884F0E"/>
    <w:rsid w:val="00886A62"/>
    <w:rsid w:val="008901D0"/>
    <w:rsid w:val="00891E8E"/>
    <w:rsid w:val="00894FA0"/>
    <w:rsid w:val="00895E3D"/>
    <w:rsid w:val="008A1C2E"/>
    <w:rsid w:val="008A4060"/>
    <w:rsid w:val="008A4AFA"/>
    <w:rsid w:val="008A4DF9"/>
    <w:rsid w:val="008A5A6D"/>
    <w:rsid w:val="008A6774"/>
    <w:rsid w:val="008B0E67"/>
    <w:rsid w:val="008B13F2"/>
    <w:rsid w:val="008B57B3"/>
    <w:rsid w:val="008C0C14"/>
    <w:rsid w:val="008C2502"/>
    <w:rsid w:val="008C411D"/>
    <w:rsid w:val="008C5F16"/>
    <w:rsid w:val="008C5F38"/>
    <w:rsid w:val="008C7FB6"/>
    <w:rsid w:val="008D0364"/>
    <w:rsid w:val="008D2CB9"/>
    <w:rsid w:val="008D4521"/>
    <w:rsid w:val="008D64E9"/>
    <w:rsid w:val="008D678E"/>
    <w:rsid w:val="008E138B"/>
    <w:rsid w:val="008E4E85"/>
    <w:rsid w:val="008E5235"/>
    <w:rsid w:val="008E5BEE"/>
    <w:rsid w:val="008E75C4"/>
    <w:rsid w:val="008F029B"/>
    <w:rsid w:val="008F4B73"/>
    <w:rsid w:val="008F7ADD"/>
    <w:rsid w:val="00901487"/>
    <w:rsid w:val="00901B50"/>
    <w:rsid w:val="009068A8"/>
    <w:rsid w:val="00907C13"/>
    <w:rsid w:val="00910939"/>
    <w:rsid w:val="00911774"/>
    <w:rsid w:val="00914B45"/>
    <w:rsid w:val="00920E55"/>
    <w:rsid w:val="0092108A"/>
    <w:rsid w:val="00921C0A"/>
    <w:rsid w:val="009223F8"/>
    <w:rsid w:val="00923B5A"/>
    <w:rsid w:val="00923E35"/>
    <w:rsid w:val="0093054C"/>
    <w:rsid w:val="00930FC6"/>
    <w:rsid w:val="00932EA6"/>
    <w:rsid w:val="00934088"/>
    <w:rsid w:val="0093602A"/>
    <w:rsid w:val="00937D05"/>
    <w:rsid w:val="009419E9"/>
    <w:rsid w:val="00944DDE"/>
    <w:rsid w:val="009458DF"/>
    <w:rsid w:val="00952F9B"/>
    <w:rsid w:val="009567D2"/>
    <w:rsid w:val="00956EB2"/>
    <w:rsid w:val="00964C8E"/>
    <w:rsid w:val="00974C7E"/>
    <w:rsid w:val="0097667F"/>
    <w:rsid w:val="00980486"/>
    <w:rsid w:val="00981492"/>
    <w:rsid w:val="00983299"/>
    <w:rsid w:val="00984598"/>
    <w:rsid w:val="009845D9"/>
    <w:rsid w:val="00986AAD"/>
    <w:rsid w:val="00995CA4"/>
    <w:rsid w:val="009968C3"/>
    <w:rsid w:val="009977C1"/>
    <w:rsid w:val="009A0F17"/>
    <w:rsid w:val="009A157E"/>
    <w:rsid w:val="009A3BE6"/>
    <w:rsid w:val="009A7134"/>
    <w:rsid w:val="009A7432"/>
    <w:rsid w:val="009A7D12"/>
    <w:rsid w:val="009B198C"/>
    <w:rsid w:val="009B4436"/>
    <w:rsid w:val="009B4E2A"/>
    <w:rsid w:val="009B577B"/>
    <w:rsid w:val="009B7A79"/>
    <w:rsid w:val="009C522C"/>
    <w:rsid w:val="009C61B8"/>
    <w:rsid w:val="009C6929"/>
    <w:rsid w:val="009C738C"/>
    <w:rsid w:val="009D05AF"/>
    <w:rsid w:val="009D0AE0"/>
    <w:rsid w:val="009D2B65"/>
    <w:rsid w:val="009D2D48"/>
    <w:rsid w:val="009D7603"/>
    <w:rsid w:val="009E2DAC"/>
    <w:rsid w:val="009E352B"/>
    <w:rsid w:val="009E5C49"/>
    <w:rsid w:val="009E69BB"/>
    <w:rsid w:val="009F02CB"/>
    <w:rsid w:val="009F258F"/>
    <w:rsid w:val="009F32D3"/>
    <w:rsid w:val="009F68F3"/>
    <w:rsid w:val="009F69E7"/>
    <w:rsid w:val="009F7EA2"/>
    <w:rsid w:val="009F7EF8"/>
    <w:rsid w:val="00A03771"/>
    <w:rsid w:val="00A04A9D"/>
    <w:rsid w:val="00A04FAE"/>
    <w:rsid w:val="00A05EF7"/>
    <w:rsid w:val="00A1097B"/>
    <w:rsid w:val="00A14860"/>
    <w:rsid w:val="00A15FD4"/>
    <w:rsid w:val="00A2000E"/>
    <w:rsid w:val="00A214C4"/>
    <w:rsid w:val="00A27053"/>
    <w:rsid w:val="00A30D47"/>
    <w:rsid w:val="00A320D2"/>
    <w:rsid w:val="00A3312B"/>
    <w:rsid w:val="00A35F3F"/>
    <w:rsid w:val="00A37C97"/>
    <w:rsid w:val="00A37F9E"/>
    <w:rsid w:val="00A422D9"/>
    <w:rsid w:val="00A42F03"/>
    <w:rsid w:val="00A42F50"/>
    <w:rsid w:val="00A4469F"/>
    <w:rsid w:val="00A449B9"/>
    <w:rsid w:val="00A449CF"/>
    <w:rsid w:val="00A4554C"/>
    <w:rsid w:val="00A45CDD"/>
    <w:rsid w:val="00A47362"/>
    <w:rsid w:val="00A519C8"/>
    <w:rsid w:val="00A607A6"/>
    <w:rsid w:val="00A62FE6"/>
    <w:rsid w:val="00A6332C"/>
    <w:rsid w:val="00A659A5"/>
    <w:rsid w:val="00A674E4"/>
    <w:rsid w:val="00A701A9"/>
    <w:rsid w:val="00A702D5"/>
    <w:rsid w:val="00A70E0B"/>
    <w:rsid w:val="00A72073"/>
    <w:rsid w:val="00A74FB4"/>
    <w:rsid w:val="00A86380"/>
    <w:rsid w:val="00A86A6D"/>
    <w:rsid w:val="00A9046E"/>
    <w:rsid w:val="00A948CB"/>
    <w:rsid w:val="00A953AD"/>
    <w:rsid w:val="00A96E68"/>
    <w:rsid w:val="00A97952"/>
    <w:rsid w:val="00AA23AE"/>
    <w:rsid w:val="00AA258F"/>
    <w:rsid w:val="00AA440A"/>
    <w:rsid w:val="00AB11E1"/>
    <w:rsid w:val="00AB1922"/>
    <w:rsid w:val="00AB1E22"/>
    <w:rsid w:val="00AB33C3"/>
    <w:rsid w:val="00AB426D"/>
    <w:rsid w:val="00AB4B1E"/>
    <w:rsid w:val="00AB5559"/>
    <w:rsid w:val="00AC059E"/>
    <w:rsid w:val="00AC0D4F"/>
    <w:rsid w:val="00AD43F9"/>
    <w:rsid w:val="00AD7916"/>
    <w:rsid w:val="00AE1301"/>
    <w:rsid w:val="00AE2A42"/>
    <w:rsid w:val="00AE2E5A"/>
    <w:rsid w:val="00AE3C25"/>
    <w:rsid w:val="00AE4689"/>
    <w:rsid w:val="00AE4BB5"/>
    <w:rsid w:val="00AE4E5F"/>
    <w:rsid w:val="00AF31DA"/>
    <w:rsid w:val="00AF34C8"/>
    <w:rsid w:val="00AF5751"/>
    <w:rsid w:val="00AF6273"/>
    <w:rsid w:val="00B04CD9"/>
    <w:rsid w:val="00B101B7"/>
    <w:rsid w:val="00B10538"/>
    <w:rsid w:val="00B13448"/>
    <w:rsid w:val="00B13B24"/>
    <w:rsid w:val="00B14547"/>
    <w:rsid w:val="00B14CA0"/>
    <w:rsid w:val="00B159CE"/>
    <w:rsid w:val="00B15AF7"/>
    <w:rsid w:val="00B15C22"/>
    <w:rsid w:val="00B16AB9"/>
    <w:rsid w:val="00B17055"/>
    <w:rsid w:val="00B173B7"/>
    <w:rsid w:val="00B24A37"/>
    <w:rsid w:val="00B251A9"/>
    <w:rsid w:val="00B26FA4"/>
    <w:rsid w:val="00B321EF"/>
    <w:rsid w:val="00B343FE"/>
    <w:rsid w:val="00B40464"/>
    <w:rsid w:val="00B43905"/>
    <w:rsid w:val="00B44FD0"/>
    <w:rsid w:val="00B45CD3"/>
    <w:rsid w:val="00B475FB"/>
    <w:rsid w:val="00B5072C"/>
    <w:rsid w:val="00B53086"/>
    <w:rsid w:val="00B53AAC"/>
    <w:rsid w:val="00B53D1D"/>
    <w:rsid w:val="00B546D4"/>
    <w:rsid w:val="00B57081"/>
    <w:rsid w:val="00B57C8D"/>
    <w:rsid w:val="00B678BF"/>
    <w:rsid w:val="00B67C78"/>
    <w:rsid w:val="00B709A4"/>
    <w:rsid w:val="00B70CD2"/>
    <w:rsid w:val="00B71A80"/>
    <w:rsid w:val="00B7305C"/>
    <w:rsid w:val="00B744A2"/>
    <w:rsid w:val="00B76143"/>
    <w:rsid w:val="00B7724E"/>
    <w:rsid w:val="00B816BF"/>
    <w:rsid w:val="00B81ABA"/>
    <w:rsid w:val="00B83D6F"/>
    <w:rsid w:val="00B86F70"/>
    <w:rsid w:val="00B87404"/>
    <w:rsid w:val="00B94600"/>
    <w:rsid w:val="00BA153A"/>
    <w:rsid w:val="00BA1905"/>
    <w:rsid w:val="00BA396B"/>
    <w:rsid w:val="00BA50CF"/>
    <w:rsid w:val="00BA6931"/>
    <w:rsid w:val="00BB0B3E"/>
    <w:rsid w:val="00BB1501"/>
    <w:rsid w:val="00BB1D33"/>
    <w:rsid w:val="00BB557F"/>
    <w:rsid w:val="00BC2DBF"/>
    <w:rsid w:val="00BC74F7"/>
    <w:rsid w:val="00BD4524"/>
    <w:rsid w:val="00BD52D0"/>
    <w:rsid w:val="00BD5CAA"/>
    <w:rsid w:val="00BE371F"/>
    <w:rsid w:val="00BE6417"/>
    <w:rsid w:val="00BF50DC"/>
    <w:rsid w:val="00BF6079"/>
    <w:rsid w:val="00C029E5"/>
    <w:rsid w:val="00C0342D"/>
    <w:rsid w:val="00C04CD5"/>
    <w:rsid w:val="00C066A6"/>
    <w:rsid w:val="00C127B6"/>
    <w:rsid w:val="00C14C0F"/>
    <w:rsid w:val="00C17141"/>
    <w:rsid w:val="00C2234F"/>
    <w:rsid w:val="00C22867"/>
    <w:rsid w:val="00C26CD4"/>
    <w:rsid w:val="00C31237"/>
    <w:rsid w:val="00C345B8"/>
    <w:rsid w:val="00C35779"/>
    <w:rsid w:val="00C3593C"/>
    <w:rsid w:val="00C36BAD"/>
    <w:rsid w:val="00C41EF8"/>
    <w:rsid w:val="00C42353"/>
    <w:rsid w:val="00C42C2B"/>
    <w:rsid w:val="00C46512"/>
    <w:rsid w:val="00C517BE"/>
    <w:rsid w:val="00C52AB3"/>
    <w:rsid w:val="00C53108"/>
    <w:rsid w:val="00C56729"/>
    <w:rsid w:val="00C57D41"/>
    <w:rsid w:val="00C6043D"/>
    <w:rsid w:val="00C6101B"/>
    <w:rsid w:val="00C62A70"/>
    <w:rsid w:val="00C64024"/>
    <w:rsid w:val="00C64D77"/>
    <w:rsid w:val="00C739B2"/>
    <w:rsid w:val="00C73C49"/>
    <w:rsid w:val="00C7404A"/>
    <w:rsid w:val="00C74F93"/>
    <w:rsid w:val="00C75C1F"/>
    <w:rsid w:val="00C83616"/>
    <w:rsid w:val="00C84F9D"/>
    <w:rsid w:val="00C90FD2"/>
    <w:rsid w:val="00C9206D"/>
    <w:rsid w:val="00C93244"/>
    <w:rsid w:val="00C93B07"/>
    <w:rsid w:val="00C96C9D"/>
    <w:rsid w:val="00C96D99"/>
    <w:rsid w:val="00C97930"/>
    <w:rsid w:val="00C97E63"/>
    <w:rsid w:val="00CA2743"/>
    <w:rsid w:val="00CA519D"/>
    <w:rsid w:val="00CA6B29"/>
    <w:rsid w:val="00CB0985"/>
    <w:rsid w:val="00CB1848"/>
    <w:rsid w:val="00CB18C2"/>
    <w:rsid w:val="00CC1FC5"/>
    <w:rsid w:val="00CC2469"/>
    <w:rsid w:val="00CC4BC0"/>
    <w:rsid w:val="00CC763C"/>
    <w:rsid w:val="00CC7907"/>
    <w:rsid w:val="00CD0164"/>
    <w:rsid w:val="00CD0A16"/>
    <w:rsid w:val="00CD5EEF"/>
    <w:rsid w:val="00CD76F0"/>
    <w:rsid w:val="00CD78DC"/>
    <w:rsid w:val="00CE0D45"/>
    <w:rsid w:val="00CE0FAC"/>
    <w:rsid w:val="00CE1818"/>
    <w:rsid w:val="00CE252F"/>
    <w:rsid w:val="00CE72C5"/>
    <w:rsid w:val="00CE79BD"/>
    <w:rsid w:val="00CF2166"/>
    <w:rsid w:val="00CF56F2"/>
    <w:rsid w:val="00CF5B00"/>
    <w:rsid w:val="00CF675F"/>
    <w:rsid w:val="00CF6C28"/>
    <w:rsid w:val="00D0220A"/>
    <w:rsid w:val="00D02C34"/>
    <w:rsid w:val="00D12DE0"/>
    <w:rsid w:val="00D14E5B"/>
    <w:rsid w:val="00D212D3"/>
    <w:rsid w:val="00D24DAF"/>
    <w:rsid w:val="00D35FC1"/>
    <w:rsid w:val="00D372AB"/>
    <w:rsid w:val="00D400D5"/>
    <w:rsid w:val="00D43D56"/>
    <w:rsid w:val="00D441B2"/>
    <w:rsid w:val="00D4432B"/>
    <w:rsid w:val="00D44764"/>
    <w:rsid w:val="00D46ABB"/>
    <w:rsid w:val="00D470C2"/>
    <w:rsid w:val="00D470E4"/>
    <w:rsid w:val="00D55431"/>
    <w:rsid w:val="00D56022"/>
    <w:rsid w:val="00D606DD"/>
    <w:rsid w:val="00D611F4"/>
    <w:rsid w:val="00D61AF6"/>
    <w:rsid w:val="00D65EBB"/>
    <w:rsid w:val="00D679EC"/>
    <w:rsid w:val="00D7027C"/>
    <w:rsid w:val="00D70384"/>
    <w:rsid w:val="00D734D2"/>
    <w:rsid w:val="00D73A3E"/>
    <w:rsid w:val="00D83C5F"/>
    <w:rsid w:val="00D844E7"/>
    <w:rsid w:val="00D8578D"/>
    <w:rsid w:val="00D87CE4"/>
    <w:rsid w:val="00D91C7D"/>
    <w:rsid w:val="00D9278B"/>
    <w:rsid w:val="00D93D52"/>
    <w:rsid w:val="00D97A24"/>
    <w:rsid w:val="00D97F19"/>
    <w:rsid w:val="00DA0725"/>
    <w:rsid w:val="00DA2E8A"/>
    <w:rsid w:val="00DA43E5"/>
    <w:rsid w:val="00DA6133"/>
    <w:rsid w:val="00DB2C00"/>
    <w:rsid w:val="00DB2E63"/>
    <w:rsid w:val="00DB78A4"/>
    <w:rsid w:val="00DC04AA"/>
    <w:rsid w:val="00DC3118"/>
    <w:rsid w:val="00DD0632"/>
    <w:rsid w:val="00DD1252"/>
    <w:rsid w:val="00DD445C"/>
    <w:rsid w:val="00DD72BC"/>
    <w:rsid w:val="00DE0C4B"/>
    <w:rsid w:val="00DE18CC"/>
    <w:rsid w:val="00DE5D37"/>
    <w:rsid w:val="00DF3FE9"/>
    <w:rsid w:val="00DF45B9"/>
    <w:rsid w:val="00DF71B2"/>
    <w:rsid w:val="00DF7608"/>
    <w:rsid w:val="00E00E52"/>
    <w:rsid w:val="00E04EE2"/>
    <w:rsid w:val="00E05618"/>
    <w:rsid w:val="00E05620"/>
    <w:rsid w:val="00E05ECD"/>
    <w:rsid w:val="00E063B2"/>
    <w:rsid w:val="00E06A89"/>
    <w:rsid w:val="00E07B3C"/>
    <w:rsid w:val="00E13699"/>
    <w:rsid w:val="00E1477F"/>
    <w:rsid w:val="00E15330"/>
    <w:rsid w:val="00E237FD"/>
    <w:rsid w:val="00E310C9"/>
    <w:rsid w:val="00E32C44"/>
    <w:rsid w:val="00E356F8"/>
    <w:rsid w:val="00E35EE2"/>
    <w:rsid w:val="00E42935"/>
    <w:rsid w:val="00E43DFE"/>
    <w:rsid w:val="00E44F95"/>
    <w:rsid w:val="00E4523A"/>
    <w:rsid w:val="00E462C8"/>
    <w:rsid w:val="00E52939"/>
    <w:rsid w:val="00E53702"/>
    <w:rsid w:val="00E5441E"/>
    <w:rsid w:val="00E5463B"/>
    <w:rsid w:val="00E55706"/>
    <w:rsid w:val="00E60B73"/>
    <w:rsid w:val="00E625E3"/>
    <w:rsid w:val="00E62AA2"/>
    <w:rsid w:val="00E632B9"/>
    <w:rsid w:val="00E64588"/>
    <w:rsid w:val="00E66950"/>
    <w:rsid w:val="00E7424D"/>
    <w:rsid w:val="00E76462"/>
    <w:rsid w:val="00E76FDF"/>
    <w:rsid w:val="00E807C7"/>
    <w:rsid w:val="00E80A7E"/>
    <w:rsid w:val="00E821FE"/>
    <w:rsid w:val="00E82EE6"/>
    <w:rsid w:val="00E82F62"/>
    <w:rsid w:val="00E879AE"/>
    <w:rsid w:val="00E91491"/>
    <w:rsid w:val="00E9300A"/>
    <w:rsid w:val="00E94617"/>
    <w:rsid w:val="00E94C11"/>
    <w:rsid w:val="00EA09F7"/>
    <w:rsid w:val="00EA39FF"/>
    <w:rsid w:val="00EA3F0B"/>
    <w:rsid w:val="00EA5BC0"/>
    <w:rsid w:val="00EA6733"/>
    <w:rsid w:val="00EB04BE"/>
    <w:rsid w:val="00EB13F0"/>
    <w:rsid w:val="00EB1659"/>
    <w:rsid w:val="00EB195A"/>
    <w:rsid w:val="00EB2067"/>
    <w:rsid w:val="00EB357D"/>
    <w:rsid w:val="00EB45DE"/>
    <w:rsid w:val="00EB73F3"/>
    <w:rsid w:val="00EB7F56"/>
    <w:rsid w:val="00EC00D5"/>
    <w:rsid w:val="00EC0763"/>
    <w:rsid w:val="00EC1310"/>
    <w:rsid w:val="00EC15A0"/>
    <w:rsid w:val="00EC3866"/>
    <w:rsid w:val="00EC3CDB"/>
    <w:rsid w:val="00EC4EE0"/>
    <w:rsid w:val="00EC607B"/>
    <w:rsid w:val="00EC6FF3"/>
    <w:rsid w:val="00ED08B6"/>
    <w:rsid w:val="00ED4BCB"/>
    <w:rsid w:val="00ED6A6C"/>
    <w:rsid w:val="00EE10FB"/>
    <w:rsid w:val="00EE48AB"/>
    <w:rsid w:val="00EE5CDF"/>
    <w:rsid w:val="00EF06AF"/>
    <w:rsid w:val="00EF1203"/>
    <w:rsid w:val="00EF217F"/>
    <w:rsid w:val="00EF37E8"/>
    <w:rsid w:val="00EF37EF"/>
    <w:rsid w:val="00F01822"/>
    <w:rsid w:val="00F01FE7"/>
    <w:rsid w:val="00F02318"/>
    <w:rsid w:val="00F04B8D"/>
    <w:rsid w:val="00F05145"/>
    <w:rsid w:val="00F11810"/>
    <w:rsid w:val="00F143C9"/>
    <w:rsid w:val="00F15B6E"/>
    <w:rsid w:val="00F204B5"/>
    <w:rsid w:val="00F22177"/>
    <w:rsid w:val="00F25898"/>
    <w:rsid w:val="00F258FD"/>
    <w:rsid w:val="00F33CB4"/>
    <w:rsid w:val="00F3460F"/>
    <w:rsid w:val="00F34C8F"/>
    <w:rsid w:val="00F35DF1"/>
    <w:rsid w:val="00F364FF"/>
    <w:rsid w:val="00F36A89"/>
    <w:rsid w:val="00F46BA4"/>
    <w:rsid w:val="00F47BEC"/>
    <w:rsid w:val="00F52667"/>
    <w:rsid w:val="00F537AA"/>
    <w:rsid w:val="00F53FC0"/>
    <w:rsid w:val="00F56D0C"/>
    <w:rsid w:val="00F64204"/>
    <w:rsid w:val="00F64BBC"/>
    <w:rsid w:val="00F66EE8"/>
    <w:rsid w:val="00F707D8"/>
    <w:rsid w:val="00F731DC"/>
    <w:rsid w:val="00F735CA"/>
    <w:rsid w:val="00F76E07"/>
    <w:rsid w:val="00F77B03"/>
    <w:rsid w:val="00F81DC4"/>
    <w:rsid w:val="00F83426"/>
    <w:rsid w:val="00F8366B"/>
    <w:rsid w:val="00F83B42"/>
    <w:rsid w:val="00F860A0"/>
    <w:rsid w:val="00F87FD2"/>
    <w:rsid w:val="00F9211A"/>
    <w:rsid w:val="00F94D28"/>
    <w:rsid w:val="00FA0FC6"/>
    <w:rsid w:val="00FA6652"/>
    <w:rsid w:val="00FA6A52"/>
    <w:rsid w:val="00FB0F63"/>
    <w:rsid w:val="00FB2618"/>
    <w:rsid w:val="00FB348A"/>
    <w:rsid w:val="00FB5356"/>
    <w:rsid w:val="00FB5989"/>
    <w:rsid w:val="00FB687F"/>
    <w:rsid w:val="00FB6D3B"/>
    <w:rsid w:val="00FB7FDA"/>
    <w:rsid w:val="00FC4802"/>
    <w:rsid w:val="00FC6A2C"/>
    <w:rsid w:val="00FD5E85"/>
    <w:rsid w:val="00FE5ABA"/>
    <w:rsid w:val="00FF4115"/>
    <w:rsid w:val="00FF52EC"/>
    <w:rsid w:val="049727D9"/>
    <w:rsid w:val="06824DC3"/>
    <w:rsid w:val="093A1985"/>
    <w:rsid w:val="0A03621B"/>
    <w:rsid w:val="0CDF2F6F"/>
    <w:rsid w:val="0D4234FE"/>
    <w:rsid w:val="0F9A317D"/>
    <w:rsid w:val="10064D7E"/>
    <w:rsid w:val="10CF02B4"/>
    <w:rsid w:val="133D09EF"/>
    <w:rsid w:val="15962639"/>
    <w:rsid w:val="15B036FB"/>
    <w:rsid w:val="196B5E3A"/>
    <w:rsid w:val="1AC83294"/>
    <w:rsid w:val="1F1A7256"/>
    <w:rsid w:val="21535882"/>
    <w:rsid w:val="223B07F0"/>
    <w:rsid w:val="227D68B2"/>
    <w:rsid w:val="27F751B9"/>
    <w:rsid w:val="291D0C4F"/>
    <w:rsid w:val="2B936FA7"/>
    <w:rsid w:val="2FB7522E"/>
    <w:rsid w:val="346911EC"/>
    <w:rsid w:val="355B3E13"/>
    <w:rsid w:val="38635F53"/>
    <w:rsid w:val="3B1B2B15"/>
    <w:rsid w:val="3B88430F"/>
    <w:rsid w:val="3E0C2BE9"/>
    <w:rsid w:val="40EA6463"/>
    <w:rsid w:val="442944F4"/>
    <w:rsid w:val="4B8B15F1"/>
    <w:rsid w:val="4C2F6420"/>
    <w:rsid w:val="4DEF4BCB"/>
    <w:rsid w:val="51475FBA"/>
    <w:rsid w:val="52E837CD"/>
    <w:rsid w:val="52FF02F1"/>
    <w:rsid w:val="59341153"/>
    <w:rsid w:val="5CA01246"/>
    <w:rsid w:val="5CD1707F"/>
    <w:rsid w:val="5CF76AE6"/>
    <w:rsid w:val="5DD9443E"/>
    <w:rsid w:val="611A0FF5"/>
    <w:rsid w:val="6166423A"/>
    <w:rsid w:val="61FC694D"/>
    <w:rsid w:val="646C600B"/>
    <w:rsid w:val="64E04304"/>
    <w:rsid w:val="65A6554D"/>
    <w:rsid w:val="6C727F37"/>
    <w:rsid w:val="6E6F53F8"/>
    <w:rsid w:val="721101F2"/>
    <w:rsid w:val="728564EA"/>
    <w:rsid w:val="734E2D80"/>
    <w:rsid w:val="759929D8"/>
    <w:rsid w:val="76E23F0B"/>
    <w:rsid w:val="77E040F9"/>
    <w:rsid w:val="79F8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等线" w:cs="Times New Roman"/>
      <w:color w:val="000000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qFormat/>
    <w:uiPriority w:val="0"/>
    <w:pPr>
      <w:jc w:val="left"/>
    </w:p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7"/>
    <w:qFormat/>
    <w:uiPriority w:val="0"/>
    <w:rPr>
      <w:b/>
      <w:bCs/>
    </w:rPr>
  </w:style>
  <w:style w:type="table" w:styleId="7">
    <w:name w:val="Table Grid"/>
    <w:basedOn w:val="6"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rFonts w:ascii="Times New Roman" w:hAnsi="Times New Roman" w:eastAsia="Times New Roman" w:cs="Times New Roman"/>
      <w:b/>
      <w:bCs/>
    </w:rPr>
  </w:style>
  <w:style w:type="character" w:styleId="10">
    <w:name w:val="line number"/>
    <w:basedOn w:val="8"/>
    <w:qFormat/>
    <w:uiPriority w:val="0"/>
  </w:style>
  <w:style w:type="character" w:styleId="11">
    <w:name w:val="annotation reference"/>
    <w:basedOn w:val="8"/>
    <w:qFormat/>
    <w:uiPriority w:val="0"/>
    <w:rPr>
      <w:sz w:val="21"/>
      <w:szCs w:val="21"/>
    </w:rPr>
  </w:style>
  <w:style w:type="character" w:customStyle="1" w:styleId="12">
    <w:name w:val="页眉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修订1"/>
    <w:hidden/>
    <w:unhideWhenUsed/>
    <w:qFormat/>
    <w:uiPriority w:val="99"/>
    <w:rPr>
      <w:rFonts w:eastAsia="Times New Roman" w:asciiTheme="minorHAnsi" w:hAnsiTheme="minorHAnsi" w:cstheme="minorBidi"/>
      <w:color w:val="000000"/>
      <w:kern w:val="2"/>
      <w:sz w:val="21"/>
      <w:szCs w:val="24"/>
      <w:lang w:val="en-US" w:eastAsia="zh-CN" w:bidi="ar-SA"/>
    </w:rPr>
  </w:style>
  <w:style w:type="character" w:customStyle="1" w:styleId="16">
    <w:name w:val="批注文字 字符"/>
    <w:basedOn w:val="8"/>
    <w:link w:val="2"/>
    <w:qFormat/>
    <w:uiPriority w:val="0"/>
    <w:rPr>
      <w:rFonts w:eastAsia="Times New Roman" w:asciiTheme="minorHAnsi" w:hAnsiTheme="minorHAnsi" w:cstheme="minorBidi"/>
      <w:kern w:val="2"/>
      <w:sz w:val="21"/>
      <w:szCs w:val="24"/>
    </w:rPr>
  </w:style>
  <w:style w:type="character" w:customStyle="1" w:styleId="17">
    <w:name w:val="批注主题 字符"/>
    <w:basedOn w:val="16"/>
    <w:link w:val="5"/>
    <w:qFormat/>
    <w:uiPriority w:val="0"/>
    <w:rPr>
      <w:rFonts w:eastAsia="Times New Roman" w:asciiTheme="minorHAnsi" w:hAnsiTheme="minorHAnsi" w:cstheme="minorBidi"/>
      <w:b/>
      <w:bCs/>
      <w:kern w:val="2"/>
      <w:sz w:val="21"/>
      <w:szCs w:val="24"/>
    </w:rPr>
  </w:style>
  <w:style w:type="paragraph" w:customStyle="1" w:styleId="18">
    <w:name w:val="修订2"/>
    <w:hidden/>
    <w:unhideWhenUsed/>
    <w:qFormat/>
    <w:uiPriority w:val="99"/>
    <w:rPr>
      <w:rFonts w:ascii="Times New Roman" w:hAnsi="Times New Roman" w:eastAsia="等线" w:cs="Times New Roman"/>
      <w:color w:val="000000"/>
      <w:sz w:val="24"/>
      <w:szCs w:val="24"/>
      <w:lang w:val="en-US" w:eastAsia="zh-CN" w:bidi="ar-SA"/>
    </w:rPr>
  </w:style>
  <w:style w:type="paragraph" w:customStyle="1" w:styleId="19">
    <w:name w:val="修订3"/>
    <w:hidden/>
    <w:unhideWhenUsed/>
    <w:qFormat/>
    <w:uiPriority w:val="99"/>
    <w:rPr>
      <w:rFonts w:ascii="Times New Roman" w:hAnsi="Times New Roman" w:eastAsia="等线" w:cs="Times New Roman"/>
      <w:color w:val="000000"/>
      <w:sz w:val="24"/>
      <w:szCs w:val="24"/>
      <w:lang w:val="en-US" w:eastAsia="zh-CN" w:bidi="ar-SA"/>
    </w:rPr>
  </w:style>
  <w:style w:type="paragraph" w:customStyle="1" w:styleId="20">
    <w:name w:val="修订4"/>
    <w:hidden/>
    <w:unhideWhenUsed/>
    <w:qFormat/>
    <w:uiPriority w:val="99"/>
    <w:rPr>
      <w:rFonts w:ascii="Times New Roman" w:hAnsi="Times New Roman" w:eastAsia="等线" w:cs="Times New Roman"/>
      <w:color w:val="000000"/>
      <w:sz w:val="24"/>
      <w:szCs w:val="24"/>
      <w:lang w:val="en-US" w:eastAsia="zh-CN" w:bidi="ar-SA"/>
    </w:rPr>
  </w:style>
  <w:style w:type="paragraph" w:customStyle="1" w:styleId="21">
    <w:name w:val="修订5"/>
    <w:hidden/>
    <w:unhideWhenUsed/>
    <w:qFormat/>
    <w:uiPriority w:val="99"/>
    <w:rPr>
      <w:rFonts w:ascii="Times New Roman" w:hAnsi="Times New Roman" w:eastAsia="等线" w:cs="Times New Roman"/>
      <w:color w:val="000000"/>
      <w:sz w:val="24"/>
      <w:szCs w:val="24"/>
      <w:lang w:val="en-US" w:eastAsia="zh-CN" w:bidi="ar-SA"/>
    </w:rPr>
  </w:style>
  <w:style w:type="paragraph" w:customStyle="1" w:styleId="22">
    <w:name w:val="Revision"/>
    <w:hidden/>
    <w:unhideWhenUsed/>
    <w:qFormat/>
    <w:uiPriority w:val="99"/>
    <w:rPr>
      <w:rFonts w:ascii="Times New Roman" w:hAnsi="Times New Roman" w:eastAsia="等线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tiff"/><Relationship Id="rId12" Type="http://schemas.openxmlformats.org/officeDocument/2006/relationships/image" Target="media/image8.tiff"/><Relationship Id="rId11" Type="http://schemas.openxmlformats.org/officeDocument/2006/relationships/image" Target="media/image7.tiff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84D08E-1A75-9440-8B05-AD0FB06DE0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1552</Words>
  <Characters>10054</Characters>
  <Lines>575</Lines>
  <Paragraphs>452</Paragraphs>
  <TotalTime>34</TotalTime>
  <ScaleCrop>false</ScaleCrop>
  <LinksUpToDate>false</LinksUpToDate>
  <CharactersWithSpaces>11252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2026-07-09T10:53:00Z</dcterms:created>
  <dc:creator>DELL</dc:creator>
  <cp:lastModifiedBy>早睡早起夏开心</cp:lastModifiedBy>
  <dcterms:modified xsi:type="dcterms:W3CDTF">2026-07-09T11:41:00Z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0E9CD4D70DC1495184AA098BABE4CD34_13</vt:lpwstr>
  </property>
  <property fmtid="{D5CDD505-2E9C-101B-9397-08002B2CF9AE}" pid="4" name="KSOTemplateDocerSaveRecord">
    <vt:lpwstr>eyJoZGlkIjoiODk1MDNhZmE3NGM0ZTg2ODFkYzQzYWFlNTBjZTM4ZDMiLCJ1c2VySWQiOiIzNjI5Nzc0MDIifQ==</vt:lpwstr>
  </property>
</Properties>
</file>