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9F31D7">
      <w:pPr>
        <w:rPr>
          <w:rFonts w:hint="default" w:ascii="Times New Roman" w:hAnsi="Times New Roman" w:cs="Times New Roman"/>
          <w:b/>
          <w:bCs/>
          <w:sz w:val="22"/>
          <w:szCs w:val="24"/>
          <w:lang w:val="en-US" w:eastAsia="zh-CN"/>
        </w:rPr>
      </w:pPr>
      <w:r>
        <w:rPr>
          <w:rFonts w:hint="default" w:ascii="Times New Roman" w:hAnsi="Times New Roman" w:cs="Times New Roman"/>
          <w:b/>
          <w:bCs/>
          <w:sz w:val="22"/>
          <w:szCs w:val="24"/>
          <w:lang w:val="en-US" w:eastAsia="zh-CN"/>
        </w:rPr>
        <w:t xml:space="preserve">Supplementary </w:t>
      </w:r>
      <w:r>
        <w:rPr>
          <w:rFonts w:hint="eastAsia" w:ascii="Times New Roman" w:hAnsi="Times New Roman" w:cs="Times New Roman"/>
          <w:b/>
          <w:bCs/>
          <w:sz w:val="22"/>
          <w:szCs w:val="24"/>
          <w:lang w:val="en-US" w:eastAsia="zh-CN"/>
        </w:rPr>
        <w:t>Figure Legends</w:t>
      </w:r>
      <w:bookmarkStart w:id="0" w:name="_GoBack"/>
      <w:bookmarkEnd w:id="0"/>
    </w:p>
    <w:p w14:paraId="74E3BE37">
      <w:pPr>
        <w:rPr>
          <w:rFonts w:hint="default" w:ascii="Times New Roman" w:hAnsi="Times New Roman" w:eastAsia="Helvetica" w:cs="Times New Roman"/>
          <w:sz w:val="22"/>
          <w:szCs w:val="24"/>
        </w:rPr>
      </w:pPr>
      <w:r>
        <w:rPr>
          <w:rFonts w:hint="default" w:ascii="Times New Roman" w:hAnsi="Times New Roman" w:cs="Times New Roman"/>
          <w:b/>
          <w:bCs/>
          <w:sz w:val="22"/>
          <w:szCs w:val="24"/>
          <w:lang w:val="en-US" w:eastAsia="zh-CN"/>
        </w:rPr>
        <w:t>Fig. S1</w:t>
      </w:r>
      <w:r>
        <w:rPr>
          <w:rFonts w:hint="default" w:ascii="Times New Roman" w:hAnsi="Times New Roman" w:cs="Times New Roman"/>
          <w:sz w:val="22"/>
          <w:szCs w:val="24"/>
          <w:lang w:val="en-US" w:eastAsia="zh-CN"/>
        </w:rPr>
        <w:t xml:space="preserve"> </w:t>
      </w:r>
      <w:r>
        <w:rPr>
          <w:rFonts w:hint="default" w:ascii="Times New Roman" w:hAnsi="Times New Roman" w:eastAsia="Helvetica" w:cs="Times New Roman"/>
          <w:sz w:val="22"/>
          <w:szCs w:val="24"/>
        </w:rPr>
        <w:t>Representative data from CalcuSyn software used to define the synergic concentrations of JJH201601 and TMZ in LN229 (A) and glioma-zzg01 (B) glioma cells. Left panels report thec CI-Fa plot in which values for synergistic concentrations of JJH201601 and TMZ are illustrated; arrows point to the synergic combinations selected for the experiments in the two cell lines. The right tables report the most representative values of JJH201601 and TMZ concentrations and combination ratios (CR), faction affected (Fa) and combination index (CI) from which the left plots are obtained.</w:t>
      </w:r>
    </w:p>
    <w:p w14:paraId="7AAF1C97">
      <w:pPr>
        <w:rPr>
          <w:rFonts w:hint="default" w:ascii="Times New Roman" w:hAnsi="Times New Roman" w:eastAsia="宋体" w:cs="Times New Roman"/>
          <w:sz w:val="22"/>
          <w:szCs w:val="24"/>
          <w:lang w:val="en-US" w:eastAsia="zh-CN"/>
        </w:rPr>
      </w:pPr>
      <w:r>
        <w:rPr>
          <w:rFonts w:hint="default" w:ascii="Times New Roman" w:hAnsi="Times New Roman" w:cs="Times New Roman"/>
          <w:b/>
          <w:bCs/>
          <w:sz w:val="22"/>
          <w:szCs w:val="24"/>
          <w:lang w:val="en-US" w:eastAsia="zh-CN"/>
        </w:rPr>
        <w:t>Fig. S</w:t>
      </w:r>
      <w:r>
        <w:rPr>
          <w:rFonts w:hint="eastAsia" w:ascii="Times New Roman" w:hAnsi="Times New Roman" w:cs="Times New Roman"/>
          <w:b/>
          <w:bCs/>
          <w:sz w:val="22"/>
          <w:szCs w:val="24"/>
          <w:lang w:val="en-US" w:eastAsia="zh-CN"/>
        </w:rPr>
        <w:t>2</w:t>
      </w:r>
      <w:r>
        <w:rPr>
          <w:rFonts w:hint="default" w:ascii="Times New Roman" w:hAnsi="Times New Roman" w:cs="Times New Roman"/>
          <w:sz w:val="22"/>
          <w:szCs w:val="24"/>
          <w:lang w:val="en-US" w:eastAsia="zh-CN"/>
        </w:rPr>
        <w:t xml:space="preserve"> </w:t>
      </w:r>
      <w:r>
        <w:rPr>
          <w:rFonts w:hint="eastAsia" w:ascii="Times New Roman" w:hAnsi="Times New Roman" w:cs="Times New Roman"/>
          <w:sz w:val="22"/>
          <w:szCs w:val="24"/>
          <w:lang w:val="en-US" w:eastAsia="zh-CN"/>
        </w:rPr>
        <w:t xml:space="preserve">(A) CCK-8 assay to detect the survival rate of LN229 cells after treatment with 0 (Control, 0.01% DMSO), 0.0005, 0.001, 0.005, 0.025, 0.125, 0.625, 3.125 μmol/L palbociclib for 24 hours. The cell proliferation inhibition rate of each treatment group and each detection group on the same day was compared. GraphPad Prism 9.0 software, and the IC50 of palbociclib in LN229 cells was calculated by the "log (inhibitor) vs. normalized Response-Variable Slope" method. </w:t>
      </w:r>
      <w:r>
        <w:rPr>
          <w:rFonts w:hint="default" w:ascii="Times New Roman" w:hAnsi="Times New Roman" w:eastAsia="Helvetica" w:cs="Times New Roman"/>
          <w:sz w:val="22"/>
          <w:szCs w:val="24"/>
        </w:rPr>
        <w:t>(B)</w:t>
      </w:r>
      <w:r>
        <w:rPr>
          <w:rFonts w:hint="eastAsia" w:ascii="Times New Roman" w:hAnsi="Times New Roman" w:cs="Times New Roman"/>
          <w:sz w:val="22"/>
          <w:szCs w:val="24"/>
          <w:lang w:val="en-US" w:eastAsia="zh-CN"/>
        </w:rPr>
        <w:t xml:space="preserve"> </w:t>
      </w:r>
      <w:r>
        <w:rPr>
          <w:rFonts w:hint="default" w:ascii="Times New Roman" w:hAnsi="Times New Roman" w:eastAsia="Helvetica" w:cs="Times New Roman"/>
          <w:sz w:val="22"/>
          <w:szCs w:val="24"/>
        </w:rPr>
        <w:t xml:space="preserve">Representative data from CalcuSyn software used to define the synergic concentrations of JJH201601 and </w:t>
      </w:r>
      <w:r>
        <w:rPr>
          <w:rFonts w:hint="eastAsia" w:ascii="Times New Roman" w:hAnsi="Times New Roman" w:cs="Times New Roman"/>
          <w:sz w:val="22"/>
          <w:szCs w:val="24"/>
          <w:lang w:val="en-US" w:eastAsia="zh-CN"/>
        </w:rPr>
        <w:t>palbociclib</w:t>
      </w:r>
      <w:r>
        <w:rPr>
          <w:rFonts w:hint="default" w:ascii="Times New Roman" w:hAnsi="Times New Roman" w:eastAsia="Helvetica" w:cs="Times New Roman"/>
          <w:sz w:val="22"/>
          <w:szCs w:val="24"/>
        </w:rPr>
        <w:t xml:space="preserve"> in LN229</w:t>
      </w:r>
      <w:r>
        <w:rPr>
          <w:rFonts w:hint="eastAsia" w:ascii="Times New Roman" w:hAnsi="Times New Roman" w:cs="Times New Roman"/>
          <w:sz w:val="22"/>
          <w:szCs w:val="24"/>
          <w:lang w:val="en-US" w:eastAsia="zh-CN"/>
        </w:rPr>
        <w:t xml:space="preserve"> </w:t>
      </w:r>
      <w:r>
        <w:rPr>
          <w:rFonts w:hint="default" w:ascii="Times New Roman" w:hAnsi="Times New Roman" w:eastAsia="Helvetica" w:cs="Times New Roman"/>
          <w:sz w:val="22"/>
          <w:szCs w:val="24"/>
        </w:rPr>
        <w:t xml:space="preserve">glioma cells. Left panels report thec CI-Fa plot in which values for synergistic concentrations of JJH201601 and </w:t>
      </w:r>
      <w:r>
        <w:rPr>
          <w:rFonts w:hint="eastAsia" w:ascii="Times New Roman" w:hAnsi="Times New Roman" w:cs="Times New Roman"/>
          <w:sz w:val="22"/>
          <w:szCs w:val="24"/>
          <w:lang w:val="en-US" w:eastAsia="zh-CN"/>
        </w:rPr>
        <w:t>palbociclib</w:t>
      </w:r>
      <w:r>
        <w:rPr>
          <w:rFonts w:hint="default" w:ascii="Times New Roman" w:hAnsi="Times New Roman" w:eastAsia="Helvetica" w:cs="Times New Roman"/>
          <w:sz w:val="22"/>
          <w:szCs w:val="24"/>
        </w:rPr>
        <w:t xml:space="preserve"> are illustrated; arrows point to the synergic combinations selected for the experiments in the two cell lines. The right tables report the most representative values of JJH201601 and </w:t>
      </w:r>
      <w:r>
        <w:rPr>
          <w:rFonts w:hint="eastAsia" w:ascii="Times New Roman" w:hAnsi="Times New Roman" w:cs="Times New Roman"/>
          <w:sz w:val="22"/>
          <w:szCs w:val="24"/>
          <w:lang w:val="en-US" w:eastAsia="zh-CN"/>
        </w:rPr>
        <w:t>palbociclib</w:t>
      </w:r>
      <w:r>
        <w:rPr>
          <w:rFonts w:hint="default" w:ascii="Times New Roman" w:hAnsi="Times New Roman" w:eastAsia="Helvetica" w:cs="Times New Roman"/>
          <w:sz w:val="22"/>
          <w:szCs w:val="24"/>
        </w:rPr>
        <w:t xml:space="preserve"> concentrations and CR, Fa and CI from which the left plots are obtained.</w:t>
      </w:r>
      <w:r>
        <w:rPr>
          <w:rFonts w:hint="eastAsia" w:ascii="Times New Roman" w:hAnsi="Times New Roman" w:cs="Times New Roman"/>
          <w:sz w:val="22"/>
          <w:szCs w:val="24"/>
          <w:lang w:val="en-US" w:eastAsia="zh-CN"/>
        </w:rPr>
        <w:t xml:space="preserve"> (C) CCK-8 assay to detect the survival rate of LN229 cells after treatment with 0 (Control, 0.01% DMSO), 0.0002, 0.025, 0.125, 0.625, 3.125, 15.625, 78.125 μmol/L XL413 for 24 hours. The cell proliferation inhibition rate of each treatment group and each detection group on the same day was compared. GraphPad Prism 9.0 software, and the IC50 of palbociclib in LN229 cells was calculated by the "log (inhibitor) vs. normalized Response-Variable Slope" method. (D</w:t>
      </w:r>
      <w:r>
        <w:rPr>
          <w:rFonts w:hint="default" w:ascii="Times New Roman" w:hAnsi="Times New Roman" w:eastAsia="Helvetica" w:cs="Times New Roman"/>
          <w:sz w:val="22"/>
          <w:szCs w:val="24"/>
        </w:rPr>
        <w:t>)</w:t>
      </w:r>
      <w:r>
        <w:rPr>
          <w:rFonts w:hint="eastAsia" w:ascii="Times New Roman" w:hAnsi="Times New Roman" w:cs="Times New Roman"/>
          <w:sz w:val="22"/>
          <w:szCs w:val="24"/>
          <w:lang w:val="en-US" w:eastAsia="zh-CN"/>
        </w:rPr>
        <w:t xml:space="preserve"> </w:t>
      </w:r>
      <w:r>
        <w:rPr>
          <w:rFonts w:hint="default" w:ascii="Times New Roman" w:hAnsi="Times New Roman" w:eastAsia="Helvetica" w:cs="Times New Roman"/>
          <w:sz w:val="22"/>
          <w:szCs w:val="24"/>
        </w:rPr>
        <w:t xml:space="preserve">Representative data from CalcuSyn software used to define the synergic concentrations of JJH201601 and </w:t>
      </w:r>
      <w:r>
        <w:rPr>
          <w:rFonts w:hint="eastAsia" w:ascii="Times New Roman" w:hAnsi="Times New Roman" w:cs="Times New Roman"/>
          <w:sz w:val="22"/>
          <w:szCs w:val="24"/>
          <w:lang w:val="en-US" w:eastAsia="zh-CN"/>
        </w:rPr>
        <w:t>XL413</w:t>
      </w:r>
      <w:r>
        <w:rPr>
          <w:rFonts w:hint="default" w:ascii="Times New Roman" w:hAnsi="Times New Roman" w:eastAsia="Helvetica" w:cs="Times New Roman"/>
          <w:sz w:val="22"/>
          <w:szCs w:val="24"/>
        </w:rPr>
        <w:t xml:space="preserve"> in LN229</w:t>
      </w:r>
      <w:r>
        <w:rPr>
          <w:rFonts w:hint="eastAsia" w:ascii="Times New Roman" w:hAnsi="Times New Roman" w:cs="Times New Roman"/>
          <w:sz w:val="22"/>
          <w:szCs w:val="24"/>
          <w:lang w:val="en-US" w:eastAsia="zh-CN"/>
        </w:rPr>
        <w:t xml:space="preserve"> </w:t>
      </w:r>
      <w:r>
        <w:rPr>
          <w:rFonts w:hint="default" w:ascii="Times New Roman" w:hAnsi="Times New Roman" w:eastAsia="Helvetica" w:cs="Times New Roman"/>
          <w:sz w:val="22"/>
          <w:szCs w:val="24"/>
        </w:rPr>
        <w:t xml:space="preserve">glioma cells. Left panels report thec CI-Fa plot in which values for synergistic concentrations of JJH201601 and </w:t>
      </w:r>
      <w:r>
        <w:rPr>
          <w:rFonts w:hint="eastAsia" w:ascii="Times New Roman" w:hAnsi="Times New Roman" w:cs="Times New Roman"/>
          <w:sz w:val="22"/>
          <w:szCs w:val="24"/>
          <w:lang w:val="en-US" w:eastAsia="zh-CN"/>
        </w:rPr>
        <w:t>XL413</w:t>
      </w:r>
      <w:r>
        <w:rPr>
          <w:rFonts w:hint="default" w:ascii="Times New Roman" w:hAnsi="Times New Roman" w:eastAsia="Helvetica" w:cs="Times New Roman"/>
          <w:sz w:val="22"/>
          <w:szCs w:val="24"/>
        </w:rPr>
        <w:t xml:space="preserve"> are illustrated; arrows point to the synergic combinations selected for the experiments in the two cell lines. The right tables report the most representative values of JJH201601 and </w:t>
      </w:r>
      <w:r>
        <w:rPr>
          <w:rFonts w:hint="eastAsia" w:ascii="Times New Roman" w:hAnsi="Times New Roman" w:cs="Times New Roman"/>
          <w:sz w:val="22"/>
          <w:szCs w:val="24"/>
          <w:lang w:val="en-US" w:eastAsia="zh-CN"/>
        </w:rPr>
        <w:t>XL413</w:t>
      </w:r>
      <w:r>
        <w:rPr>
          <w:rFonts w:hint="default" w:ascii="Times New Roman" w:hAnsi="Times New Roman" w:eastAsia="Helvetica" w:cs="Times New Roman"/>
          <w:sz w:val="22"/>
          <w:szCs w:val="24"/>
        </w:rPr>
        <w:t xml:space="preserve"> concentrations and CR, Fa and CI</w:t>
      </w:r>
      <w:r>
        <w:rPr>
          <w:rFonts w:hint="eastAsia" w:ascii="Times New Roman" w:hAnsi="Times New Roman" w:cs="Times New Roman"/>
          <w:sz w:val="22"/>
          <w:szCs w:val="24"/>
          <w:lang w:val="en-US" w:eastAsia="zh-CN"/>
        </w:rPr>
        <w:t xml:space="preserve"> </w:t>
      </w:r>
      <w:r>
        <w:rPr>
          <w:rFonts w:hint="default" w:ascii="Times New Roman" w:hAnsi="Times New Roman" w:eastAsia="Helvetica" w:cs="Times New Roman"/>
          <w:sz w:val="22"/>
          <w:szCs w:val="24"/>
        </w:rPr>
        <w:t>from which the left plots are obtained.</w:t>
      </w:r>
      <w:r>
        <w:rPr>
          <w:rFonts w:hint="eastAsia" w:ascii="Times New Roman" w:hAnsi="Times New Roman" w:cs="Times New Roman"/>
          <w:sz w:val="22"/>
          <w:szCs w:val="24"/>
          <w:lang w:val="en-US" w:eastAsia="zh-CN"/>
        </w:rPr>
        <w:t xml:space="preserve"> </w:t>
      </w:r>
    </w:p>
    <w:p w14:paraId="51229C42">
      <w:pPr>
        <w:rPr>
          <w:rFonts w:hint="default" w:ascii="Times New Roman" w:hAnsi="Times New Roman" w:eastAsia="宋体" w:cs="Times New Roman"/>
          <w:sz w:val="22"/>
          <w:szCs w:val="24"/>
          <w:lang w:val="en-US" w:eastAsia="zh-CN"/>
        </w:rPr>
      </w:pPr>
      <w:r>
        <w:rPr>
          <w:rFonts w:hint="default" w:ascii="Times New Roman" w:hAnsi="Times New Roman" w:cs="Times New Roman"/>
          <w:b/>
          <w:bCs/>
          <w:sz w:val="22"/>
          <w:szCs w:val="24"/>
          <w:lang w:val="en-US" w:eastAsia="zh-CN"/>
        </w:rPr>
        <w:t>Fig. S</w:t>
      </w:r>
      <w:r>
        <w:rPr>
          <w:rFonts w:hint="eastAsia" w:ascii="Times New Roman" w:hAnsi="Times New Roman" w:cs="Times New Roman"/>
          <w:b/>
          <w:bCs/>
          <w:sz w:val="22"/>
          <w:szCs w:val="24"/>
          <w:lang w:val="en-US" w:eastAsia="zh-CN"/>
        </w:rPr>
        <w:t xml:space="preserve">3 </w:t>
      </w:r>
      <w:r>
        <w:rPr>
          <w:rFonts w:hint="default" w:ascii="Times New Roman" w:hAnsi="Times New Roman" w:eastAsia="Helvetica" w:cs="Times New Roman"/>
          <w:sz w:val="22"/>
          <w:szCs w:val="24"/>
        </w:rPr>
        <w:t>Biological safety of durg treatment. (A) Images of H&amp;E-stained brain, liver, and kidney from mice in control, low-concentration JJH201601 (20mg/kg), high-concentration JJH201601 (40mg/kg), TMZ, JJH201601+TMZ, and docetaxel groups. Scale bar: 100 μm. (B) Toxicity of the drug evaluated by blood biochemical index level. Liver function indicators include alanine transaminase (ALT), aspartate transaminase (AST), total bilirubin (TBIL), Direct Bilirubin (DBIL), aline phosphatase (ALP), albumin (ALB), γ-glutamyl transpeptidase (γ-GT), and total bile acid (TBA). Kidney function indicators include urea, creatinine (CREA), and uric acid (UA).</w:t>
      </w:r>
      <w:r>
        <w:rPr>
          <w:rFonts w:hint="eastAsia" w:ascii="Times New Roman" w:hAnsi="Times New Roman" w:cs="Times New Roman"/>
          <w:sz w:val="22"/>
          <w:szCs w:val="24"/>
          <w:lang w:val="en-US" w:eastAsia="zh-CN"/>
        </w:rPr>
        <w:t xml:space="preserve"> (C) Spleen weight of each groups.</w:t>
      </w:r>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roman"/>
    <w:pitch w:val="default"/>
    <w:sig w:usb0="00000000" w:usb1="00000000" w:usb2="00000000" w:usb3="00000000" w:csb0="00000001"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22BB46D0"/>
    <w:rsid w:val="5FF067F2"/>
    <w:rsid w:val="622C7846"/>
    <w:rsid w:val="772207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jc w:val="both"/>
    </w:pPr>
    <w:rPr>
      <w:rFonts w:eastAsia="宋体"/>
      <w:kern w:val="2"/>
      <w:sz w:val="21"/>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2025-08-11T05:24:00Z</dcterms:created>
  <dc:creator>Jiang RQ</dc:creator>
  <cp:lastModifiedBy>Jiang RQ</cp:lastModifiedBy>
  <dcterms:modified xsi:type="dcterms:W3CDTF">2025-08-11T05:54:17Z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59ED5F6089114B558A00DE0E62FA3449_11</vt:lpwstr>
  </property>
  <property fmtid="{D5CDD505-2E9C-101B-9397-08002B2CF9AE}" pid="4" name="KSOTemplateDocerSaveRecord">
    <vt:lpwstr>eyJoZGlkIjoiN2UyYzAxNWMyMWE5Y2Y3Y2M1ODY4YWIyZWQ2ZjI0NWEiLCJ1c2VySWQiOiIyNTMyODkzMzEifQ==</vt:lpwstr>
  </property>
</Properties>
</file>