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477CE">
      <w:pPr>
        <w:pStyle w:val="2"/>
        <w:widowControl/>
        <w:rPr>
          <w:lang w:val="en-US"/>
        </w:rPr>
      </w:pPr>
      <w:r>
        <w:rPr>
          <w:lang w:val="en-US"/>
        </w:rPr>
        <w:t>Supplementary Methods</w:t>
      </w:r>
    </w:p>
    <w:p w14:paraId="5E6C3800">
      <w:pPr>
        <w:pStyle w:val="3"/>
        <w:widowControl/>
        <w:rPr>
          <w:sz w:val="21"/>
          <w:szCs w:val="21"/>
          <w:lang w:val="en-US"/>
        </w:rPr>
      </w:pPr>
      <w:r>
        <w:rPr>
          <w:lang w:val="en-US"/>
        </w:rPr>
        <w:t>Primary tumor cell culture</w:t>
      </w:r>
    </w:p>
    <w:p w14:paraId="73AF684C">
      <w:pPr>
        <w:keepNext w:val="0"/>
        <w:keepLines w:val="0"/>
        <w:widowControl w:val="0"/>
        <w:suppressLineNumbers w:val="0"/>
        <w:spacing w:before="0" w:beforeAutospacing="0" w:after="160" w:afterAutospacing="0" w:line="276" w:lineRule="auto"/>
        <w:ind w:left="0" w:right="0" w:firstLine="420"/>
        <w:jc w:val="left"/>
        <w:rPr>
          <w:rFonts w:eastAsia="等线"/>
          <w:lang w:val="en-US"/>
        </w:rPr>
      </w:pPr>
      <w:r>
        <w:rPr>
          <w:rFonts w:hint="default" w:ascii="Times New Roman" w:hAnsi="Times New Roman" w:eastAsia="Times New Roman" w:cs="Times New Roman"/>
          <w:kern w:val="2"/>
          <w:sz w:val="21"/>
          <w:szCs w:val="24"/>
          <w:lang w:val="en-US" w:eastAsia="zh-CN" w:bidi="ar"/>
        </w:rPr>
        <w:t>Dissolve 2 mL of 1% matrix gel (Corning) in DEPC water (Biosharp) and spread evenly on the bottom of the culture bottle. Place the tumor tissue in a sterile culture dish in a clean bench and wash it with PBS 2-3 times to remove blood and impurities. Use sterile ophthalmic scissors and ophthalmic forceps to fully mince the tissue. Transfer the minced tissue to a 15 mL sterile centrifuge tube, centrifuge at 300 × g for 2 min, and remove PBS. Add 5 mL of TrypLE™ Express (Gibco) and incubate in a 37℃ water bath for 15-20 min. Place a 70 μm cell sieve in a 50 mL sterile centrifuge tube, filter the digested cell suspension through the cell sieve, and make up to 10 mL with PBS. Transfer the filtered cell suspension to a 15 mL sterile centrifuge tube, centrifuge at 250 × g for 4 min, and remove the supernatant. Add 5 mL of red blood cell lysis buffer (Solarbio), mix thoroughly by pipetting, let stand on ice for 5 min, and centrifuge at 250 × g for 5 min. Remove the lysis buffer, add 3 mL of PBS, mix thoroughly by pipetting, centrifuge at 250 × g for 4 min, and remove the PBS. After removing the PBS, add DMEM/F-12 Nutrient Mixture (Ham, Gibco) for culture, containing 5% fetal bovine serum, 1% penicillin/streptomycin (Gibco), 1% B27 (Gibco), 0.5% N2 (Gibco), 10 μg/mL insulin (MedChemExpress, MCE), 10 ng/mL bFGF (PeproTech), 10 ng/mL EGF (PeproTech), and 10 ng/mL PDGF-AB (PeproTech).</w:t>
      </w:r>
    </w:p>
    <w:p w14:paraId="00987690">
      <w:pPr>
        <w:pStyle w:val="3"/>
        <w:widowControl/>
        <w:rPr>
          <w:lang w:val="en-US"/>
        </w:rPr>
      </w:pPr>
      <w:r>
        <w:rPr>
          <w:lang w:val="en-US"/>
        </w:rPr>
        <w:t>RNA sequencing</w:t>
      </w:r>
    </w:p>
    <w:p w14:paraId="085D12E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1. Experimental Procedure</w:t>
      </w:r>
    </w:p>
    <w:p w14:paraId="2465ED0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1.1 Sample Quality Control</w:t>
      </w:r>
    </w:p>
    <w:p w14:paraId="7B78DFA7">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RNA integrity was assessed using the RNA Nano 6000 Assay Kit of the Bioanalyzer 2100 system (Agilent Technologies, CA, USA).</w:t>
      </w:r>
    </w:p>
    <w:p w14:paraId="20825C1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1.2 Library preparation for Transcriptome sequencing</w:t>
      </w:r>
    </w:p>
    <w:p w14:paraId="7AA2DC30">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Total RNA was used as input material for the RNA sample preparations. Briefly, mRNA was purified from total RNA using poly-T oligo-attached magnetic beads. Fragmentation was carried out using divalent cations under elevated temperature in First Strand Synthesis Reaction Buffer(5X). First strand cDNA was synthesized using random hexamer primer and M-MuLV Reverse Transcriptase(RNase H-). Second strand cDNA synthesis was subsequently performed using DNA Polymerase I and RNase H. Remaining overhangs were converted into blunt ends via exonuclease/polymerase activities. After adenylation of 3’ ends of DNA fragments, Adaptor with hairpin loop structure were ligated to prepare for hybridization. In order to select cDNA fragments of preferentially 370~420 bp in length, the library fragments were purified with AMPure XP system. Then PCR was performed with Phusion High-Fidelity DNA polymerase, Universal PCR primers and Index (X) Primer. At last, PCR products were purified (AMPure XP system) and library quality was assessed on the Agilent Bioanalyzer 2100 system.</w:t>
      </w:r>
    </w:p>
    <w:p w14:paraId="7C6BA93C">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1.3 Clustering and sequencing (Novogene Experimental Department)</w:t>
      </w:r>
    </w:p>
    <w:p w14:paraId="1EA00F17">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The clustering of the index-coded samples was performed on a cBot Cluster Generation System using TruSeq PE Cluster Kit v3-cBot-HS (Illumia) according to the manufacturer’s instructions. After cluster generation, the library preparations were sequenced on an Illumina Novaseq platform and 150 bp paired-end reads were generated.</w:t>
      </w:r>
    </w:p>
    <w:p w14:paraId="1E74743C">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 Data Analysis</w:t>
      </w:r>
    </w:p>
    <w:p w14:paraId="519E5820">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2.1 Quality control</w:t>
      </w:r>
    </w:p>
    <w:p w14:paraId="7FB04769">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Raw data (raw reads) of fastq format were firstly processed through fastp software. In this step, clean data (clean reads) were obtained by removing reads containing adapter, reads containing ploy-N and low quality reads from raw data. At the same time, Q20, Q30 and GC content the clean data were calculated. All the downstream analyses were based on the clean data with high quality.</w:t>
      </w:r>
    </w:p>
    <w:p w14:paraId="7D4DBD50">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2.2 Reads mapping to the reference genome</w:t>
      </w:r>
    </w:p>
    <w:p w14:paraId="48847723">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Reference genome and gene model annotation files were downloaded from genome website directly. Index of the reference genome was built using Hisat2 v2.0.5 and paired-end clean reads were aligned to the reference genome using Hisat2 v2.0.5. We selected Hisat2 as the mapping tool for that Hisat2 can generate a database of splice junctions based on the gene model annotation file and thus a better mapping result than other non-splice mapping tools.</w:t>
      </w:r>
    </w:p>
    <w:p w14:paraId="4A2B230E">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2.3 Quantification of gene expression level</w:t>
      </w:r>
    </w:p>
    <w:p w14:paraId="6D26D0E4">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featureCounts v1.5.0-p3 was used to count the reads numbers mapped to each gene. And then FPKM of each gene was calculated based on the length of the gene and reads count mapped to this gene. FPKM, expected number of Fragments Per Kilobase of transcript sequence per Millions base pairs sequenced, considers the effect of sequencing depth and gene length for the reads count at the same time, and is currently the most commonly used method for estimating gene expression levels.</w:t>
      </w:r>
    </w:p>
    <w:p w14:paraId="04D3A6EB">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2.4 Differential expression analysis</w:t>
      </w:r>
    </w:p>
    <w:p w14:paraId="6F8FF2A1">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(For DESeq2 with biological replicates) Differential expression analysis of two conditions/groups (two biological replicates per condition) was performed using the DESeq2 R package (1.20.0). DESeq2 provide statistical routines for determining differential expression in digital gene expression data using a model based on the negative binomial distribution. The resulting P-values were adjusted using the Benjamini and Hochberg’s approach for controlling the false discovery rate . Genes with an adjusted P-value &lt;=0.05 found by DESeq2 were assigned as differentially expressed. (For edgeR without biological replicates) Prior to differential gene expression analysis, for each sequenced library, the read counts were adjusted by edgeR program package through one scaling normalized factor. Differential expression analysis of two conditions was performed using the edgeR R package (3.22.5). The P values were adjusted using the Benjamini &amp; Hochberg method. Corrected P-value of 0.05 and absolute foldchange of 2 were set as the threshold for significantly differential expression.</w:t>
      </w:r>
    </w:p>
    <w:p w14:paraId="5B3DB9B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2.5 GO and KEGG enrichment analysis of differentially expressed genes</w:t>
      </w:r>
    </w:p>
    <w:p w14:paraId="0CC849FD">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Gene Ontology (GO) enrichment analysis of differentially expressed genes was implemented by the clusterProfiler R package, in which gene length bias wascorrected. GO terms with corrected Pvalue less than 0.05 were considered significantly enriched by differential expressed genes. KEGG is a database resource for understanding high-level functions and utilities of the biological system, such as the cell, the organism and the ecosystem, from molecular-level information, especially large-scale molecular datasets generated by genome sequencing and other high-through put experimental technologies (http://www.genome.jp/kegg/). We used clusterProfiler R package to test the statistical enrichment of differential expression genes in KEGG pathways.</w:t>
      </w:r>
    </w:p>
    <w:p w14:paraId="438434A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2.6 Gene Set Enrichment Analysis</w:t>
      </w:r>
    </w:p>
    <w:p w14:paraId="201A7826">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Gene Set Enrichment Analysis (GSEA) is a computational approach to determine if a predefined Gene Set can show a significant consistent difference between two biological states. The genes were ranked according to the degree of differential expression in the two samples, and then the predefined Gene Set were tested to see if they were enriched at the top or bottom of the list. Gene set enrichment analysis can include subtle expression changes. We use the local version of the GSEA analysis tool http://www.broadinstitute.org/gsea/index.jsp, GO, KEGG data set were used for GSEA independently.</w:t>
      </w:r>
    </w:p>
    <w:p w14:paraId="5A505E9F">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2.7 SNP analysis</w:t>
      </w:r>
    </w:p>
    <w:p w14:paraId="0E646A43">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GATK (v4.1.1.0) software was used to perform SNP calling. Raw vcf files were filtered with GATK standard filter method and other parameters (cluster:3; WindowSize:35; QD &lt; 2.0 ; FS &gt; 30.0; DP &lt; 10.</w:t>
      </w:r>
    </w:p>
    <w:p w14:paraId="2EA1AFAF">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2.8 AS analysis</w:t>
      </w:r>
    </w:p>
    <w:p w14:paraId="48DC9C8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Alternative Splicing is an important mechanism for regulate the expression of genes and the variable of protein. rMATS(4.1.0) software was used to analysis the AS event.</w:t>
      </w:r>
    </w:p>
    <w:p w14:paraId="7C46801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2.9 PPI analysis of differentially expressed genes</w:t>
      </w:r>
    </w:p>
    <w:p w14:paraId="1C2FC1E6">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PPI analysis of differentially expressed genes was based on the STRING database, which known and predicted Protein-Protein Interactions.</w:t>
      </w:r>
    </w:p>
    <w:p w14:paraId="37D8A9D2">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2.10 Fusion Analysis</w:t>
      </w:r>
    </w:p>
    <w:p w14:paraId="68A63361">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Fusion gene refers to the chimeric gene formed by the fusion of all or part of the sequences of two genes, which is generally caused by chromosome translocation, deletion and other reasons. We used SATR-fusion software (1.9.0) to detect genes that are fused. SATR-fusion is a software package uses fusion output results of STAR alignment to detect fusion transcripts, including SATR alignment, SATR fusion.predict, SATR-fusion.filter was used to correct the predicted results of Star-fusion to ensure the accuracy of the results.</w:t>
      </w:r>
    </w:p>
    <w:p w14:paraId="02741B26">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2.11 Weighted correlation network analysis</w:t>
      </w:r>
    </w:p>
    <w:p w14:paraId="4898F279">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WGCNA (Weighted correlation network analysis) is a systematic biological method used to describe the gene association modes among different samples. it can be used to identify gene sets that are highly synergistic changed, and identify candidate biomarkers or therapeutic targets based on the coherence of gene sets and the correlation between gene sets and phenotypes. The R package WGCNA is a set of functions used to calculate various weighted association analysis, which can be used for network construction, gene screening, gene cluster identification, topological feature calculation, data simulation and visualization. WGCNA is suitable for multisample data. Generally, more than 15 samples are required. One input file is sample information, that is, a matrix describing the traits of the sample: the traits used for association analysis must be numeric; If it is a regional or categorical variable, it needs to be converted to a 0-1 matrix. The other is gene expression data. For transcriptome sequencing, FPKM can be used as gene expression data.</w:t>
      </w:r>
    </w:p>
    <w:p w14:paraId="56E0CA8C">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2.12 Tumor immune microenvironment analysis</w:t>
      </w:r>
    </w:p>
    <w:p w14:paraId="49BF2D85">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Tumor microenvironment (TME) is an important part of tumor tissue and plays a crucial role in tumor development. TME is composed of tumor cells, tumor stromal cells (including stromal fibroblasts), endothelial cells and immune cells (such as microglia, macrophages and lymphocytes), as well as non cellular components of extracellular matrix (such as collagen, fibronectin, hyaluronic acid and laminin).</w:t>
      </w:r>
    </w:p>
    <w:p w14:paraId="203C4390">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ESTIMATE is an R package that predicts tumor purity and uses gene expression data to predict the infiltration of stromal/immune cells in tumor tissue. It is based on the ssGSEA algorithm, and uses expression data to obtain stromal score and immune score in the test sample, to preliminarily evaluate the immune environment of individuals, subtypes, or cohorts. This analysis can not only obtain immune and matrix scores, but also comprehensively obtain the Estimate score, and calculate the tumor purity based on the Estimate score. The FPKM value of quantitative results is extracted as the input file, and ESTIMATE is used to calculate stromal cell scores, immune cell scores, and tumor purity. ggplot2 is used to conduct visualization displays (such as tumor purity bar charts and box plots).</w:t>
      </w:r>
    </w:p>
    <w:p w14:paraId="671B6E9A">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XCell is an R package developed by the team that developed the SingleR package in 2017, which infers the proportion of cell types in population RNA samples. XCell comprehensively considers a total of 489 gene features from 64 cell types in six major databases. The ssGSEA algorithm is used to evaluate the scores of relevant gene features in each sample, and then calculate the scores of 64 cell types.This score considers the possibility of co-expression of the same gene between cells and evaluates the proportion of various cells in the sample.In the XCell analysis, not only the scores of 64 types of cells can be obtained, but also the scores of immune cells, stromal cells and microenvironment cells can be obtained by comprehensive scoring. The FPKM value of the quantitative results is also extracted as the input file, and xCell is used to calculate the scores of immune cells, stromal cells and microenvironment, and calculate the percentage of different cell types in each sample. ggplot2 is used to conduct visualization displays such as histograms showing the proportion of scores for different cell types.</w:t>
      </w:r>
    </w:p>
    <w:p w14:paraId="52FB88E2">
      <w:pPr>
        <w:keepNext w:val="0"/>
        <w:keepLines w:val="0"/>
        <w:widowControl w:val="0"/>
        <w:suppressLineNumbers w:val="0"/>
        <w:spacing w:before="0" w:beforeAutospacing="0" w:after="160" w:afterAutospacing="0" w:line="276" w:lineRule="auto"/>
        <w:ind w:left="0" w:right="0"/>
        <w:jc w:val="both"/>
        <w:rPr>
          <w:rFonts w:eastAsia="等线"/>
          <w:lang w:val="en-US"/>
        </w:rPr>
      </w:pPr>
      <w:r>
        <w:rPr>
          <w:rFonts w:hint="default" w:ascii="Times New Roman" w:hAnsi="Times New Roman" w:eastAsia="等线" w:cs="Times New Roman"/>
          <w:kern w:val="2"/>
          <w:sz w:val="21"/>
          <w:szCs w:val="24"/>
          <w:lang w:val="en-US" w:eastAsia="zh-CN" w:bidi="ar"/>
        </w:rPr>
        <w:t>Immunophenogram (IPS) is specialized in evaluating immune related factors and predicting the response of immune checkpoint inhibitors to treatment. IPS divides 26 immune related factors into four subgroups: MHC molecule (MHC), immune checkpoint (CP), Effector cell (EC), and immunosuppressive cell (SC), which are four main types of genes (such as activated CD4+T cells, activated CD8+T cells, effector memory CD4+T cells, Treg, MDSCs, etc.). To evaluate the immune efficacy of this subgroup or immune factor in the body, IPS calculates the up and down expression of each immune factor by using the expression value of immune related genes. Meanwhile, IPS can comprehensively obtain an Immunophenoscore score to predict the treatment response of patients to immune checkpoint inhibitors. The FPKM value of the quantitative results is also extracted as the input file, and IPS is used to calculate the immune related factor score. ggplot2 is used to conduct visualization displays such as immune related factor score representation diagram.</w:t>
      </w:r>
    </w:p>
    <w:p w14:paraId="68D2D5B2">
      <w:pPr>
        <w:pStyle w:val="3"/>
        <w:widowControl/>
        <w:rPr>
          <w:lang w:val="en-US"/>
        </w:rPr>
      </w:pPr>
      <w:r>
        <w:rPr>
          <w:lang w:val="en-US"/>
        </w:rPr>
        <w:t>Pharmacokinetic Studies</w:t>
      </w:r>
    </w:p>
    <w:p w14:paraId="70D49552">
      <w:pPr>
        <w:keepNext w:val="0"/>
        <w:keepLines w:val="0"/>
        <w:widowControl w:val="0"/>
        <w:suppressLineNumbers w:val="0"/>
        <w:spacing w:before="0" w:beforeAutospacing="0" w:after="160" w:afterAutospacing="0" w:line="276" w:lineRule="auto"/>
        <w:ind w:left="0" w:right="0"/>
        <w:jc w:val="both"/>
        <w:rPr>
          <w:rFonts w:hint="default" w:ascii="Times New Roman" w:hAnsi="Times New Roman" w:eastAsia="等线" w:cs="Times New Roman"/>
          <w:color w:val="FF0000"/>
          <w:kern w:val="2"/>
          <w:sz w:val="21"/>
          <w:szCs w:val="24"/>
          <w:lang w:val="en-US" w:eastAsia="zh-CN" w:bidi="ar"/>
        </w:rPr>
      </w:pPr>
      <w:r>
        <w:rPr>
          <w:rFonts w:hint="eastAsia" w:ascii="Times New Roman" w:hAnsi="Times New Roman" w:eastAsia="等线" w:cs="Times New Roman"/>
          <w:color w:val="FF0000"/>
          <w:kern w:val="2"/>
          <w:sz w:val="21"/>
          <w:szCs w:val="24"/>
          <w:lang w:val="en-US" w:eastAsia="zh-CN" w:bidi="ar"/>
        </w:rPr>
        <w:t>MS analysis was performed in positive Turbo Spray IonDrive electrospray ionization (ESI⁺) mode with scheduled multiple reaction monitoring (sMRM). Ion source parameters were set as follows: curtain gas (CUR) 30 psi, collision gas (CAD) Medium, ion spray voltage (IS) 5000.0 V, source temperature (TEM) 500.0℃, ion source gas 1 (GS1) 50 psi, ion source gas 2 (GS2) 50 psi. Declustering potential (DP) 45.0 V, entrance potential (EP) 10.0 V, collision cell exits potential (CXP) 6.0 V, dwell time for each transition was 50.0 msec. The quantifier ion pairs were: JJH201601 (991.500 → 710.100, CE = 50.0 V), docetaxel internal standard (DOX-IS, 830.400 → 549.100, CE = 40.0 V).</w:t>
      </w:r>
      <w:bookmarkStart w:id="0" w:name="_GoBack"/>
      <w:bookmarkEnd w:id="0"/>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E90A06"/>
    <w:rsid w:val="39E90A06"/>
    <w:rsid w:val="49810A83"/>
    <w:rsid w:val="59332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7"/>
    <w:qFormat/>
    <w:uiPriority w:val="0"/>
    <w:pPr>
      <w:keepNext/>
      <w:keepLines/>
      <w:widowControl w:val="0"/>
      <w:suppressLineNumbers w:val="0"/>
      <w:spacing w:before="120" w:beforeAutospacing="0" w:after="120" w:afterAutospacing="0" w:line="240" w:lineRule="exact"/>
      <w:ind w:left="0" w:right="0"/>
      <w:jc w:val="left"/>
      <w:outlineLvl w:val="0"/>
    </w:pPr>
    <w:rPr>
      <w:rFonts w:hint="default" w:ascii="Times New Roman" w:hAnsi="Times New Roman" w:eastAsia="等线 Light" w:cs="Times New Roman"/>
      <w:b/>
      <w:color w:val="000000"/>
      <w:kern w:val="2"/>
      <w:sz w:val="28"/>
      <w:szCs w:val="48"/>
      <w:lang w:val="en-US" w:eastAsia="zh-CN" w:bidi="ar"/>
    </w:rPr>
  </w:style>
  <w:style w:type="paragraph" w:styleId="3">
    <w:name w:val="heading 2"/>
    <w:basedOn w:val="1"/>
    <w:next w:val="1"/>
    <w:link w:val="6"/>
    <w:semiHidden/>
    <w:unhideWhenUsed/>
    <w:qFormat/>
    <w:uiPriority w:val="0"/>
    <w:pPr>
      <w:keepNext/>
      <w:keepLines/>
      <w:widowControl w:val="0"/>
      <w:suppressLineNumbers w:val="0"/>
      <w:spacing w:before="40" w:beforeAutospacing="0" w:after="0" w:afterAutospacing="0" w:line="360" w:lineRule="auto"/>
      <w:ind w:left="0" w:right="0"/>
      <w:jc w:val="left"/>
      <w:outlineLvl w:val="1"/>
    </w:pPr>
    <w:rPr>
      <w:rFonts w:hint="default" w:ascii="Times New Roman" w:hAnsi="Times New Roman" w:eastAsia="等线 Light" w:cs="Times New Roman"/>
      <w:b/>
      <w:color w:val="000000"/>
      <w:kern w:val="2"/>
      <w:sz w:val="24"/>
      <w:szCs w:val="40"/>
      <w:lang w:val="en-US" w:eastAsia="zh-CN" w:bidi="ar"/>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character" w:customStyle="1" w:styleId="6">
    <w:name w:val="标题 2 字符"/>
    <w:basedOn w:val="5"/>
    <w:link w:val="3"/>
    <w:qFormat/>
    <w:uiPriority w:val="0"/>
    <w:rPr>
      <w:rFonts w:hint="eastAsia" w:ascii="等线 Light" w:hAnsi="等线 Light" w:eastAsia="等线 Light" w:cs="等线 Light"/>
      <w:b/>
      <w:color w:val="000000"/>
      <w:kern w:val="2"/>
      <w:sz w:val="24"/>
      <w:szCs w:val="40"/>
    </w:rPr>
  </w:style>
  <w:style w:type="character" w:customStyle="1" w:styleId="7">
    <w:name w:val="标题 1 字符"/>
    <w:basedOn w:val="5"/>
    <w:link w:val="2"/>
    <w:qFormat/>
    <w:uiPriority w:val="0"/>
    <w:rPr>
      <w:rFonts w:hint="eastAsia" w:ascii="等线 Light" w:hAnsi="等线 Light" w:eastAsia="等线 Light" w:cs="等线 Light"/>
      <w:b/>
      <w:color w:val="000000"/>
      <w:kern w:val="2"/>
      <w:sz w:val="28"/>
      <w:szCs w:val="4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1962</Words>
  <Characters>10837</Characters>
  <Lines>0</Lines>
  <Paragraphs>0</Paragraphs>
  <TotalTime>2</TotalTime>
  <ScaleCrop>false</ScaleCrop>
  <LinksUpToDate>false</LinksUpToDate>
  <CharactersWithSpaces>12760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2025-12-08T02:18:00Z</dcterms:created>
  <dc:creator>Jiang RQ</dc:creator>
  <cp:lastModifiedBy>Jiang RQ</cp:lastModifiedBy>
  <dcterms:modified xsi:type="dcterms:W3CDTF">2026-06-20T02:31:56Z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8B5BF5213C5E43CD9EA319A503F8AB8C_13</vt:lpwstr>
  </property>
  <property fmtid="{D5CDD505-2E9C-101B-9397-08002B2CF9AE}" pid="4" name="KSOTemplateDocerSaveRecord">
    <vt:lpwstr>eyJoZGlkIjoiNmQ5OTI5OTRmNDk3MDUxNGI4ZTMzOTFjMjc2MDEwOGQiLCJ1c2VySWQiOiIyNTMyODkzMzEifQ==</vt:lpwstr>
  </property>
</Properties>
</file>