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5AF961">
      <w:pPr>
        <w:spacing w:line="360" w:lineRule="auto"/>
        <w:jc w:val="center"/>
        <w:rPr>
          <w:b/>
          <w:bCs/>
          <w:color w:val="000000"/>
          <w:sz w:val="32"/>
          <w:szCs w:val="32"/>
        </w:rPr>
      </w:pPr>
      <w:r>
        <w:rPr>
          <w:b/>
          <w:bCs/>
          <w:color w:val="000000"/>
          <w:sz w:val="32"/>
          <w:szCs w:val="32"/>
        </w:rPr>
        <w:t>Supplementary material</w:t>
      </w:r>
    </w:p>
    <w:p w14:paraId="4E1DCAAA">
      <w:pPr>
        <w:adjustRightInd w:val="0"/>
        <w:snapToGrid w:val="0"/>
        <w:spacing w:line="480" w:lineRule="auto"/>
        <w:jc w:val="both"/>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Hypoxia Tumor-associated Macrophages Facilitate Hepatocellular Carcinoma Metastasis via uPA-</w:t>
      </w:r>
      <w:r>
        <w:rPr>
          <w:rFonts w:hint="eastAsia" w:eastAsia="宋体"/>
          <w:b/>
          <w:bCs/>
          <w:color w:val="000000" w:themeColor="text1"/>
          <w:sz w:val="24"/>
          <w:szCs w:val="24"/>
          <w14:textFill>
            <w14:solidFill>
              <w14:schemeClr w14:val="tx1"/>
            </w14:solidFill>
          </w14:textFill>
        </w:rPr>
        <w:t>u</w:t>
      </w:r>
      <w:r>
        <w:rPr>
          <w:b/>
          <w:bCs/>
          <w:color w:val="000000" w:themeColor="text1"/>
          <w:sz w:val="24"/>
          <w:szCs w:val="24"/>
          <w14:textFill>
            <w14:solidFill>
              <w14:schemeClr w14:val="tx1"/>
            </w14:solidFill>
          </w14:textFill>
        </w:rPr>
        <w:t>PAR Pathway</w:t>
      </w:r>
    </w:p>
    <w:p w14:paraId="67F4C016">
      <w:pPr>
        <w:adjustRightInd w:val="0"/>
        <w:snapToGrid w:val="0"/>
        <w:spacing w:line="480" w:lineRule="auto"/>
        <w:jc w:val="both"/>
        <w:rPr>
          <w:b/>
          <w:bCs/>
          <w:color w:val="000000" w:themeColor="text1"/>
          <w:sz w:val="24"/>
          <w:szCs w:val="24"/>
          <w14:textFill>
            <w14:solidFill>
              <w14:schemeClr w14:val="tx1"/>
            </w14:solidFill>
          </w14:textFill>
        </w:rPr>
      </w:pPr>
    </w:p>
    <w:p w14:paraId="3379EE26">
      <w:pPr>
        <w:adjustRightInd w:val="0"/>
        <w:snapToGrid w:val="0"/>
        <w:spacing w:line="480" w:lineRule="auto"/>
        <w:jc w:val="both"/>
        <w:rPr>
          <w:rFonts w:eastAsia="宋体"/>
          <w:color w:val="000000"/>
          <w:sz w:val="24"/>
          <w:szCs w:val="24"/>
        </w:rPr>
      </w:pPr>
      <w:r>
        <w:rPr>
          <w:rFonts w:eastAsia="宋体"/>
          <w:color w:val="000000"/>
          <w:sz w:val="24"/>
          <w:szCs w:val="24"/>
        </w:rPr>
        <w:t>Yijun Wang</w:t>
      </w:r>
      <w:r>
        <w:rPr>
          <w:sz w:val="24"/>
          <w:szCs w:val="24"/>
          <w:vertAlign w:val="superscript"/>
        </w:rPr>
        <w:t>1</w:t>
      </w:r>
      <w:r>
        <w:rPr>
          <w:rFonts w:eastAsia="宋体"/>
          <w:color w:val="000000"/>
          <w:sz w:val="24"/>
          <w:szCs w:val="24"/>
        </w:rPr>
        <w:t>, Xiaomin You</w:t>
      </w:r>
      <w:r>
        <w:rPr>
          <w:sz w:val="24"/>
          <w:szCs w:val="24"/>
          <w:vertAlign w:val="superscript"/>
        </w:rPr>
        <w:t>1</w:t>
      </w:r>
      <w:r>
        <w:rPr>
          <w:rFonts w:eastAsia="宋体"/>
          <w:color w:val="000000"/>
          <w:sz w:val="24"/>
          <w:szCs w:val="24"/>
        </w:rPr>
        <w:t>, Xiangyuan Luo</w:t>
      </w:r>
      <w:r>
        <w:rPr>
          <w:sz w:val="24"/>
          <w:szCs w:val="24"/>
          <w:vertAlign w:val="superscript"/>
        </w:rPr>
        <w:t>1, *</w:t>
      </w:r>
      <w:r>
        <w:rPr>
          <w:rFonts w:eastAsia="宋体"/>
          <w:color w:val="000000"/>
          <w:sz w:val="24"/>
          <w:szCs w:val="24"/>
        </w:rPr>
        <w:t>, Wenjie Huang</w:t>
      </w:r>
      <w:r>
        <w:rPr>
          <w:sz w:val="24"/>
          <w:szCs w:val="24"/>
          <w:vertAlign w:val="superscript"/>
        </w:rPr>
        <w:t>1, *</w:t>
      </w:r>
      <w:r>
        <w:rPr>
          <w:rFonts w:eastAsia="宋体"/>
          <w:color w:val="000000"/>
          <w:sz w:val="24"/>
          <w:szCs w:val="24"/>
        </w:rPr>
        <w:t>, Zerui Zhang</w:t>
      </w:r>
      <w:r>
        <w:rPr>
          <w:sz w:val="24"/>
          <w:szCs w:val="24"/>
          <w:vertAlign w:val="superscript"/>
        </w:rPr>
        <w:t>1, *</w:t>
      </w:r>
      <w:r>
        <w:rPr>
          <w:rFonts w:eastAsia="宋体"/>
          <w:color w:val="000000"/>
          <w:sz w:val="24"/>
          <w:szCs w:val="24"/>
        </w:rPr>
        <w:t>, Limin Xia</w:t>
      </w:r>
      <w:r>
        <w:rPr>
          <w:sz w:val="24"/>
          <w:szCs w:val="24"/>
          <w:vertAlign w:val="superscript"/>
        </w:rPr>
        <w:t>1,2,</w:t>
      </w:r>
      <w:r>
        <w:rPr>
          <w:rFonts w:eastAsia="宋体"/>
          <w:sz w:val="24"/>
          <w:szCs w:val="24"/>
          <w:vertAlign w:val="superscript"/>
        </w:rPr>
        <w:t>3,</w:t>
      </w:r>
      <w:r>
        <w:rPr>
          <w:sz w:val="24"/>
          <w:szCs w:val="24"/>
          <w:vertAlign w:val="superscript"/>
        </w:rPr>
        <w:t xml:space="preserve"> *</w:t>
      </w:r>
    </w:p>
    <w:p w14:paraId="67B1FFB2">
      <w:pPr>
        <w:adjustRightInd w:val="0"/>
        <w:snapToGrid w:val="0"/>
        <w:spacing w:line="480" w:lineRule="auto"/>
        <w:jc w:val="both"/>
        <w:rPr>
          <w:rFonts w:eastAsia="宋体"/>
          <w:color w:val="000000"/>
          <w:sz w:val="24"/>
          <w:szCs w:val="24"/>
          <w:vertAlign w:val="superscript"/>
        </w:rPr>
      </w:pPr>
      <w:r>
        <w:rPr>
          <w:rFonts w:eastAsia="宋体"/>
          <w:color w:val="000000"/>
          <w:sz w:val="24"/>
          <w:szCs w:val="24"/>
          <w:vertAlign w:val="superscript"/>
        </w:rPr>
        <w:t xml:space="preserve"> </w:t>
      </w:r>
    </w:p>
    <w:p w14:paraId="32AB2BFA">
      <w:pPr>
        <w:adjustRightInd w:val="0"/>
        <w:snapToGrid w:val="0"/>
        <w:spacing w:line="480" w:lineRule="auto"/>
        <w:jc w:val="both"/>
        <w:rPr>
          <w:color w:val="000000"/>
          <w:sz w:val="24"/>
          <w:szCs w:val="24"/>
        </w:rPr>
      </w:pPr>
      <w:r>
        <w:rPr>
          <w:color w:val="000000"/>
          <w:sz w:val="24"/>
          <w:szCs w:val="24"/>
          <w:vertAlign w:val="superscript"/>
        </w:rPr>
        <w:t>1</w:t>
      </w:r>
      <w:r>
        <w:rPr>
          <w:color w:val="000000"/>
          <w:sz w:val="24"/>
          <w:szCs w:val="24"/>
        </w:rPr>
        <w:t xml:space="preserve">Department of Gastroenterology, Institute of Liver and Gastrointestinal Diseases, </w:t>
      </w:r>
      <w:r>
        <w:rPr>
          <w:rFonts w:eastAsia="宋体"/>
          <w:sz w:val="24"/>
          <w:szCs w:val="24"/>
        </w:rPr>
        <w:t xml:space="preserve">Taikang Tongji Wuhan Hospital, </w:t>
      </w:r>
      <w:r>
        <w:rPr>
          <w:color w:val="000000"/>
          <w:sz w:val="24"/>
          <w:szCs w:val="24"/>
        </w:rPr>
        <w:t>Hubei Key Laboratory of Hepato-Pancreato-Biliary Diseases, Tongji Hospital, Tongji Medical College and State Key Laboratory for Diagnosis and Treatment of Severe Zoonotic Infectious Diseases, Huazhong University of Science and Technology, Wuhan 430030, Hubei Province, China.</w:t>
      </w:r>
    </w:p>
    <w:p w14:paraId="6BC2E744">
      <w:pPr>
        <w:adjustRightInd w:val="0"/>
        <w:snapToGrid w:val="0"/>
        <w:spacing w:line="480" w:lineRule="auto"/>
        <w:jc w:val="both"/>
        <w:rPr>
          <w:color w:val="000000"/>
          <w:sz w:val="24"/>
          <w:szCs w:val="24"/>
        </w:rPr>
      </w:pPr>
      <w:r>
        <w:rPr>
          <w:color w:val="000000"/>
          <w:sz w:val="24"/>
          <w:szCs w:val="24"/>
          <w:vertAlign w:val="superscript"/>
        </w:rPr>
        <w:t>2</w:t>
      </w:r>
      <w:r>
        <w:rPr>
          <w:color w:val="000000"/>
          <w:sz w:val="24"/>
          <w:szCs w:val="24"/>
        </w:rPr>
        <w:t>State Key Laboratory of Holistic Integrative Management of Gastrointestinal Cancers and National Clinical Research Center for Digestive Diseases, Xijing Hospital of Digestive Diseases, Fourth Military Medical University, Xi’ an, China, 710032.</w:t>
      </w:r>
    </w:p>
    <w:p w14:paraId="2F2F068D">
      <w:pPr>
        <w:adjustRightInd w:val="0"/>
        <w:snapToGrid w:val="0"/>
        <w:spacing w:line="480" w:lineRule="auto"/>
        <w:jc w:val="both"/>
        <w:rPr>
          <w:color w:val="000000"/>
          <w:sz w:val="24"/>
          <w:szCs w:val="24"/>
        </w:rPr>
      </w:pPr>
      <w:r>
        <w:rPr>
          <w:color w:val="000000"/>
          <w:sz w:val="24"/>
          <w:szCs w:val="24"/>
          <w:vertAlign w:val="superscript"/>
        </w:rPr>
        <w:t>3</w:t>
      </w:r>
      <w:r>
        <w:rPr>
          <w:color w:val="000000"/>
          <w:sz w:val="24"/>
          <w:szCs w:val="24"/>
        </w:rPr>
        <w:t xml:space="preserve">Lead contact. </w:t>
      </w:r>
    </w:p>
    <w:p w14:paraId="3A1B29D0">
      <w:pPr>
        <w:adjustRightInd w:val="0"/>
        <w:snapToGrid w:val="0"/>
        <w:spacing w:line="480" w:lineRule="auto"/>
        <w:jc w:val="both"/>
        <w:rPr>
          <w:color w:val="000000"/>
          <w:sz w:val="24"/>
          <w:szCs w:val="24"/>
          <w:vertAlign w:val="superscript"/>
        </w:rPr>
      </w:pPr>
      <w:r>
        <w:rPr>
          <w:color w:val="000000"/>
          <w:sz w:val="24"/>
          <w:szCs w:val="24"/>
          <w:vertAlign w:val="superscript"/>
        </w:rPr>
        <w:t xml:space="preserve"> </w:t>
      </w:r>
    </w:p>
    <w:p w14:paraId="3F1FDB31">
      <w:pPr>
        <w:adjustRightInd w:val="0"/>
        <w:snapToGrid w:val="0"/>
        <w:spacing w:line="480" w:lineRule="auto"/>
        <w:jc w:val="both"/>
        <w:rPr>
          <w:rFonts w:eastAsia="宋体"/>
          <w:b/>
          <w:color w:val="000000"/>
          <w:sz w:val="24"/>
          <w:szCs w:val="24"/>
        </w:rPr>
      </w:pPr>
      <w:r>
        <w:rPr>
          <w:color w:val="000000"/>
          <w:sz w:val="24"/>
          <w:szCs w:val="24"/>
        </w:rPr>
        <w:t>*</w:t>
      </w:r>
      <w:r>
        <w:rPr>
          <w:b/>
          <w:color w:val="000000"/>
          <w:sz w:val="24"/>
          <w:szCs w:val="24"/>
        </w:rPr>
        <w:t xml:space="preserve">Correspondence: </w:t>
      </w:r>
    </w:p>
    <w:p w14:paraId="4428BD58">
      <w:pPr>
        <w:spacing w:line="480" w:lineRule="auto"/>
        <w:rPr>
          <w:rFonts w:eastAsia="宋体"/>
          <w:sz w:val="24"/>
          <w:szCs w:val="24"/>
        </w:rPr>
      </w:pPr>
      <w:r>
        <w:rPr>
          <w:rFonts w:eastAsia="宋体"/>
          <w:sz w:val="24"/>
          <w:szCs w:val="24"/>
        </w:rPr>
        <w:t xml:space="preserve">Dr. </w:t>
      </w:r>
      <w:r>
        <w:rPr>
          <w:rFonts w:eastAsia="宋体"/>
          <w:color w:val="000000"/>
          <w:sz w:val="24"/>
          <w:szCs w:val="24"/>
        </w:rPr>
        <w:t>Xiangyuan Luo</w:t>
      </w:r>
      <w:r>
        <w:rPr>
          <w:rFonts w:eastAsia="宋体"/>
          <w:sz w:val="24"/>
          <w:szCs w:val="24"/>
        </w:rPr>
        <w:t xml:space="preserve"> (luoxiangyuan@tjh.tjmu.edu.cn), </w:t>
      </w:r>
    </w:p>
    <w:p w14:paraId="69F4AAF0">
      <w:pPr>
        <w:spacing w:line="480" w:lineRule="auto"/>
        <w:rPr>
          <w:rFonts w:eastAsia="宋体"/>
          <w:sz w:val="24"/>
          <w:szCs w:val="24"/>
        </w:rPr>
      </w:pPr>
      <w:r>
        <w:rPr>
          <w:rFonts w:eastAsia="宋体"/>
          <w:sz w:val="24"/>
          <w:szCs w:val="24"/>
        </w:rPr>
        <w:t xml:space="preserve">Dr. </w:t>
      </w:r>
      <w:r>
        <w:rPr>
          <w:rFonts w:eastAsia="宋体"/>
          <w:color w:val="000000"/>
          <w:sz w:val="24"/>
          <w:szCs w:val="24"/>
        </w:rPr>
        <w:t>Wenjie Huang</w:t>
      </w:r>
      <w:r>
        <w:rPr>
          <w:rFonts w:eastAsia="宋体"/>
          <w:sz w:val="24"/>
          <w:szCs w:val="24"/>
        </w:rPr>
        <w:t xml:space="preserve"> (huangwenjie@tjh.tjmu.edu.cn), </w:t>
      </w:r>
    </w:p>
    <w:p w14:paraId="6A4EAE73">
      <w:pPr>
        <w:spacing w:line="480" w:lineRule="auto"/>
        <w:rPr>
          <w:rFonts w:eastAsia="宋体"/>
          <w:sz w:val="24"/>
          <w:szCs w:val="24"/>
        </w:rPr>
      </w:pPr>
      <w:r>
        <w:rPr>
          <w:rFonts w:eastAsia="宋体"/>
          <w:sz w:val="24"/>
          <w:szCs w:val="24"/>
        </w:rPr>
        <w:t xml:space="preserve">Dr. </w:t>
      </w:r>
      <w:r>
        <w:rPr>
          <w:rFonts w:eastAsia="宋体"/>
          <w:color w:val="000000"/>
          <w:sz w:val="24"/>
          <w:szCs w:val="24"/>
        </w:rPr>
        <w:t>Zerui Zhang</w:t>
      </w:r>
      <w:r>
        <w:rPr>
          <w:rFonts w:eastAsia="宋体"/>
          <w:sz w:val="24"/>
          <w:szCs w:val="24"/>
        </w:rPr>
        <w:t xml:space="preserve"> (zhangzerui@tjh.tjmu.edu.cn), </w:t>
      </w:r>
    </w:p>
    <w:p w14:paraId="06733CF4">
      <w:pPr>
        <w:spacing w:line="480" w:lineRule="auto"/>
        <w:rPr>
          <w:rFonts w:eastAsia="宋体"/>
          <w:sz w:val="24"/>
          <w:szCs w:val="24"/>
        </w:rPr>
      </w:pPr>
      <w:r>
        <w:rPr>
          <w:rFonts w:eastAsia="宋体"/>
          <w:sz w:val="24"/>
          <w:szCs w:val="24"/>
        </w:rPr>
        <w:t xml:space="preserve">Dr. Limin Xia (xialimin@tjh.tjmu.edu.cn). </w:t>
      </w:r>
      <w:r>
        <w:rPr>
          <w:b/>
          <w:bCs/>
          <w:color w:val="000000"/>
          <w:sz w:val="24"/>
          <w:szCs w:val="24"/>
        </w:rPr>
        <w:br w:type="page"/>
      </w:r>
    </w:p>
    <w:p w14:paraId="0DF61178">
      <w:pPr>
        <w:spacing w:line="360" w:lineRule="auto"/>
        <w:jc w:val="both"/>
        <w:rPr>
          <w:b/>
          <w:color w:val="000000"/>
          <w:sz w:val="24"/>
          <w:szCs w:val="24"/>
        </w:rPr>
      </w:pPr>
      <w:r>
        <w:rPr>
          <w:b/>
          <w:bCs/>
          <w:color w:val="000000"/>
          <w:sz w:val="24"/>
          <w:szCs w:val="24"/>
        </w:rPr>
        <w:t>Methods</w:t>
      </w:r>
      <w:r>
        <w:rPr>
          <w:b/>
          <w:color w:val="000000"/>
          <w:sz w:val="24"/>
          <w:szCs w:val="24"/>
        </w:rPr>
        <w:t xml:space="preserve"> </w:t>
      </w:r>
    </w:p>
    <w:p w14:paraId="3408DE3E">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scRNA-Seq Data Acquisition and Analytical Pipeline​</w:t>
      </w:r>
    </w:p>
    <w:p w14:paraId="5342CC76">
      <w:pPr>
        <w:spacing w:line="360" w:lineRule="auto"/>
        <w:ind w:firstLine="240" w:firstLineChars="1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Three scRNA-Seq datasets (GSE149614, GSE202642, and GSE242889) were retrieved from the Gene Expression Omnibus (GEO) database and subjected to integrated analysis in this study. Collectively, these datasets encompassed 245,145 individual cells isolated from 42 treatment-naive hepatocellular carcinoma (HCC) samples.​ Raw scRNA-Seq data preprocessing was implemented using the Seurat R package, and potential doublets were identified and excluded via the DoubletFinder tool to eliminate technical artifacts. To ensure data quality, stringent filtering criteria were applied: cells with fewer than 500 detected genes, mitochondrial gene content exceeding 30%, or high rates of gene dropout were removed prior to downstream analyses. Normalization and scaling of the scRNA-Seq dataset were conducted using the SCTransform method. Dimensionality reduction was achieved through principal component analysis (PCA) with the top 30 principal components retained. Prior to cluster identification, dataset-level batch effects were mitigated using the Harmony algorithm to ensure cross-dataset comparability. Harmony-corrected embeddings were used for dimensionality reduction, clustering, and visualization, whereas gene-expression matrices were retained for downstream hypoxia scoring and classifier construction. Distinct cell clusters were defined via the Seurat-implemented FindNeighbors and FindClusters functions, followed by visualization through t-distributed stochastic neighbor embedding (t-SNE).​</w:t>
      </w:r>
    </w:p>
    <w:p w14:paraId="44AA9FD6">
      <w:pPr>
        <w:spacing w:line="360" w:lineRule="auto"/>
        <w:ind w:firstLine="240" w:firstLineChars="1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Cell-type annotation was initially performed using established lineage-specific markers reported in published literature: T cells (CD2, CD3D, CD3E, TRBC1, CD8A, CD8B), natural killer (NK) cells (PRF1, KLRF1, KLRD1, NKG7), B cells (CD19, CD79A, CD79B, MS4A1), plasma cells (TNFRSF17, MZB1, IGHG1, IGHA1), myeloid cells (CD14, CD68, CD163, LYZ, S100A8, FCGR3A), mast cells (TPSAB1, TPSB2, MS4A2), fibroblasts (COL1A1, COL1A2, COL3A1, DCN, MYH11, ACTA2), epithelial cells (EPCAM, KRT18, KRT8, ALB), and endothelial cells (VWF, PECAM1, CDH5, ENG, CLDN5, ACKR1).​</w:t>
      </w:r>
    </w:p>
    <w:p w14:paraId="60C2ADD5">
      <w:pPr>
        <w:spacing w:line="360" w:lineRule="auto"/>
        <w:jc w:val="both"/>
        <w:rPr>
          <w:b/>
          <w:color w:val="000000" w:themeColor="text1"/>
          <w:sz w:val="24"/>
          <w14:textFill>
            <w14:solidFill>
              <w14:schemeClr w14:val="tx1"/>
            </w14:solidFill>
          </w14:textFill>
        </w:rPr>
      </w:pPr>
    </w:p>
    <w:p w14:paraId="27939D19">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scGPT-Based Hypoxic Cell Classification Protocol​</w:t>
      </w:r>
    </w:p>
    <w:p w14:paraId="64FE7DF4">
      <w:pPr>
        <w:spacing w:line="360" w:lineRule="auto"/>
        <w:ind w:firstLine="240" w:firstLineChars="1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 xml:space="preserve">To accurately identify hypoxic cells within HCC single-cell datasets, a customized analytical workflow was established as outlined below:​ (1) Hypoxia-Associated Pathway Annotation​: Seven hypoxia-related gene sets previously curated by Zhang et al. were adopted to characterize hypoxia-associated biological pathways in the dataset.​ The seven hypoxia-related gene sets and the genes they contain are provided in </w:t>
      </w:r>
      <w:r>
        <w:rPr>
          <w:b/>
          <w:color w:val="000000" w:themeColor="text1"/>
          <w:sz w:val="24"/>
          <w14:textFill>
            <w14:solidFill>
              <w14:schemeClr w14:val="tx1"/>
            </w14:solidFill>
          </w14:textFill>
        </w:rPr>
        <w:t xml:space="preserve">Supplementary Table </w:t>
      </w:r>
      <w:r>
        <w:rPr>
          <w:rFonts w:hint="eastAsia" w:eastAsiaTheme="minorEastAsia"/>
          <w:b/>
          <w:color w:val="000000" w:themeColor="text1"/>
          <w:sz w:val="24"/>
          <w14:textFill>
            <w14:solidFill>
              <w14:schemeClr w14:val="tx1"/>
            </w14:solidFill>
          </w14:textFill>
        </w:rPr>
        <w:t>S</w:t>
      </w:r>
      <w:r>
        <w:rPr>
          <w:b/>
          <w:color w:val="000000" w:themeColor="text1"/>
          <w:sz w:val="24"/>
          <w14:textFill>
            <w14:solidFill>
              <w14:schemeClr w14:val="tx1"/>
            </w14:solidFill>
          </w14:textFill>
        </w:rPr>
        <w:t>1</w:t>
      </w:r>
      <w:r>
        <w:rPr>
          <w:bCs/>
          <w:color w:val="000000" w:themeColor="text1"/>
          <w:sz w:val="24"/>
          <w14:textFill>
            <w14:solidFill>
              <w14:schemeClr w14:val="tx1"/>
            </w14:solidFill>
          </w14:textFill>
        </w:rPr>
        <w:t>. (2) Classification of High-Confidence Hypoxic/Normoxic Cells​: Single-sample gene set enrichment analysis (ssGSEA) was utilized to quantify the activity score of each cell across the seven hypoxia-related gene sets. A Gaussian mixture model (GMM) was applied to stratify cells into high-score and low-score subgroups for each individual gene set. Cells consistently assigned to the high-score subgroup across all seven gene sets were defined as high-confidence hypoxic cells; conversely, cells uniformly categorized into the low-score subgroup across all gene sets were designated as high-confidence normoxic cells. All remaining cells were classified as low-confidence cells.​ (3) Hypoxic Status Determination for Low-Confidence Cells​: Based on the high-confidence cell populations, Wilcoxon rank-sum tests were performed to screen for differentially expressed genes (DEGs) between hypoxic and normoxic cells, with thresholds set at P</w:t>
      </w:r>
      <w:r>
        <w:rPr>
          <w:rFonts w:hint="eastAsia"/>
          <w:bCs/>
          <w:color w:val="000000" w:themeColor="text1"/>
          <w:sz w:val="24"/>
          <w14:textFill>
            <w14:solidFill>
              <w14:schemeClr w14:val="tx1"/>
            </w14:solidFill>
          </w14:textFill>
        </w:rPr>
        <w:t xml:space="preserve"> &lt;</w:t>
      </w:r>
      <w:r>
        <w:rPr>
          <w:bCs/>
          <w:color w:val="000000" w:themeColor="text1"/>
          <w:sz w:val="24"/>
          <w14:textFill>
            <w14:solidFill>
              <w14:schemeClr w14:val="tx1"/>
            </w14:solidFill>
          </w14:textFill>
        </w:rPr>
        <w:t>0.05 and absolute log2 fold change (|logFC|) &gt; 0.25. Only protein-coding genes were retained for subsequent analysis, and scGPT was leveraged to accomplish efficient imputation of missing transcriptomic data.​ (4) Classifier Construction and Performance Validation​: A panel of 10 machine learning algorithms was selected for classifier development, including Logistic Regression, eXtreme Gradient Boosting (XGBoost), Support Vector Machine (SVM), Random Forest, Light Gradient Boosting Machine (LightGBM), Naive Bayes, Decision Tree, Categorical Boosting (CatBoost), Multilayer Perceptron (MLP) neural network, and Gradient Boosting Machine (GBM). Training and test subsets were partitioned from the high-confidence single-cell cohort using dataset-stratified sampling to preserve the representation of each scRNA-seq cohort. Four independent real-world validation cohorts of hypoxic cell lines were further used to assess model generalizability. Model performance was evaluated using accuracy, and area under the receiver operating characteristic curve (AUROC). CatBoost was identified as the optimal classifier based on overall performance, and this top-performing model was subsequently applied to determine the hypoxic status of low-confidence cells.​</w:t>
      </w:r>
    </w:p>
    <w:p w14:paraId="1232EA7C">
      <w:pPr>
        <w:spacing w:line="360" w:lineRule="auto"/>
        <w:jc w:val="both"/>
        <w:rPr>
          <w:b/>
          <w:color w:val="000000" w:themeColor="text1"/>
          <w:sz w:val="24"/>
          <w14:textFill>
            <w14:solidFill>
              <w14:schemeClr w14:val="tx1"/>
            </w14:solidFill>
          </w14:textFill>
        </w:rPr>
      </w:pPr>
    </w:p>
    <w:p w14:paraId="465A5FA7">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Cell–Cell Communication Analysis​</w:t>
      </w:r>
    </w:p>
    <w:p w14:paraId="141463E2">
      <w:pPr>
        <w:spacing w:line="360" w:lineRule="auto"/>
        <w:ind w:firstLine="240" w:firstLineChars="1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Cell-cell communication profiles across heterogeneous cell types were investigated using CellphoneDB and CellChat, two specialized tools for ligand-receptor interaction inference. Normalized gene expression matrices and cell-type metadata were input into both analytical platforms, with a significance threshold of P &lt; 0.05 established to filter for statistically meaningful ligand-receptor interaction pairs.​</w:t>
      </w:r>
    </w:p>
    <w:p w14:paraId="6D48A340">
      <w:pPr>
        <w:spacing w:line="360" w:lineRule="auto"/>
        <w:jc w:val="both"/>
        <w:rPr>
          <w:rFonts w:eastAsiaTheme="minorEastAsia"/>
          <w:bCs/>
          <w:color w:val="000000" w:themeColor="text1"/>
          <w:sz w:val="24"/>
          <w14:textFill>
            <w14:solidFill>
              <w14:schemeClr w14:val="tx1"/>
            </w14:solidFill>
          </w14:textFill>
        </w:rPr>
      </w:pPr>
    </w:p>
    <w:p w14:paraId="16ABB966">
      <w:pPr>
        <w:spacing w:line="360" w:lineRule="auto"/>
        <w:jc w:val="both"/>
        <w:rPr>
          <w:rFonts w:eastAsiaTheme="minorEastAsia"/>
          <w:b/>
          <w:bCs/>
          <w:color w:val="000000" w:themeColor="text1"/>
          <w:sz w:val="24"/>
          <w14:textFill>
            <w14:solidFill>
              <w14:schemeClr w14:val="tx1"/>
            </w14:solidFill>
          </w14:textFill>
        </w:rPr>
      </w:pPr>
      <w:r>
        <w:rPr>
          <w:rFonts w:eastAsiaTheme="minorEastAsia"/>
          <w:b/>
          <w:bCs/>
          <w:color w:val="000000" w:themeColor="text1"/>
          <w:sz w:val="24"/>
          <w14:textFill>
            <w14:solidFill>
              <w14:schemeClr w14:val="tx1"/>
            </w14:solidFill>
          </w14:textFill>
        </w:rPr>
        <w:t>Spatial transcriptomic data acquisition and preprocessing</w:t>
      </w:r>
    </w:p>
    <w:p w14:paraId="54F44E27">
      <w:pPr>
        <w:spacing w:line="360" w:lineRule="auto"/>
        <w:ind w:firstLine="420"/>
        <w:jc w:val="both"/>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Publicly available spatial transcriptomic data of hepatocellular carcinoma (HCC) were obtained from the study by Liu et al [1]. Spatial transcriptomic profiles from representative HCC tumor sections</w:t>
      </w:r>
      <w:r>
        <w:rPr>
          <w:rFonts w:hint="eastAsia" w:eastAsiaTheme="minorEastAsia"/>
          <w:bCs/>
          <w:color w:val="000000" w:themeColor="text1"/>
          <w:sz w:val="24"/>
          <w14:textFill>
            <w14:solidFill>
              <w14:schemeClr w14:val="tx1"/>
            </w14:solidFill>
          </w14:textFill>
        </w:rPr>
        <w:t xml:space="preserve"> </w:t>
      </w:r>
      <w:r>
        <w:rPr>
          <w:rFonts w:eastAsiaTheme="minorEastAsia"/>
          <w:bCs/>
          <w:color w:val="000000" w:themeColor="text1"/>
          <w:sz w:val="24"/>
          <w14:textFill>
            <w14:solidFill>
              <w14:schemeClr w14:val="tx1"/>
            </w14:solidFill>
          </w14:textFill>
        </w:rPr>
        <w:t>were used for downstream analysis.</w:t>
      </w:r>
    </w:p>
    <w:p w14:paraId="3B670EAD">
      <w:pPr>
        <w:spacing w:line="360" w:lineRule="auto"/>
        <w:jc w:val="both"/>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Raw spatial transcriptomic count matrices and corresponding spatial coordinate information were processed using standard spatial transcriptomic analysis workflows. Gene expression matrices were normalized and log transformed. Dimensionality reduction and clustering were performed to identify major spatially resolved cellular compartments within the tumor tissues.</w:t>
      </w:r>
    </w:p>
    <w:p w14:paraId="7BAADAE3">
      <w:pPr>
        <w:spacing w:line="360" w:lineRule="auto"/>
        <w:ind w:firstLine="420"/>
        <w:jc w:val="both"/>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To evaluate the spatial relationship between hypoxic macrophages and PLAUR-expressing tumor epithelial cells, neighborhood composition analysis was performed. For each Hypoxia_Macro or Normoxia_Macro spot, Euclidean distance was calculated based on the tissue coordinate matrix, and neighboring spots within a predefined spatial radius were identified. The proportions of different neighboring cell populations were then quantified, with particular focus on the proportion of PLAUR-positive epithelial cells, and neighborhood compositions centered on Hypoxia_Macro and Normoxia_Macro spots were compared.</w:t>
      </w:r>
    </w:p>
    <w:p w14:paraId="649C20B6">
      <w:pPr>
        <w:spacing w:line="360" w:lineRule="auto"/>
        <w:jc w:val="both"/>
        <w:rPr>
          <w:rFonts w:eastAsiaTheme="minorEastAsia"/>
          <w:bCs/>
          <w:color w:val="000000" w:themeColor="text1"/>
          <w:sz w:val="24"/>
          <w14:textFill>
            <w14:solidFill>
              <w14:schemeClr w14:val="tx1"/>
            </w14:solidFill>
          </w14:textFill>
        </w:rPr>
      </w:pPr>
    </w:p>
    <w:p w14:paraId="549FD5AF">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Single-Cell Trajectory Analysis​</w:t>
      </w:r>
    </w:p>
    <w:p w14:paraId="12D5862D">
      <w:pPr>
        <w:spacing w:line="360" w:lineRule="auto"/>
        <w:ind w:firstLine="240" w:firstLineChars="1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To delineate the differentiation trajectories of myeloid cells under varying hypoxic conditions, single-cell trajectory analysis was conducted using the Monocle R package. The pseudotime values generated by the Monocle algorithm were further utilized for downstream enrichment analyses and related computational assessments.​</w:t>
      </w:r>
    </w:p>
    <w:p w14:paraId="24891988">
      <w:pPr>
        <w:spacing w:line="360" w:lineRule="auto"/>
        <w:jc w:val="both"/>
        <w:rPr>
          <w:bCs/>
          <w:color w:val="000000" w:themeColor="text1"/>
          <w:sz w:val="24"/>
          <w14:textFill>
            <w14:solidFill>
              <w14:schemeClr w14:val="tx1"/>
            </w14:solidFill>
          </w14:textFill>
        </w:rPr>
      </w:pPr>
    </w:p>
    <w:p w14:paraId="3AA53E30">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Transcription Factor (TF) Identification​</w:t>
      </w:r>
    </w:p>
    <w:p w14:paraId="704F91B9">
      <w:pPr>
        <w:spacing w:line="360" w:lineRule="auto"/>
        <w:ind w:firstLine="240" w:firstLineChars="1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To pinpoint core TFs in hypoxic TAMs (H-TAM), SCENIC analysis was executed following a three-step procedure: first, the GENIE3 algorithm was employed to infer gene regulatory networks (GRNs) from the input single-cell expression matrix; second, RcisTarget was used for DNA motif enrichment analysis to identify potential transcriptional regulators, with motif scoring performed on regions spanning 500 bp upstream and 10 kb flanking the transcription start sites (TSS) of target genes using the hg38 reference database; finally, AUCell was utilized to quantify the regulatory activity of candidate TFs, and cell-type specificity scores (RSS) for each TF were calculated to assess lineage-restricted regulatory functions.​</w:t>
      </w:r>
    </w:p>
    <w:p w14:paraId="379661B1">
      <w:pPr>
        <w:spacing w:line="360" w:lineRule="auto"/>
        <w:jc w:val="both"/>
        <w:rPr>
          <w:bCs/>
          <w:color w:val="000000" w:themeColor="text1"/>
          <w:sz w:val="24"/>
          <w14:textFill>
            <w14:solidFill>
              <w14:schemeClr w14:val="tx1"/>
            </w14:solidFill>
          </w14:textFill>
        </w:rPr>
      </w:pPr>
    </w:p>
    <w:p w14:paraId="1F2E83F7">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Biological Enrichment and Differential Expression Analyses​</w:t>
      </w:r>
    </w:p>
    <w:p w14:paraId="56896B34">
      <w:pPr>
        <w:spacing w:line="360" w:lineRule="auto"/>
        <w:ind w:firstLine="240" w:firstLineChars="1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For bulk transcriptome datasets, differential gene expression analysis was carried out using the limma R package, while the FindMarkers function in Seurat was applied for DEG detection in scRNA-seq data. Pathway enrichment analysis was subsequently performed using the clusterProfiler R package to annotate the functional relevance of differentially expressed or cell-type-specific gene sets.</w:t>
      </w:r>
    </w:p>
    <w:p w14:paraId="70E286E0">
      <w:pPr>
        <w:spacing w:line="360" w:lineRule="auto"/>
        <w:jc w:val="both"/>
        <w:rPr>
          <w:bCs/>
          <w:color w:val="000000" w:themeColor="text1"/>
          <w:sz w:val="24"/>
          <w14:textFill>
            <w14:solidFill>
              <w14:schemeClr w14:val="tx1"/>
            </w14:solidFill>
          </w14:textFill>
        </w:rPr>
      </w:pPr>
    </w:p>
    <w:p w14:paraId="3D5D292D">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Protein-Protein Docking</w:t>
      </w:r>
    </w:p>
    <w:p w14:paraId="3A01691B">
      <w:pPr>
        <w:spacing w:line="360" w:lineRule="auto"/>
        <w:ind w:firstLine="240" w:firstLineChars="1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The binding modes of proteins were predicted using the AlphaFold Server. Protein sequence files were retrieved separately from the UniProt database. Subsequently, these sequences were submitted to the AlphaFold Server for fully automated prediction. Upon completion of prediction, PyMOL 2.5.3 was employed for visualization and analysis of the results.</w:t>
      </w:r>
    </w:p>
    <w:p w14:paraId="632A0EC4">
      <w:pPr>
        <w:spacing w:line="360" w:lineRule="auto"/>
        <w:jc w:val="both"/>
        <w:rPr>
          <w:bCs/>
          <w:color w:val="000000" w:themeColor="text1"/>
          <w:sz w:val="24"/>
          <w14:textFill>
            <w14:solidFill>
              <w14:schemeClr w14:val="tx1"/>
            </w14:solidFill>
          </w14:textFill>
        </w:rPr>
      </w:pPr>
    </w:p>
    <w:p w14:paraId="5F856CDD">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Correlation analysis between PLAUR expression and drug response in hepatocellular carcinoma samples</w:t>
      </w:r>
    </w:p>
    <w:p w14:paraId="1CAE3733">
      <w:pPr>
        <w:spacing w:line="360" w:lineRule="auto"/>
        <w:ind w:firstLine="240" w:firstLineChars="1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The association between PLAUR expression and drug response in HCC samples was analyzed using the BEST tool</w:t>
      </w:r>
      <w:r>
        <w:rPr>
          <w:bCs/>
          <w:color w:val="000000" w:themeColor="text1"/>
          <w:sz w:val="24"/>
          <w14:textFill>
            <w14:solidFill>
              <w14:schemeClr w14:val="tx1"/>
            </w14:solidFill>
          </w14:textFill>
        </w:rPr>
        <w:fldChar w:fldCharType="begin"/>
      </w:r>
      <w:r>
        <w:rPr>
          <w:bCs/>
          <w:color w:val="000000" w:themeColor="text1"/>
          <w:sz w:val="24"/>
          <w14:textFill>
            <w14:solidFill>
              <w14:schemeClr w14:val="tx1"/>
            </w14:solidFill>
          </w14:textFill>
        </w:rPr>
        <w:instrText xml:space="preserve"> ADDIN EN.CITE &lt;EndNote&gt;&lt;Cite&gt;&lt;Author&gt;Liu&lt;/Author&gt;&lt;Year&gt;2023&lt;/Year&gt;&lt;RecNum&gt;2206&lt;/RecNum&gt;&lt;DisplayText&gt;[1]&lt;/DisplayText&gt;&lt;record&gt;&lt;rec-number&gt;2206&lt;/rec-number&gt;&lt;foreign-keys&gt;&lt;key app="EN" db-id="2vp9vxxp1e9wt8ete05vxv51zpvvxrp5drdx" timestamp="1768903437"&gt;2206&lt;/key&gt;&lt;/foreign-keys&gt;&lt;ref-type name="Journal Article"&gt;17&lt;/ref-type&gt;&lt;contributors&gt;&lt;authors&gt;&lt;author&gt;Liu, Zaoqu&lt;/author&gt;&lt;author&gt;Liu, Long&lt;/author&gt;&lt;author&gt;Weng, Siyuan&lt;/author&gt;&lt;author&gt;Xu, Hui&lt;/author&gt;&lt;author&gt;Xing, Zhe&lt;/author&gt;&lt;author&gt;Ren, Yuqing&lt;/author&gt;&lt;author&gt;Ge, Xiaoyong&lt;/author&gt;&lt;author&gt;Wang, Libo&lt;/author&gt;&lt;author&gt;Guo, Chunguang&lt;/author&gt;&lt;author&gt;Li, Lifeng&lt;/author&gt;&lt;author&gt;Cheng, Quan&lt;/author&gt;&lt;author&gt;Luo, Peng&lt;/author&gt;&lt;author&gt;Zhang, Jian&lt;/author&gt;&lt;author&gt;Han, Xinwei&lt;/author&gt;&lt;/authors&gt;&lt;/contributors&gt;&lt;titles&gt;&lt;title&gt;BEST: a web application for comprehensive biomarker exploration on large-scale data in solid tumors&lt;/title&gt;&lt;secondary-title&gt;Journal of Big Data&lt;/secondary-title&gt;&lt;/titles&gt;&lt;periodical&gt;&lt;full-title&gt;Journal of Big Data&lt;/full-title&gt;&lt;/periodical&gt;&lt;pages&gt;165&lt;/pages&gt;&lt;volume&gt;10&lt;/volume&gt;&lt;number&gt;1&lt;/number&gt;&lt;dates&gt;&lt;year&gt;2023&lt;/year&gt;&lt;pub-dates&gt;&lt;date&gt;2023/11/01&lt;/date&gt;&lt;/pub-dates&gt;&lt;/dates&gt;&lt;isbn&gt;2196-1115&lt;/isbn&gt;&lt;urls&gt;&lt;related-urls&gt;&lt;url&gt;https://doi.org/10.1186/s40537-023-00844-y&lt;/url&gt;&lt;/related-urls&gt;&lt;/urls&gt;&lt;electronic-resource-num&gt;10.1186/s40537-023-00844-y&lt;/electronic-resource-num&gt;&lt;/record&gt;&lt;/Cite&gt;&lt;/EndNote&gt;</w:instrText>
      </w:r>
      <w:r>
        <w:rPr>
          <w:bCs/>
          <w:color w:val="000000" w:themeColor="text1"/>
          <w:sz w:val="24"/>
          <w14:textFill>
            <w14:solidFill>
              <w14:schemeClr w14:val="tx1"/>
            </w14:solidFill>
          </w14:textFill>
        </w:rPr>
        <w:fldChar w:fldCharType="separate"/>
      </w:r>
      <w:r>
        <w:rPr>
          <w:bCs/>
          <w:color w:val="000000" w:themeColor="text1"/>
          <w:sz w:val="24"/>
          <w14:textFill>
            <w14:solidFill>
              <w14:schemeClr w14:val="tx1"/>
            </w14:solidFill>
          </w14:textFill>
        </w:rPr>
        <w:t>[2]</w:t>
      </w:r>
      <w:r>
        <w:rPr>
          <w:bCs/>
          <w:color w:val="000000" w:themeColor="text1"/>
          <w:sz w:val="24"/>
          <w14:textFill>
            <w14:solidFill>
              <w14:schemeClr w14:val="tx1"/>
            </w14:solidFill>
          </w14:textFill>
        </w:rPr>
        <w:fldChar w:fldCharType="end"/>
      </w:r>
      <w:r>
        <w:rPr>
          <w:bCs/>
          <w:color w:val="000000" w:themeColor="text1"/>
          <w:sz w:val="24"/>
          <w14:textFill>
            <w14:solidFill>
              <w14:schemeClr w14:val="tx1"/>
            </w14:solidFill>
          </w14:textFill>
        </w:rPr>
        <w:t>, following the workflow below: (1) Data sources: Transcriptomic profiles and drug response data (IC₅₀ values) of cancer cell lines were retrieved from the GDSC_v2 and CTRP databases. Transcriptomic data (including PLAUR expression levels) of HCC bulk samples in this study were also incorporated. (2) Matching of gene co-expression patterns: Given the inherent differences between bulk samples and cell line cultures, a correlation of correlations framework was applied to filter genes with analogous co-expression patterns in HCC bulk samples and cancer cell lines, thereby improving the reliability of subsequent predictions. (3) Construction of drug response prediction model: A ridge regression algorithm was used to build a predictive model based on the transcriptomic profiles and drug response data of cancer cell lines. The model’s accuracy was validated via 10-fold cross-validation. Using this model, the response of HCC samples to each drug in the GDSC_v2 and CTRP databases was predicted only from the PLAUR expression data of the samples. (4) Analysis of PLAUR-drug associations: The correlation between PLAUR expression and predicted drug response was calculated in the HCC sample cohort. The robust rank aggregation (RRA) algorithm was applied to integrate and rank the correlation results from the GDSC_v2 and CTRP databases, to identify drugs significantly associated with PLAUR expression. The correlations between PLAUR and target drugs were visualized using heatmaps and scatter plots.</w:t>
      </w:r>
    </w:p>
    <w:p w14:paraId="62885BFE">
      <w:pPr>
        <w:spacing w:line="360" w:lineRule="auto"/>
        <w:jc w:val="both"/>
        <w:rPr>
          <w:bCs/>
          <w:color w:val="000000" w:themeColor="text1"/>
          <w:sz w:val="24"/>
          <w14:textFill>
            <w14:solidFill>
              <w14:schemeClr w14:val="tx1"/>
            </w14:solidFill>
          </w14:textFill>
        </w:rPr>
      </w:pPr>
    </w:p>
    <w:p w14:paraId="243E0F85">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Protein-Small Molecule Docking</w:t>
      </w:r>
    </w:p>
    <w:p w14:paraId="7BE61889">
      <w:pPr>
        <w:spacing w:line="360" w:lineRule="auto"/>
        <w:ind w:firstLine="240" w:firstLineChars="1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The crystal structures of target proteins were obtained from the UniProt database (https://www.uniprot.org/). To ensure the crystal structures met the requirements for molecular docking simulations, water molecules in the structural templates were first removed to restore the original conformations, and the processed structures were used as target proteins for subsequent molecular docking. For ligand preparation, the initial structures of ligands were constructed and structurally optimized using ChemDraw 19.0 software. AutoDock was utilized to predict the binding affinity between proteins and small molecules in molecular docking simulations. After docking, PyMOL was applied for 3D visualization of the docking results.</w:t>
      </w:r>
    </w:p>
    <w:p w14:paraId="45483AF4">
      <w:pPr>
        <w:spacing w:line="360" w:lineRule="auto"/>
        <w:ind w:firstLine="240" w:firstLineChars="100"/>
        <w:jc w:val="both"/>
        <w:rPr>
          <w:bCs/>
          <w:color w:val="000000" w:themeColor="text1"/>
          <w:sz w:val="24"/>
          <w14:textFill>
            <w14:solidFill>
              <w14:schemeClr w14:val="tx1"/>
            </w14:solidFill>
          </w14:textFill>
        </w:rPr>
      </w:pPr>
    </w:p>
    <w:p w14:paraId="7F0A6DCA">
      <w:pPr>
        <w:spacing w:line="360" w:lineRule="auto"/>
        <w:jc w:val="both"/>
        <w:rPr>
          <w:b/>
          <w:bCs/>
          <w:color w:val="000000"/>
          <w:sz w:val="24"/>
          <w:szCs w:val="24"/>
        </w:rPr>
      </w:pPr>
      <w:r>
        <w:rPr>
          <w:b/>
          <w:bCs/>
          <w:sz w:val="24"/>
          <w:szCs w:val="24"/>
        </w:rPr>
        <w:t xml:space="preserve">Cell culture </w:t>
      </w:r>
    </w:p>
    <w:p w14:paraId="4E22E5B4">
      <w:pPr>
        <w:spacing w:line="360" w:lineRule="auto"/>
        <w:ind w:firstLine="240" w:firstLineChars="100"/>
        <w:jc w:val="both"/>
        <w:rPr>
          <w:color w:val="000000"/>
          <w:sz w:val="24"/>
          <w:szCs w:val="24"/>
        </w:rPr>
      </w:pPr>
      <w:r>
        <w:rPr>
          <w:color w:val="000000"/>
          <w:sz w:val="24"/>
          <w:szCs w:val="24"/>
        </w:rPr>
        <w:t>Mice HCC cell lines Hepa1-6 were acquired from the Institute of Biochemistry and Cell Biology, Chinese Academy of Science, China. THP-1 and Human HCC cells PLC/PRF/5 were purchased from the American Type Culture Collection. Cells were cultured in Dulbecco’s Modified Eagle Medium (DMEM) or RPMI 1640 at 37°C in a 5% CO</w:t>
      </w:r>
      <w:r>
        <w:rPr>
          <w:color w:val="000000"/>
          <w:sz w:val="24"/>
          <w:szCs w:val="24"/>
          <w:vertAlign w:val="subscript"/>
        </w:rPr>
        <w:t>2</w:t>
      </w:r>
      <w:r>
        <w:rPr>
          <w:color w:val="000000"/>
          <w:sz w:val="24"/>
          <w:szCs w:val="24"/>
        </w:rPr>
        <w:t xml:space="preserve"> incubator. The medium was supplemented with 10%</w:t>
      </w:r>
      <w:r>
        <w:rPr>
          <w:sz w:val="24"/>
        </w:rPr>
        <w:t xml:space="preserve"> fetal bovine serum (FBS)</w:t>
      </w:r>
      <w:r>
        <w:rPr>
          <w:color w:val="000000"/>
          <w:sz w:val="24"/>
          <w:szCs w:val="24"/>
        </w:rPr>
        <w:t xml:space="preserve">, 100μg/ml penicillin, and 100μg/ml streptomycin. These above cell lines were authenticated by short tandem repeats (STRs) DNA profiling. All cells were tested for mycoplasma contamination before use with the Universal Mycoplasma Detection Kit (ATCC 30-1012K) and were not contaminated by mycoplasma. </w:t>
      </w:r>
    </w:p>
    <w:p w14:paraId="2BD305E1">
      <w:pPr>
        <w:spacing w:line="360" w:lineRule="auto"/>
        <w:jc w:val="both"/>
        <w:rPr>
          <w:b/>
          <w:bCs/>
          <w:sz w:val="24"/>
        </w:rPr>
      </w:pPr>
    </w:p>
    <w:p w14:paraId="59955A42">
      <w:pPr>
        <w:spacing w:line="360" w:lineRule="auto"/>
        <w:jc w:val="both"/>
        <w:rPr>
          <w:b/>
          <w:bCs/>
          <w:sz w:val="24"/>
        </w:rPr>
      </w:pPr>
      <w:r>
        <w:rPr>
          <w:b/>
          <w:bCs/>
          <w:sz w:val="24"/>
        </w:rPr>
        <w:t>Differentiation and treatment of BMDMs and THP-1 cells</w:t>
      </w:r>
    </w:p>
    <w:p w14:paraId="51B487CB">
      <w:pPr>
        <w:spacing w:line="360" w:lineRule="auto"/>
        <w:jc w:val="both"/>
        <w:rPr>
          <w:sz w:val="24"/>
        </w:rPr>
      </w:pPr>
      <w:r>
        <w:rPr>
          <w:b/>
          <w:bCs/>
          <w:sz w:val="24"/>
        </w:rPr>
        <w:t xml:space="preserve">  </w:t>
      </w:r>
      <w:r>
        <w:rPr>
          <w:sz w:val="24"/>
        </w:rPr>
        <w:t>BMDMs were isolated from the femurs and tibias of 6–8-week-old C57BL/6J mice and plated in α-MEM supplemented with 10% FBS, 50 ng/mL M-CSF, and 1% penicillin/streptomycin for 5–7 days to induce differentiation into mature, unpolarized macrophages (M0). After differentiation, M0 macrophages were cultured under different oxygen conditions to generate TAM-like BMDMs: the normoxic group (N-BMDM) was maintained under 21% O</w:t>
      </w:r>
      <w:r>
        <w:rPr>
          <w:sz w:val="24"/>
          <w:vertAlign w:val="subscript"/>
        </w:rPr>
        <w:t>2</w:t>
      </w:r>
      <w:r>
        <w:rPr>
          <w:sz w:val="24"/>
        </w:rPr>
        <w:t>, while the hypoxic group (H-BMDM) was maintained under 1% O</w:t>
      </w:r>
      <w:r>
        <w:rPr>
          <w:sz w:val="24"/>
          <w:vertAlign w:val="subscript"/>
        </w:rPr>
        <w:t>2</w:t>
      </w:r>
      <w:r>
        <w:rPr>
          <w:sz w:val="24"/>
        </w:rPr>
        <w:t xml:space="preserve">. To mimic the tumor microenvironment, 50% tumor-conditioned medium collected from Hepa1-6 cells cultured for 48 hours was added to the medium for 24–48 hours to induce TAM-like phenotypes. The differentiation of TAMs-like BMDM was confirmed by assessing the expression of CD206 and Arg-1 via flow cytometry. Subsequently, TAMs-like BMDM generated under different oxygen conditions were used for co-culture with tumor cells in Transwell assays or for </w:t>
      </w:r>
      <w:r>
        <w:rPr>
          <w:i/>
          <w:iCs/>
          <w:sz w:val="24"/>
        </w:rPr>
        <w:t>in vivo</w:t>
      </w:r>
      <w:r>
        <w:rPr>
          <w:sz w:val="24"/>
        </w:rPr>
        <w:t xml:space="preserve"> orthotopic injection experiments, as detailed in the corresponding sections.</w:t>
      </w:r>
    </w:p>
    <w:p w14:paraId="15CA4D37">
      <w:pPr>
        <w:spacing w:line="360" w:lineRule="auto"/>
        <w:ind w:firstLine="240" w:firstLineChars="100"/>
        <w:jc w:val="both"/>
        <w:rPr>
          <w:color w:val="000000"/>
          <w:sz w:val="24"/>
          <w:szCs w:val="24"/>
        </w:rPr>
      </w:pPr>
      <w:r>
        <w:rPr>
          <w:color w:val="000000"/>
          <w:sz w:val="24"/>
          <w:szCs w:val="24"/>
        </w:rPr>
        <w:t>For THP-1 cells, differentiation into macrophage-like cells was induced by treatment with 100 nM PMA for 24 h, followed by an additional 24 h incubation in fresh medium to allow recovery before downstream experimental procedures.</w:t>
      </w:r>
    </w:p>
    <w:p w14:paraId="0D0101FD">
      <w:pPr>
        <w:spacing w:line="360" w:lineRule="auto"/>
        <w:jc w:val="both"/>
        <w:rPr>
          <w:color w:val="000000"/>
          <w:sz w:val="24"/>
          <w:szCs w:val="24"/>
        </w:rPr>
      </w:pPr>
    </w:p>
    <w:p w14:paraId="7AB5F390">
      <w:pPr>
        <w:spacing w:line="360" w:lineRule="auto"/>
        <w:jc w:val="both"/>
        <w:rPr>
          <w:rFonts w:ascii="Times New Roman Bold" w:hAnsi="Times New Roman Bold" w:cs="Times New Roman Bold"/>
          <w:b/>
          <w:bCs/>
          <w:color w:val="000000"/>
          <w:sz w:val="24"/>
          <w:szCs w:val="24"/>
        </w:rPr>
      </w:pPr>
      <w:r>
        <w:rPr>
          <w:rFonts w:ascii="Times New Roman Bold" w:hAnsi="Times New Roman Bold" w:cs="Times New Roman Bold"/>
          <w:b/>
          <w:bCs/>
          <w:color w:val="000000"/>
          <w:sz w:val="24"/>
          <w:szCs w:val="24"/>
        </w:rPr>
        <w:t>Macrophage population definitions and nomenclature</w:t>
      </w:r>
    </w:p>
    <w:p w14:paraId="314DE568">
      <w:pPr>
        <w:spacing w:line="360" w:lineRule="auto"/>
        <w:ind w:firstLine="240" w:firstLineChars="100"/>
        <w:jc w:val="both"/>
        <w:rPr>
          <w:color w:val="000000"/>
          <w:sz w:val="24"/>
          <w:szCs w:val="24"/>
        </w:rPr>
      </w:pPr>
      <w:r>
        <w:rPr>
          <w:rFonts w:hint="eastAsia"/>
          <w:color w:val="000000"/>
          <w:sz w:val="24"/>
          <w:szCs w:val="24"/>
        </w:rPr>
        <w:t>To avoid ambiguity, all macrophage populations in this study are defined according to their biological origin and experimental context.</w:t>
      </w:r>
      <w:r>
        <w:rPr>
          <w:color w:val="000000"/>
          <w:sz w:val="24"/>
          <w:szCs w:val="24"/>
        </w:rPr>
        <w:t xml:space="preserve"> </w:t>
      </w:r>
      <w:r>
        <w:rPr>
          <w:rFonts w:ascii="Times New Roman Bold" w:hAnsi="Times New Roman Bold" w:cs="Times New Roman Bold"/>
          <w:b/>
          <w:bCs/>
          <w:color w:val="000000"/>
          <w:sz w:val="24"/>
          <w:szCs w:val="24"/>
        </w:rPr>
        <w:t xml:space="preserve">(1) TAMs, H-TAM and N-TAM: </w:t>
      </w:r>
      <w:r>
        <w:rPr>
          <w:rFonts w:hint="eastAsia"/>
          <w:color w:val="000000"/>
          <w:sz w:val="24"/>
          <w:szCs w:val="24"/>
        </w:rPr>
        <w:t xml:space="preserve">TAMs refer to the entire </w:t>
      </w:r>
      <w:r>
        <w:rPr>
          <w:color w:val="000000"/>
          <w:sz w:val="24"/>
          <w:szCs w:val="24"/>
        </w:rPr>
        <w:t>TAM</w:t>
      </w:r>
      <w:r>
        <w:rPr>
          <w:rFonts w:hint="eastAsia"/>
          <w:color w:val="000000"/>
          <w:sz w:val="24"/>
          <w:szCs w:val="24"/>
        </w:rPr>
        <w:t xml:space="preserve"> pool identified in single-cell RNA-seq (scRNA-seq) datasets from human HCC tissues. Within this pool, we applied a machine learning-based hypoxia classifier to distinguish two transcriptional states, termed H-</w:t>
      </w:r>
      <w:r>
        <w:rPr>
          <w:color w:val="000000"/>
          <w:sz w:val="24"/>
          <w:szCs w:val="24"/>
        </w:rPr>
        <w:t>TAM</w:t>
      </w:r>
      <w:r>
        <w:rPr>
          <w:rFonts w:hint="eastAsia"/>
          <w:color w:val="000000"/>
          <w:sz w:val="24"/>
          <w:szCs w:val="24"/>
        </w:rPr>
        <w:t xml:space="preserve"> and N-</w:t>
      </w:r>
      <w:r>
        <w:rPr>
          <w:color w:val="000000"/>
          <w:sz w:val="24"/>
          <w:szCs w:val="24"/>
        </w:rPr>
        <w:t>TAM</w:t>
      </w:r>
      <w:r>
        <w:rPr>
          <w:rFonts w:hint="eastAsia"/>
          <w:color w:val="000000"/>
          <w:sz w:val="24"/>
          <w:szCs w:val="24"/>
        </w:rPr>
        <w:t>. H-</w:t>
      </w:r>
      <w:r>
        <w:rPr>
          <w:color w:val="000000"/>
          <w:sz w:val="24"/>
          <w:szCs w:val="24"/>
        </w:rPr>
        <w:t>TAM</w:t>
      </w:r>
      <w:r>
        <w:rPr>
          <w:rFonts w:hint="eastAsia"/>
          <w:color w:val="000000"/>
          <w:sz w:val="24"/>
          <w:szCs w:val="24"/>
        </w:rPr>
        <w:t xml:space="preserve"> and N-</w:t>
      </w:r>
      <w:r>
        <w:rPr>
          <w:color w:val="000000"/>
          <w:sz w:val="24"/>
          <w:szCs w:val="24"/>
        </w:rPr>
        <w:t>TAM</w:t>
      </w:r>
      <w:r>
        <w:rPr>
          <w:rFonts w:hint="eastAsia"/>
          <w:color w:val="000000"/>
          <w:sz w:val="24"/>
          <w:szCs w:val="24"/>
        </w:rPr>
        <w:t xml:space="preserve"> are not discrete lineages but represent hypoxia-enriched and hypoxia-depleted </w:t>
      </w:r>
      <w:r>
        <w:rPr>
          <w:color w:val="000000"/>
          <w:sz w:val="24"/>
          <w:szCs w:val="24"/>
        </w:rPr>
        <w:t>TAM</w:t>
      </w:r>
      <w:r>
        <w:rPr>
          <w:rFonts w:hint="eastAsia"/>
          <w:color w:val="000000"/>
          <w:sz w:val="24"/>
          <w:szCs w:val="24"/>
        </w:rPr>
        <w:t xml:space="preserve"> states within the TAM compartment.</w:t>
      </w:r>
      <w:r>
        <w:rPr>
          <w:color w:val="000000"/>
          <w:sz w:val="24"/>
          <w:szCs w:val="24"/>
        </w:rPr>
        <w:t xml:space="preserve"> </w:t>
      </w:r>
      <w:r>
        <w:rPr>
          <w:rFonts w:ascii="Times New Roman Bold" w:hAnsi="Times New Roman Bold" w:cs="Times New Roman Bold"/>
          <w:b/>
          <w:bCs/>
          <w:color w:val="000000"/>
          <w:sz w:val="24"/>
          <w:szCs w:val="24"/>
        </w:rPr>
        <w:t>(2) BMDM, H-BMDM, N-BMDM:</w:t>
      </w:r>
      <w:r>
        <w:rPr>
          <w:color w:val="000000"/>
          <w:sz w:val="24"/>
          <w:szCs w:val="24"/>
        </w:rPr>
        <w:t xml:space="preserve"> TAMs</w:t>
      </w:r>
      <w:r>
        <w:rPr>
          <w:rFonts w:hint="eastAsia"/>
          <w:color w:val="000000"/>
          <w:sz w:val="24"/>
          <w:szCs w:val="24"/>
        </w:rPr>
        <w:t xml:space="preserve"> are terminally differentiated cells that rapidly lose their in vivo functional properties upon in vitro culture. Moreover, no stable cell line fully recapitulates the phenotypic and functional complexity of bona fide </w:t>
      </w:r>
      <w:r>
        <w:rPr>
          <w:color w:val="000000"/>
          <w:sz w:val="24"/>
          <w:szCs w:val="24"/>
        </w:rPr>
        <w:t>TAMs</w:t>
      </w:r>
      <w:r>
        <w:rPr>
          <w:rFonts w:hint="eastAsia"/>
          <w:color w:val="000000"/>
          <w:sz w:val="24"/>
          <w:szCs w:val="24"/>
        </w:rPr>
        <w:t xml:space="preserve">. Given these constraints, we used syngeneic mouse BMDM as a genetically tractable and reproducible surrogate model. In our experiments, BMDMs were subsequently cultured under </w:t>
      </w:r>
      <w:r>
        <w:rPr>
          <w:color w:val="000000"/>
          <w:sz w:val="24"/>
          <w:szCs w:val="24"/>
        </w:rPr>
        <w:t>normoxic</w:t>
      </w:r>
      <w:r>
        <w:rPr>
          <w:rFonts w:hint="eastAsia"/>
          <w:color w:val="000000"/>
          <w:sz w:val="24"/>
          <w:szCs w:val="24"/>
        </w:rPr>
        <w:t xml:space="preserve"> or hypoxia to generate N‑BMDM and H‑BMDM, respectively. These subgroups share identical cellular origin and differ only in oxygen tension.</w:t>
      </w:r>
      <w:r>
        <w:rPr>
          <w:color w:val="000000"/>
          <w:sz w:val="24"/>
          <w:szCs w:val="24"/>
        </w:rPr>
        <w:t xml:space="preserve"> </w:t>
      </w:r>
      <w:r>
        <w:rPr>
          <w:rFonts w:ascii="Times New Roman Bold" w:hAnsi="Times New Roman Bold" w:cs="Times New Roman Bold"/>
          <w:b/>
          <w:bCs/>
          <w:color w:val="000000"/>
          <w:sz w:val="24"/>
          <w:szCs w:val="24"/>
        </w:rPr>
        <w:t>(3) THP-1, H-THP-1, N-THP-1:</w:t>
      </w:r>
      <w:r>
        <w:rPr>
          <w:color w:val="000000"/>
          <w:sz w:val="24"/>
          <w:szCs w:val="24"/>
        </w:rPr>
        <w:t xml:space="preserve"> THP</w:t>
      </w:r>
      <w:r>
        <w:rPr>
          <w:rFonts w:hint="eastAsia"/>
          <w:color w:val="000000"/>
          <w:sz w:val="24"/>
          <w:szCs w:val="24"/>
        </w:rPr>
        <w:t xml:space="preserve">-1 is a human monocytic cell line originally derived from the peripheral blood of a patient with acute monocytic leukemia. THP-1 monocytes were differentiated into macrophage-like cells using PMA. The resulting THP-1-derived macrophages represent a baseline, uncommitted state and serve as a widely used human in vitro model to recapitulate macrophage responses under conditions that mimic the hypoxic human tumor microenvironment. For experimental purposes, these cells were cultured under </w:t>
      </w:r>
      <w:r>
        <w:rPr>
          <w:color w:val="000000"/>
          <w:sz w:val="24"/>
          <w:szCs w:val="24"/>
        </w:rPr>
        <w:t>normoxic</w:t>
      </w:r>
      <w:r>
        <w:rPr>
          <w:rFonts w:hint="eastAsia"/>
          <w:color w:val="000000"/>
          <w:sz w:val="24"/>
          <w:szCs w:val="24"/>
        </w:rPr>
        <w:t xml:space="preserve"> or hypoxia and are referred to as N-THP-1 and H-THP-1, respectively.</w:t>
      </w:r>
    </w:p>
    <w:p w14:paraId="146697A2">
      <w:pPr>
        <w:spacing w:line="360" w:lineRule="auto"/>
        <w:jc w:val="both"/>
        <w:rPr>
          <w:color w:val="000000"/>
          <w:sz w:val="24"/>
          <w:szCs w:val="24"/>
        </w:rPr>
      </w:pPr>
    </w:p>
    <w:p w14:paraId="3ED3D4F4">
      <w:pPr>
        <w:spacing w:line="360" w:lineRule="auto"/>
        <w:jc w:val="both"/>
        <w:rPr>
          <w:b/>
          <w:bCs/>
          <w:color w:val="000000"/>
          <w:sz w:val="24"/>
          <w:szCs w:val="24"/>
        </w:rPr>
      </w:pPr>
      <w:r>
        <w:rPr>
          <w:b/>
          <w:bCs/>
          <w:color w:val="000000"/>
          <w:sz w:val="24"/>
          <w:szCs w:val="24"/>
        </w:rPr>
        <w:t>Orthotopic syngeneic transplantable mouse models</w:t>
      </w:r>
    </w:p>
    <w:p w14:paraId="5F9D69D5">
      <w:pPr>
        <w:spacing w:line="360" w:lineRule="auto"/>
        <w:ind w:firstLine="240" w:firstLineChars="100"/>
        <w:jc w:val="both"/>
        <w:rPr>
          <w:color w:val="000000"/>
          <w:sz w:val="24"/>
          <w:szCs w:val="24"/>
        </w:rPr>
      </w:pPr>
      <w:r>
        <w:rPr>
          <w:color w:val="000000"/>
          <w:sz w:val="24"/>
          <w:szCs w:val="24"/>
        </w:rPr>
        <w:t>Male 6-week-old C57BL/6J mice were fed in standard conditions and cared for according to the institutional guidelines for animal care. Mice were randomly assigned into experimental or control groups. For in vivo metastasis assay, 2.0 × 10</w:t>
      </w:r>
      <w:r>
        <w:rPr>
          <w:color w:val="000000"/>
          <w:sz w:val="24"/>
          <w:szCs w:val="24"/>
          <w:vertAlign w:val="superscript"/>
        </w:rPr>
        <w:t xml:space="preserve">6 </w:t>
      </w:r>
      <w:r>
        <w:rPr>
          <w:color w:val="000000"/>
          <w:sz w:val="24"/>
          <w:szCs w:val="24"/>
        </w:rPr>
        <w:t>BMDM and 2.0 × 10</w:t>
      </w:r>
      <w:r>
        <w:rPr>
          <w:color w:val="000000"/>
          <w:sz w:val="24"/>
          <w:szCs w:val="24"/>
          <w:vertAlign w:val="superscript"/>
        </w:rPr>
        <w:t>6</w:t>
      </w:r>
      <w:r>
        <w:rPr>
          <w:color w:val="000000"/>
          <w:sz w:val="24"/>
          <w:szCs w:val="24"/>
        </w:rPr>
        <w:t xml:space="preserve"> Hepa1-6 cells labeled with fluorescein were resuspended in 50 μl phosphate-buffered saline and mixed with 50 μl Matrigel and then injected into the right lobe livers. There were ten mice in each group. The C57BL/6J mice sacrificed after 9 weeks. The lung and liver were collected for further study.</w:t>
      </w:r>
    </w:p>
    <w:p w14:paraId="34F1FE60">
      <w:pPr>
        <w:spacing w:line="360" w:lineRule="auto"/>
        <w:jc w:val="both"/>
        <w:rPr>
          <w:bCs/>
          <w:color w:val="000000" w:themeColor="text1"/>
          <w:sz w:val="24"/>
          <w14:textFill>
            <w14:solidFill>
              <w14:schemeClr w14:val="tx1"/>
            </w14:solidFill>
          </w14:textFill>
        </w:rPr>
      </w:pPr>
    </w:p>
    <w:p w14:paraId="42B8753A">
      <w:pPr>
        <w:spacing w:line="360" w:lineRule="auto"/>
        <w:jc w:val="both"/>
        <w:rPr>
          <w:b/>
          <w:bCs/>
          <w:color w:val="000000"/>
          <w:sz w:val="24"/>
          <w:szCs w:val="24"/>
        </w:rPr>
      </w:pPr>
      <w:r>
        <w:rPr>
          <w:b/>
          <w:bCs/>
          <w:color w:val="000000"/>
          <w:sz w:val="24"/>
          <w:szCs w:val="24"/>
        </w:rPr>
        <w:t xml:space="preserve">Patients and follow-up </w:t>
      </w:r>
    </w:p>
    <w:p w14:paraId="39760F6F">
      <w:pPr>
        <w:autoSpaceDE w:val="0"/>
        <w:autoSpaceDN w:val="0"/>
        <w:adjustRightInd w:val="0"/>
        <w:spacing w:line="360" w:lineRule="auto"/>
        <w:ind w:firstLine="240" w:firstLineChars="100"/>
        <w:jc w:val="both"/>
        <w:rPr>
          <w:color w:val="000000"/>
          <w:sz w:val="24"/>
          <w:szCs w:val="24"/>
        </w:rPr>
      </w:pPr>
      <w:r>
        <w:rPr>
          <w:color w:val="000000"/>
          <w:sz w:val="24"/>
          <w:szCs w:val="24"/>
        </w:rPr>
        <w:t>The study was approved by the Ethics Committee of Tongji Hospital of Tongji Medical College (Wuhan, China). All patients provided full consent for the study. Cohort I included 60 untreated HCC patients from Hepatic Surgery Center, Tongji Hospital (between 2006 and 2008). Cohort II included 260 untreated HCC patients from Hepatic Surgery Center, Tongji Hospital (between 2003 and 2005). A preoperative clinical diagnosis of HCC was based on the diagnostic criteria of the American Association for the Study of Liver Diseases. The inclusion criteria were as follows: (1) distinctive pathologic diagnosis; (2) no preoperative anticancer treatment or distant metastases; (3) curative liver resection; and (4) complete clinicopathologic and follow-up data. The differentiation statuses were graded in accordance with the method of Edmondson and Steine. The TNM classification for HCC was based on The American Joint Committee on Cancer/International Union Against Cancer staging system (6th edition, 2002). The patients were assessed every 2–3 months for the first 2 years and every 3–6 months afterward. All follow-up examinations were carried out by physicians blinded to the study. The diagnostic criteria for HCC recurrence were the same as the preoperative criteria. The time to recurrence and overall survival were the primary endpoints. The time to recurrence was calculated from the date of resection to the date of a diagnosis with tumor recurrence. The overall survival was calculated from the date of resection to the date of death or the last follow-up.</w:t>
      </w:r>
    </w:p>
    <w:p w14:paraId="013AD53E">
      <w:pPr>
        <w:spacing w:line="360" w:lineRule="auto"/>
        <w:jc w:val="both"/>
        <w:rPr>
          <w:b/>
          <w:bCs/>
          <w:color w:val="000000"/>
          <w:sz w:val="24"/>
          <w:szCs w:val="24"/>
        </w:rPr>
      </w:pPr>
    </w:p>
    <w:p w14:paraId="49135CAD">
      <w:pPr>
        <w:spacing w:line="360" w:lineRule="auto"/>
        <w:jc w:val="both"/>
        <w:rPr>
          <w:b/>
          <w:bCs/>
          <w:color w:val="000000"/>
          <w:sz w:val="24"/>
          <w:szCs w:val="24"/>
        </w:rPr>
      </w:pPr>
      <w:r>
        <w:rPr>
          <w:b/>
          <w:bCs/>
          <w:color w:val="000000"/>
          <w:sz w:val="24"/>
          <w:szCs w:val="24"/>
        </w:rPr>
        <w:t xml:space="preserve">Western blotting analyses </w:t>
      </w:r>
    </w:p>
    <w:p w14:paraId="06D738B0">
      <w:pPr>
        <w:spacing w:line="360" w:lineRule="auto"/>
        <w:ind w:firstLine="240" w:firstLineChars="100"/>
        <w:jc w:val="both"/>
        <w:rPr>
          <w:color w:val="000000"/>
          <w:sz w:val="24"/>
          <w:szCs w:val="24"/>
        </w:rPr>
      </w:pPr>
      <w:r>
        <w:rPr>
          <w:color w:val="000000"/>
          <w:sz w:val="24"/>
          <w:szCs w:val="24"/>
        </w:rPr>
        <w:t>Briefly, proteins were separated by SDS-PAGE and transferred to polyvinylidene difluoride membrane. 5% BSA was used to block the nonspecific binding site for two hours at room temperature. The membranes were incubated with primary antibodies overnight at 4°C. Western blotting of β-actin on the same membrane was used as a loading control. The membranes were washed with TBST three times for ten minutes each and then incubated with an HRP-conjugated secondary antibody. Proteins were visualized using an ImmobilonTM Western Chemiluminescent HRP substrate (Millipore, USA). The primary antibodies used in western blotting are listed as follow. HIF-1</w:t>
      </w:r>
      <w:r>
        <w:rPr>
          <w:bCs/>
          <w:color w:val="000000"/>
          <w:sz w:val="24"/>
          <w:szCs w:val="24"/>
        </w:rPr>
        <w:t xml:space="preserve">α </w:t>
      </w:r>
      <w:r>
        <w:rPr>
          <w:color w:val="000000"/>
          <w:sz w:val="24"/>
          <w:szCs w:val="24"/>
        </w:rPr>
        <w:t>(Ab</w:t>
      </w:r>
      <w:r>
        <w:rPr>
          <w:rFonts w:hint="eastAsia"/>
          <w:color w:val="000000"/>
          <w:sz w:val="24"/>
          <w:szCs w:val="24"/>
        </w:rPr>
        <w:t>cam</w:t>
      </w:r>
      <w:r>
        <w:rPr>
          <w:color w:val="000000"/>
          <w:sz w:val="24"/>
          <w:szCs w:val="24"/>
        </w:rPr>
        <w:t>, ab179483), uPA (Cell</w:t>
      </w:r>
      <w:r>
        <w:rPr>
          <w:rFonts w:hint="eastAsia"/>
          <w:color w:val="000000"/>
          <w:sz w:val="24"/>
          <w:szCs w:val="24"/>
        </w:rPr>
        <w:t xml:space="preserve"> sig</w:t>
      </w:r>
      <w:r>
        <w:rPr>
          <w:color w:val="000000"/>
          <w:sz w:val="24"/>
          <w:szCs w:val="24"/>
        </w:rPr>
        <w:t>naling technology, #15800), β-actin (Protein tech,23660-1-AP), E-cadherin (Huabio,</w:t>
      </w:r>
      <w:r>
        <w:t xml:space="preserve"> </w:t>
      </w:r>
      <w:r>
        <w:rPr>
          <w:color w:val="000000"/>
          <w:sz w:val="24"/>
          <w:szCs w:val="24"/>
        </w:rPr>
        <w:t>ER63312), N-cadherin (Huabio,</w:t>
      </w:r>
      <w:r>
        <w:t xml:space="preserve"> </w:t>
      </w:r>
      <w:r>
        <w:rPr>
          <w:color w:val="000000"/>
          <w:sz w:val="24"/>
          <w:szCs w:val="24"/>
        </w:rPr>
        <w:t>ET1607-37), Vimentin (Cell</w:t>
      </w:r>
      <w:r>
        <w:rPr>
          <w:rFonts w:hint="eastAsia"/>
          <w:color w:val="000000"/>
          <w:sz w:val="24"/>
          <w:szCs w:val="24"/>
        </w:rPr>
        <w:t xml:space="preserve"> sig</w:t>
      </w:r>
      <w:r>
        <w:rPr>
          <w:color w:val="000000"/>
          <w:sz w:val="24"/>
          <w:szCs w:val="24"/>
        </w:rPr>
        <w:t>naling technology, #5741S), uPAR (Ab</w:t>
      </w:r>
      <w:r>
        <w:rPr>
          <w:rFonts w:hint="eastAsia"/>
          <w:color w:val="000000"/>
          <w:sz w:val="24"/>
          <w:szCs w:val="24"/>
        </w:rPr>
        <w:t>cam</w:t>
      </w:r>
      <w:r>
        <w:rPr>
          <w:color w:val="000000"/>
          <w:sz w:val="24"/>
          <w:szCs w:val="24"/>
        </w:rPr>
        <w:t>, ab255815) Src (Huabio, # ET1702-03), p-Src (Huabio, #ET1609-15), Erk (Abclonal, #A4782), p-Erk (Abclonal, #AP0974), FAK(Cell signaling technology, #3285), p-FAK(Cell signaling technology, #3283), p65 (Cell signaling technology, #8242), p-p65 (</w:t>
      </w:r>
      <w:r>
        <w:rPr>
          <w:rFonts w:eastAsia="宋体"/>
          <w:color w:val="000000"/>
          <w:sz w:val="24"/>
          <w:szCs w:val="24"/>
        </w:rPr>
        <w:t>Cell signaling technology, #3033, Ser536</w:t>
      </w:r>
      <w:r>
        <w:rPr>
          <w:color w:val="000000"/>
          <w:sz w:val="24"/>
          <w:szCs w:val="24"/>
        </w:rPr>
        <w:t xml:space="preserve">), p38 (Cell signaling technology, </w:t>
      </w:r>
      <w:r>
        <w:rPr>
          <w:rFonts w:eastAsia="AdvP8C43"/>
          <w:color w:val="000000"/>
          <w:sz w:val="24"/>
          <w:szCs w:val="24"/>
        </w:rPr>
        <w:t>#8690</w:t>
      </w:r>
      <w:r>
        <w:rPr>
          <w:color w:val="000000"/>
          <w:sz w:val="24"/>
          <w:szCs w:val="24"/>
        </w:rPr>
        <w:t>), p-p38 (</w:t>
      </w:r>
      <w:r>
        <w:rPr>
          <w:rFonts w:eastAsia="宋体"/>
          <w:color w:val="000000"/>
          <w:sz w:val="24"/>
          <w:szCs w:val="24"/>
        </w:rPr>
        <w:t xml:space="preserve">Cell signaling technology, </w:t>
      </w:r>
      <w:r>
        <w:rPr>
          <w:rFonts w:eastAsia="AdvP8C43"/>
          <w:color w:val="000000"/>
          <w:sz w:val="24"/>
          <w:szCs w:val="24"/>
        </w:rPr>
        <w:t>#4511,Thr180/Tyr182)</w:t>
      </w:r>
      <w:r>
        <w:rPr>
          <w:color w:val="000000"/>
          <w:sz w:val="24"/>
          <w:szCs w:val="24"/>
        </w:rPr>
        <w:t xml:space="preserve">, AKT (Cell signaling technology, </w:t>
      </w:r>
      <w:r>
        <w:rPr>
          <w:rFonts w:eastAsia="宋体"/>
          <w:color w:val="000000"/>
          <w:sz w:val="24"/>
          <w:szCs w:val="24"/>
        </w:rPr>
        <w:t>#4691</w:t>
      </w:r>
      <w:r>
        <w:rPr>
          <w:color w:val="000000"/>
          <w:sz w:val="24"/>
          <w:szCs w:val="24"/>
        </w:rPr>
        <w:t>), p-AKT (</w:t>
      </w:r>
      <w:r>
        <w:rPr>
          <w:rFonts w:eastAsia="宋体"/>
          <w:color w:val="000000"/>
          <w:sz w:val="24"/>
          <w:szCs w:val="24"/>
        </w:rPr>
        <w:t>Cell signaling technology, #4060</w:t>
      </w:r>
      <w:r>
        <w:rPr>
          <w:rFonts w:eastAsia="AdvP8C43"/>
          <w:color w:val="000000"/>
          <w:sz w:val="24"/>
          <w:szCs w:val="24"/>
        </w:rPr>
        <w:t xml:space="preserve">, </w:t>
      </w:r>
      <w:r>
        <w:rPr>
          <w:rFonts w:eastAsia="宋体"/>
          <w:color w:val="000000"/>
          <w:sz w:val="24"/>
          <w:szCs w:val="24"/>
        </w:rPr>
        <w:t>Ser473</w:t>
      </w:r>
      <w:r>
        <w:rPr>
          <w:rFonts w:eastAsia="AdvP8C43"/>
          <w:color w:val="000000"/>
          <w:sz w:val="24"/>
          <w:szCs w:val="24"/>
        </w:rPr>
        <w:t>)</w:t>
      </w:r>
      <w:r>
        <w:rPr>
          <w:color w:val="000000"/>
          <w:sz w:val="24"/>
          <w:szCs w:val="24"/>
        </w:rPr>
        <w:t xml:space="preserve">, JNK (Cell signaling technology, </w:t>
      </w:r>
      <w:r>
        <w:rPr>
          <w:rFonts w:hint="eastAsia" w:eastAsia="宋体"/>
          <w:color w:val="000000"/>
          <w:sz w:val="24"/>
          <w:szCs w:val="24"/>
        </w:rPr>
        <w:t>#9252</w:t>
      </w:r>
      <w:r>
        <w:rPr>
          <w:color w:val="000000"/>
          <w:sz w:val="24"/>
          <w:szCs w:val="24"/>
        </w:rPr>
        <w:t>), p-JNK (</w:t>
      </w:r>
      <w:r>
        <w:rPr>
          <w:rFonts w:eastAsia="宋体"/>
          <w:color w:val="000000"/>
          <w:sz w:val="24"/>
          <w:szCs w:val="24"/>
        </w:rPr>
        <w:t xml:space="preserve">Cell signaling technology, </w:t>
      </w:r>
      <w:r>
        <w:rPr>
          <w:rFonts w:hint="eastAsia" w:eastAsia="宋体"/>
          <w:color w:val="000000"/>
          <w:sz w:val="24"/>
          <w:szCs w:val="24"/>
        </w:rPr>
        <w:t>#4668</w:t>
      </w:r>
      <w:r>
        <w:rPr>
          <w:rFonts w:eastAsia="AdvP8C43"/>
          <w:color w:val="000000"/>
          <w:sz w:val="24"/>
          <w:szCs w:val="24"/>
        </w:rPr>
        <w:t>, Thr183/Tyr185).</w:t>
      </w:r>
    </w:p>
    <w:p w14:paraId="09A65CBB">
      <w:pPr>
        <w:spacing w:line="360" w:lineRule="auto"/>
        <w:ind w:firstLine="240" w:firstLineChars="100"/>
        <w:jc w:val="both"/>
        <w:rPr>
          <w:color w:val="000000"/>
          <w:sz w:val="24"/>
          <w:szCs w:val="24"/>
        </w:rPr>
      </w:pPr>
    </w:p>
    <w:p w14:paraId="4E402C87">
      <w:pPr>
        <w:spacing w:line="360" w:lineRule="auto"/>
        <w:ind w:firstLine="240" w:firstLineChars="100"/>
        <w:jc w:val="both"/>
        <w:rPr>
          <w:color w:val="000000"/>
          <w:sz w:val="24"/>
          <w:szCs w:val="24"/>
        </w:rPr>
      </w:pPr>
      <w:r>
        <w:rPr>
          <w:color w:val="000000"/>
          <w:sz w:val="24"/>
          <w:szCs w:val="24"/>
        </w:rPr>
        <w:t>.</w:t>
      </w:r>
    </w:p>
    <w:p w14:paraId="0EF91289">
      <w:pPr>
        <w:spacing w:line="360" w:lineRule="auto"/>
        <w:ind w:firstLine="480"/>
        <w:jc w:val="both"/>
        <w:rPr>
          <w:color w:val="000000"/>
          <w:sz w:val="24"/>
          <w:szCs w:val="24"/>
        </w:rPr>
      </w:pPr>
    </w:p>
    <w:p w14:paraId="0448BCEF">
      <w:pPr>
        <w:spacing w:line="360" w:lineRule="auto"/>
        <w:jc w:val="both"/>
        <w:rPr>
          <w:b/>
          <w:bCs/>
          <w:color w:val="000000"/>
          <w:sz w:val="24"/>
          <w:szCs w:val="24"/>
        </w:rPr>
      </w:pPr>
      <w:r>
        <w:rPr>
          <w:b/>
          <w:bCs/>
          <w:color w:val="000000"/>
          <w:sz w:val="24"/>
          <w:szCs w:val="24"/>
        </w:rPr>
        <w:t>Immunohistochemistry (IHC) and immunofluorescence (IF)</w:t>
      </w:r>
    </w:p>
    <w:p w14:paraId="7584C1E9">
      <w:pPr>
        <w:spacing w:line="360" w:lineRule="auto"/>
        <w:ind w:firstLine="480" w:firstLineChars="200"/>
        <w:jc w:val="both"/>
        <w:rPr>
          <w:color w:val="000000"/>
          <w:sz w:val="24"/>
          <w:szCs w:val="24"/>
        </w:rPr>
      </w:pPr>
      <w:r>
        <w:rPr>
          <w:color w:val="000000"/>
          <w:sz w:val="24"/>
          <w:szCs w:val="24"/>
        </w:rPr>
        <w:t>The following antibodies were used for IHC staining and IF: uPA (Cell</w:t>
      </w:r>
      <w:r>
        <w:rPr>
          <w:rFonts w:hint="eastAsia"/>
          <w:color w:val="000000"/>
          <w:sz w:val="24"/>
          <w:szCs w:val="24"/>
        </w:rPr>
        <w:t xml:space="preserve"> sig</w:t>
      </w:r>
      <w:r>
        <w:rPr>
          <w:color w:val="000000"/>
          <w:sz w:val="24"/>
          <w:szCs w:val="24"/>
        </w:rPr>
        <w:t>naling technology, #15800, IHC), uPA (Cell</w:t>
      </w:r>
      <w:r>
        <w:rPr>
          <w:rFonts w:hint="eastAsia"/>
          <w:color w:val="000000"/>
          <w:sz w:val="24"/>
          <w:szCs w:val="24"/>
        </w:rPr>
        <w:t xml:space="preserve"> sig</w:t>
      </w:r>
      <w:r>
        <w:rPr>
          <w:color w:val="000000"/>
          <w:sz w:val="24"/>
          <w:szCs w:val="24"/>
        </w:rPr>
        <w:t>naling technology, #</w:t>
      </w:r>
      <w:r>
        <w:rPr>
          <w:rFonts w:hint="eastAsia"/>
          <w:color w:val="000000"/>
          <w:sz w:val="24"/>
          <w:szCs w:val="24"/>
        </w:rPr>
        <w:t>12713</w:t>
      </w:r>
      <w:r>
        <w:rPr>
          <w:color w:val="000000"/>
          <w:sz w:val="24"/>
          <w:szCs w:val="24"/>
        </w:rPr>
        <w:t>, IF), HIF-1</w:t>
      </w:r>
      <w:r>
        <w:rPr>
          <w:bCs/>
          <w:color w:val="000000"/>
          <w:sz w:val="24"/>
          <w:szCs w:val="24"/>
        </w:rPr>
        <w:t xml:space="preserve">α </w:t>
      </w:r>
      <w:r>
        <w:rPr>
          <w:color w:val="000000"/>
          <w:sz w:val="24"/>
          <w:szCs w:val="24"/>
        </w:rPr>
        <w:t>(Ab</w:t>
      </w:r>
      <w:r>
        <w:rPr>
          <w:rFonts w:hint="eastAsia"/>
          <w:color w:val="000000"/>
          <w:sz w:val="24"/>
          <w:szCs w:val="24"/>
        </w:rPr>
        <w:t>cam</w:t>
      </w:r>
      <w:r>
        <w:rPr>
          <w:color w:val="000000"/>
          <w:sz w:val="24"/>
          <w:szCs w:val="24"/>
        </w:rPr>
        <w:t>, #ab179483, IF), CD68</w:t>
      </w:r>
      <w:r>
        <w:rPr>
          <w:bCs/>
          <w:color w:val="000000"/>
          <w:sz w:val="24"/>
          <w:szCs w:val="24"/>
        </w:rPr>
        <w:t xml:space="preserve"> </w:t>
      </w:r>
      <w:r>
        <w:rPr>
          <w:color w:val="000000"/>
          <w:sz w:val="24"/>
          <w:szCs w:val="24"/>
        </w:rPr>
        <w:t>(Ab</w:t>
      </w:r>
      <w:r>
        <w:rPr>
          <w:rFonts w:hint="eastAsia"/>
          <w:color w:val="000000"/>
          <w:sz w:val="24"/>
          <w:szCs w:val="24"/>
        </w:rPr>
        <w:t>cam</w:t>
      </w:r>
      <w:r>
        <w:rPr>
          <w:color w:val="000000"/>
          <w:sz w:val="24"/>
          <w:szCs w:val="24"/>
        </w:rPr>
        <w:t>, ab213363, IHC), pan-CK</w:t>
      </w:r>
      <w:r>
        <w:rPr>
          <w:bCs/>
          <w:color w:val="000000"/>
          <w:sz w:val="24"/>
          <w:szCs w:val="24"/>
        </w:rPr>
        <w:t xml:space="preserve"> </w:t>
      </w:r>
      <w:r>
        <w:rPr>
          <w:color w:val="000000"/>
          <w:sz w:val="24"/>
          <w:szCs w:val="24"/>
        </w:rPr>
        <w:t>(Ab</w:t>
      </w:r>
      <w:r>
        <w:rPr>
          <w:rFonts w:hint="eastAsia"/>
          <w:color w:val="000000"/>
          <w:sz w:val="24"/>
          <w:szCs w:val="24"/>
        </w:rPr>
        <w:t>cam</w:t>
      </w:r>
      <w:r>
        <w:rPr>
          <w:color w:val="000000"/>
          <w:sz w:val="24"/>
          <w:szCs w:val="24"/>
        </w:rPr>
        <w:t xml:space="preserve">, #ab7753, IHC), uPAR (Huabio, #ER1918-43, IHC). </w:t>
      </w:r>
      <w:r>
        <w:rPr>
          <w:rFonts w:eastAsia="宋体"/>
          <w:color w:val="000000"/>
          <w:sz w:val="24"/>
          <w:szCs w:val="24"/>
        </w:rPr>
        <w:t xml:space="preserve">IHC was performed on 4-μm-thick, routinely processed paraffin-embedded sections. Briefly, the tissue sections were deparaffinized after baking at 60 °C for an hour. Endogenous peroxidase activity was blocked by 3% (vol/vol) hydrogen peroxide in methanol for 12 min and washed with phosphate-buffered saline (PBS). Then, the slides were immersed in 0.01 mol/L citrate buffer solution (pH 6.0) and placed in a microwave oven for 30 min. After washed with PBS, the sections were incubated with the primary antibody diluted in PBS containing 1% (wt/vol) bovine serum albumin at 4°C for overnight. Negative controls were performed by replacing the primary antibody with preimmune mouse serum. After washed with PBS, the sections were treated with a peroxidase-conjugated second antibody (Santa Cruz) for 30 min at room temperature and then washed with PBS. Reaction product was visualized with diaminobenzidine for 2 min. Images were obtained under a light microscope (Olympus, Japan) equipped with a DP70 digital camera. </w:t>
      </w:r>
      <w:r>
        <w:rPr>
          <w:color w:val="000000"/>
          <w:sz w:val="24"/>
          <w:szCs w:val="24"/>
        </w:rPr>
        <w:t xml:space="preserve">Analyses were performed by two independent observers who were blinded to the clinical outcome. The immunostaining intensity was scored on a scale of 0 to 3: 0 (negative), 1 (weak), 2 (medium) or 3 (strong). The percentage of positive cells was evaluated on a scale of 0 to 4: 0 (negative), 1 (1%-25%), 2 (26%-50%), 3 (51%-75%), or 4 (76%-100%). The final immuno-activity scores were calculated by multiplying the above two scores, resulting in an overall score that range from 0~12. Each case was ultimately considered “negative” if the final score ranges from 0~3, and “positive” if the final score ranges from 4~12 </w:t>
      </w:r>
      <w:r>
        <w:rPr>
          <w:rFonts w:eastAsia="宋体"/>
          <w:color w:val="000000"/>
          <w:sz w:val="24"/>
          <w:szCs w:val="24"/>
        </w:rPr>
        <w:t xml:space="preserve">as described previously </w:t>
      </w:r>
      <w:r>
        <w:rPr>
          <w:rFonts w:eastAsia="宋体"/>
          <w:color w:val="000000"/>
          <w:sz w:val="24"/>
          <w:szCs w:val="24"/>
        </w:rPr>
        <w:fldChar w:fldCharType="begin">
          <w:fldData xml:space="preserve">PEVuZE5vdGU+PENpdGU+PEF1dGhvcj5DaGVuPC9BdXRob3I+PFllYXI+MjAyMDwvWWVhcj48UmVj
TnVtPjY2PC9SZWNOdW0+PERpc3BsYXlUZXh0PlsyXTwvRGlzcGxheVRleHQ+PHJlY29yZD48cmVj
LW51bWJlcj42NjwvcmVjLW51bWJlcj48Zm9yZWlnbi1rZXlzPjxrZXkgYXBwPSJFTiIgZGItaWQ9
IjJ2cDl2eHhwMWU5d3Q4ZXRlMDV2eHY1MXpwdnZ4cnA1ZHJkeCIgdGltZXN0YW1wPSIxNjg1MDA4
NjM4Ij42Njwva2V5PjwvZm9yZWlnbi1rZXlzPjxyZWYtdHlwZSBuYW1lPSJKb3VybmFsIEFydGlj
bGUiPjE3PC9yZWYtdHlwZT48Y29udHJpYnV0b3JzPjxhdXRob3JzPjxhdXRob3I+Q2hlbiwgSi48
L2F1dGhvcj48YXV0aG9yPkR1LCBGLjwvYXV0aG9yPjxhdXRob3I+RGFuZywgWS48L2F1dGhvcj48
YXV0aG9yPkxpLCBYLjwvYXV0aG9yPjxhdXRob3I+UWlhbiwgTS48L2F1dGhvcj48YXV0aG9yPkZl
bmcsIFcuPC9hdXRob3I+PGF1dGhvcj5RaWFvLCBDLjwvYXV0aG9yPjxhdXRob3I+RmFuLCBELjwv
YXV0aG9yPjxhdXRob3I+TmllLCBZLjwvYXV0aG9yPjxhdXRob3I+V3UsIEsuPC9hdXRob3I+PGF1
dGhvcj5YaWEsIEwuPC9hdXRob3I+PC9hdXRob3JzPjwvY29udHJpYnV0b3JzPjxhdXRoLWFkZHJl
c3M+U3RhdGUga2V5IExhYm9yYXRvcnkgb2YgQ2FuY2VyIEJpb2xvZ3ksIE5hdGlvbmFsIENsaW5p
Y2FsIFJlc2VhcmNoIENlbnRlciBmb3IgRGlnZXN0aXZlIERpc2Vhc2VzIGFuZCBYaWppbmcgSG9z
cGl0YWwgb2YgRGlnZXN0aXZlIERpc2Vhc2VzLCBGb3VydGggTWlsaXRhcnkgTWVkaWNhbCBVbml2
ZXJzaXR5LCBYaSZhcG9zO2FuLCBDaGluYS48L2F1dGgtYWRkcmVzcz48dGl0bGVzPjx0aXRsZT5G
aWJyb2JsYXN0IEdyb3d0aCBGYWN0b3IgMTktTWVkaWF0ZWQgVXAtcmVndWxhdGlvbiBvZiBTWVIt
UmVsYXRlZCBIaWdoLU1vYmlsaXR5IEdyb3VwIEJveCAxOCBQcm9tb3RlcyBIZXBhdG9jZWxsdWxh
ciBDYXJjaW5vbWEgTWV0YXN0YXNpcyBieSBUcmFuc2FjdGl2YXRpbmcgRmlicm9ibGFzdCBHcm93
dGggRmFjdG9yIFJlY2VwdG9yIDQgYW5kIEZtcy1SZWxhdGVkIFR5cm9zaW5lIEtpbmFzZSA0PC90
aXRsZT48c2Vjb25kYXJ5LXRpdGxlPkhlcGF0b2xvZ3k8L3NlY29uZGFyeS10aXRsZT48L3RpdGxl
cz48cGVyaW9kaWNhbD48ZnVsbC10aXRsZT5IZXBhdG9sb2d5PC9mdWxsLXRpdGxlPjwvcGVyaW9k
aWNhbD48cGFnZXM+MTcxMi0xNzMxPC9wYWdlcz48dm9sdW1lPjcxPC92b2x1bWU+PG51bWJlcj41
PC9udW1iZXI+PGVkaXRpb24+MjAxOS8wOS8xOTwvZWRpdGlvbj48a2V5d29yZHM+PGtleXdvcmQ+
QWR1bHQ8L2tleXdvcmQ+PGtleXdvcmQ+QW5pbWFsczwva2V5d29yZD48a2V5d29yZD5DYXJjaW5v
bWEsIEhlcGF0b2NlbGx1bGFyL21ldGFib2xpc20vKnNlY29uZGFyeTwva2V5d29yZD48a2V5d29y
ZD5GZW1hbGU8L2tleXdvcmQ+PGtleXdvcmQ+Rmlicm9ibGFzdCBHcm93dGggRmFjdG9ycy8qbWV0
YWJvbGlzbTwva2V5d29yZD48a2V5d29yZD5HZW5lIEtub2NrZG93biBUZWNobmlxdWVzPC9rZXl3
b3JkPjxrZXl3b3JkPkh1bWFuczwva2V5d29yZD48a2V5d29yZD5MaXZlciBOZW9wbGFzbXMvbWV0
YWJvbGlzbS8qcGF0aG9sb2d5PC9rZXl3b3JkPjxrZXl3b3JkPk1hbGU8L2tleXdvcmQ+PGtleXdv
cmQ+TWljZTwva2V5d29yZD48a2V5d29yZD5NaWNlLCBJbmJyZWQgQkFMQiBDPC9rZXl3b3JkPjxr
ZXl3b3JkPk1pZGRsZSBBZ2VkPC9rZXl3b3JkPjxrZXl3b3JkPlJlY2VwdG9yLCBGaWJyb2JsYXN0
IEdyb3d0aCBGYWN0b3IsIFR5cGUgNC9nZW5ldGljcy8qbWV0YWJvbGlzbTwva2V5d29yZD48a2V5
d29yZD5TT1hGIFRyYW5zY3JpcHRpb24gRmFjdG9ycy8qbWV0YWJvbGlzbTwva2V5d29yZD48a2V5
d29yZD5WYXNjdWxhciBFbmRvdGhlbGlhbCBHcm93dGggRmFjdG9yIFJlY2VwdG9yLTMvZ2VuZXRp
Y3MvbWV0YWJvbGlzbTwva2V5d29yZD48L2tleXdvcmRzPjxkYXRlcz48eWVhcj4yMDIwPC95ZWFy
PjxwdWItZGF0ZXM+PGRhdGU+TWF5PC9kYXRlPjwvcHViLWRhdGVzPjwvZGF0ZXM+PGlzYm4+MTUy
Ny0zMzUwIChFbGVjdHJvbmljKSYjeEQ7MDI3MC05MTM5IChMaW5raW5nKTwvaXNibj48YWNjZXNz
aW9uLW51bT4zMTUyOTUwMzwvYWNjZXNzaW9uLW51bT48dXJscz48cmVsYXRlZC11cmxzPjx1cmw+
aHR0cHM6Ly93d3cubmNiaS5ubG0ubmloLmdvdi9wdWJtZWQvMzE1Mjk1MDM8L3VybD48L3JlbGF0
ZWQtdXJscz48L3VybHM+PGVsZWN0cm9uaWMtcmVzb3VyY2UtbnVtPjEwLjEwMDIvaGVwLjMwOTUx
PC9lbGVjdHJvbmljLXJlc291cmNlLW51bT48L3JlY29yZD48L0NpdGU+PC9FbmROb3RlPnAA
</w:fldData>
        </w:fldChar>
      </w:r>
      <w:r>
        <w:rPr>
          <w:rFonts w:eastAsia="宋体"/>
          <w:color w:val="000000"/>
          <w:sz w:val="24"/>
          <w:szCs w:val="24"/>
        </w:rPr>
        <w:instrText xml:space="preserve"> ADDIN EN.CITE </w:instrText>
      </w:r>
      <w:r>
        <w:rPr>
          <w:rFonts w:eastAsia="宋体"/>
          <w:color w:val="000000"/>
          <w:sz w:val="24"/>
          <w:szCs w:val="24"/>
        </w:rPr>
        <w:fldChar w:fldCharType="begin">
          <w:fldData xml:space="preserve">PEVuZE5vdGU+PENpdGU+PEF1dGhvcj5DaGVuPC9BdXRob3I+PFllYXI+MjAyMDwvWWVhcj48UmVj
TnVtPjY2PC9SZWNOdW0+PERpc3BsYXlUZXh0PlsyXTwvRGlzcGxheVRleHQ+PHJlY29yZD48cmVj
LW51bWJlcj42NjwvcmVjLW51bWJlcj48Zm9yZWlnbi1rZXlzPjxrZXkgYXBwPSJFTiIgZGItaWQ9
IjJ2cDl2eHhwMWU5d3Q4ZXRlMDV2eHY1MXpwdnZ4cnA1ZHJkeCIgdGltZXN0YW1wPSIxNjg1MDA4
NjM4Ij42Njwva2V5PjwvZm9yZWlnbi1rZXlzPjxyZWYtdHlwZSBuYW1lPSJKb3VybmFsIEFydGlj
bGUiPjE3PC9yZWYtdHlwZT48Y29udHJpYnV0b3JzPjxhdXRob3JzPjxhdXRob3I+Q2hlbiwgSi48
L2F1dGhvcj48YXV0aG9yPkR1LCBGLjwvYXV0aG9yPjxhdXRob3I+RGFuZywgWS48L2F1dGhvcj48
YXV0aG9yPkxpLCBYLjwvYXV0aG9yPjxhdXRob3I+UWlhbiwgTS48L2F1dGhvcj48YXV0aG9yPkZl
bmcsIFcuPC9hdXRob3I+PGF1dGhvcj5RaWFvLCBDLjwvYXV0aG9yPjxhdXRob3I+RmFuLCBELjwv
YXV0aG9yPjxhdXRob3I+TmllLCBZLjwvYXV0aG9yPjxhdXRob3I+V3UsIEsuPC9hdXRob3I+PGF1
dGhvcj5YaWEsIEwuPC9hdXRob3I+PC9hdXRob3JzPjwvY29udHJpYnV0b3JzPjxhdXRoLWFkZHJl
c3M+U3RhdGUga2V5IExhYm9yYXRvcnkgb2YgQ2FuY2VyIEJpb2xvZ3ksIE5hdGlvbmFsIENsaW5p
Y2FsIFJlc2VhcmNoIENlbnRlciBmb3IgRGlnZXN0aXZlIERpc2Vhc2VzIGFuZCBYaWppbmcgSG9z
cGl0YWwgb2YgRGlnZXN0aXZlIERpc2Vhc2VzLCBGb3VydGggTWlsaXRhcnkgTWVkaWNhbCBVbml2
ZXJzaXR5LCBYaSZhcG9zO2FuLCBDaGluYS48L2F1dGgtYWRkcmVzcz48dGl0bGVzPjx0aXRsZT5G
aWJyb2JsYXN0IEdyb3d0aCBGYWN0b3IgMTktTWVkaWF0ZWQgVXAtcmVndWxhdGlvbiBvZiBTWVIt
UmVsYXRlZCBIaWdoLU1vYmlsaXR5IEdyb3VwIEJveCAxOCBQcm9tb3RlcyBIZXBhdG9jZWxsdWxh
ciBDYXJjaW5vbWEgTWV0YXN0YXNpcyBieSBUcmFuc2FjdGl2YXRpbmcgRmlicm9ibGFzdCBHcm93
dGggRmFjdG9yIFJlY2VwdG9yIDQgYW5kIEZtcy1SZWxhdGVkIFR5cm9zaW5lIEtpbmFzZSA0PC90
aXRsZT48c2Vjb25kYXJ5LXRpdGxlPkhlcGF0b2xvZ3k8L3NlY29uZGFyeS10aXRsZT48L3RpdGxl
cz48cGVyaW9kaWNhbD48ZnVsbC10aXRsZT5IZXBhdG9sb2d5PC9mdWxsLXRpdGxlPjwvcGVyaW9k
aWNhbD48cGFnZXM+MTcxMi0xNzMxPC9wYWdlcz48dm9sdW1lPjcxPC92b2x1bWU+PG51bWJlcj41
PC9udW1iZXI+PGVkaXRpb24+MjAxOS8wOS8xOTwvZWRpdGlvbj48a2V5d29yZHM+PGtleXdvcmQ+
QWR1bHQ8L2tleXdvcmQ+PGtleXdvcmQ+QW5pbWFsczwva2V5d29yZD48a2V5d29yZD5DYXJjaW5v
bWEsIEhlcGF0b2NlbGx1bGFyL21ldGFib2xpc20vKnNlY29uZGFyeTwva2V5d29yZD48a2V5d29y
ZD5GZW1hbGU8L2tleXdvcmQ+PGtleXdvcmQ+Rmlicm9ibGFzdCBHcm93dGggRmFjdG9ycy8qbWV0
YWJvbGlzbTwva2V5d29yZD48a2V5d29yZD5HZW5lIEtub2NrZG93biBUZWNobmlxdWVzPC9rZXl3
b3JkPjxrZXl3b3JkPkh1bWFuczwva2V5d29yZD48a2V5d29yZD5MaXZlciBOZW9wbGFzbXMvbWV0
YWJvbGlzbS8qcGF0aG9sb2d5PC9rZXl3b3JkPjxrZXl3b3JkPk1hbGU8L2tleXdvcmQ+PGtleXdv
cmQ+TWljZTwva2V5d29yZD48a2V5d29yZD5NaWNlLCBJbmJyZWQgQkFMQiBDPC9rZXl3b3JkPjxr
ZXl3b3JkPk1pZGRsZSBBZ2VkPC9rZXl3b3JkPjxrZXl3b3JkPlJlY2VwdG9yLCBGaWJyb2JsYXN0
IEdyb3d0aCBGYWN0b3IsIFR5cGUgNC9nZW5ldGljcy8qbWV0YWJvbGlzbTwva2V5d29yZD48a2V5
d29yZD5TT1hGIFRyYW5zY3JpcHRpb24gRmFjdG9ycy8qbWV0YWJvbGlzbTwva2V5d29yZD48a2V5
d29yZD5WYXNjdWxhciBFbmRvdGhlbGlhbCBHcm93dGggRmFjdG9yIFJlY2VwdG9yLTMvZ2VuZXRp
Y3MvbWV0YWJvbGlzbTwva2V5d29yZD48L2tleXdvcmRzPjxkYXRlcz48eWVhcj4yMDIwPC95ZWFy
PjxwdWItZGF0ZXM+PGRhdGU+TWF5PC9kYXRlPjwvcHViLWRhdGVzPjwvZGF0ZXM+PGlzYm4+MTUy
Ny0zMzUwIChFbGVjdHJvbmljKSYjeEQ7MDI3MC05MTM5IChMaW5raW5nKTwvaXNibj48YWNjZXNz
aW9uLW51bT4zMTUyOTUwMzwvYWNjZXNzaW9uLW51bT48dXJscz48cmVsYXRlZC11cmxzPjx1cmw+
aHR0cHM6Ly93d3cubmNiaS5ubG0ubmloLmdvdi9wdWJtZWQvMzE1Mjk1MDM8L3VybD48L3JlbGF0
ZWQtdXJscz48L3VybHM+PGVsZWN0cm9uaWMtcmVzb3VyY2UtbnVtPjEwLjEwMDIvaGVwLjMwOTUx
PC9lbGVjdHJvbmljLXJlc291cmNlLW51bT48L3JlY29yZD48L0NpdGU+PC9FbmROb3RlPnAA
</w:fldData>
        </w:fldChar>
      </w:r>
      <w:r>
        <w:rPr>
          <w:rFonts w:eastAsia="宋体"/>
          <w:color w:val="000000"/>
          <w:sz w:val="24"/>
          <w:szCs w:val="24"/>
        </w:rPr>
        <w:instrText xml:space="preserve"> ADDIN EN.CITE.DATA </w:instrText>
      </w:r>
      <w:r>
        <w:rPr>
          <w:rFonts w:eastAsia="宋体"/>
          <w:color w:val="000000"/>
          <w:sz w:val="24"/>
          <w:szCs w:val="24"/>
        </w:rPr>
        <w:fldChar w:fldCharType="end"/>
      </w:r>
      <w:r>
        <w:rPr>
          <w:rFonts w:eastAsia="宋体"/>
          <w:color w:val="000000"/>
          <w:sz w:val="24"/>
          <w:szCs w:val="24"/>
        </w:rPr>
        <w:fldChar w:fldCharType="separate"/>
      </w:r>
      <w:r>
        <w:rPr>
          <w:rFonts w:eastAsia="宋体"/>
          <w:color w:val="000000"/>
          <w:sz w:val="24"/>
          <w:szCs w:val="24"/>
        </w:rPr>
        <w:t>[3]</w:t>
      </w:r>
      <w:r>
        <w:rPr>
          <w:rFonts w:eastAsia="宋体"/>
          <w:color w:val="000000"/>
          <w:sz w:val="24"/>
          <w:szCs w:val="24"/>
        </w:rPr>
        <w:fldChar w:fldCharType="end"/>
      </w:r>
      <w:r>
        <w:rPr>
          <w:rFonts w:eastAsia="宋体"/>
          <w:color w:val="000000"/>
          <w:sz w:val="24"/>
          <w:szCs w:val="24"/>
        </w:rPr>
        <w:t>. For IF staining, human tissue sections were deparaffinized and rehydrated through graded ethanol solutions. Antigen retrieval was performed according to standard protocols, followed by blocking with 10% goat or donkey serum to reduce nonspecific binding. The sections were then incubated with the indicated primary antibodies overnight at 4 °C. On the following day, appropriate fluorophore-conjugated secondary antibodies were applied. Nuclei were counterstained with DAPI, and images were captured using an Olympus fluorescence microscope.</w:t>
      </w:r>
    </w:p>
    <w:p w14:paraId="0110047B">
      <w:pPr>
        <w:spacing w:line="360" w:lineRule="auto"/>
        <w:jc w:val="both"/>
        <w:rPr>
          <w:b/>
          <w:bCs/>
          <w:color w:val="000000"/>
          <w:sz w:val="24"/>
          <w:szCs w:val="24"/>
        </w:rPr>
      </w:pPr>
    </w:p>
    <w:p w14:paraId="5E888752">
      <w:pPr>
        <w:spacing w:line="360" w:lineRule="auto"/>
        <w:jc w:val="both"/>
        <w:rPr>
          <w:b/>
          <w:bCs/>
          <w:color w:val="000000"/>
          <w:sz w:val="24"/>
          <w:szCs w:val="24"/>
        </w:rPr>
      </w:pPr>
      <w:r>
        <w:rPr>
          <w:b/>
          <w:bCs/>
          <w:color w:val="000000"/>
          <w:sz w:val="24"/>
          <w:szCs w:val="24"/>
        </w:rPr>
        <w:t>Reagents</w:t>
      </w:r>
    </w:p>
    <w:p w14:paraId="36BC4E2D">
      <w:pPr>
        <w:spacing w:line="360" w:lineRule="auto"/>
        <w:ind w:firstLine="480" w:firstLineChars="200"/>
        <w:jc w:val="both"/>
        <w:rPr>
          <w:b/>
          <w:bCs/>
          <w:color w:val="000000"/>
          <w:sz w:val="24"/>
          <w:szCs w:val="24"/>
        </w:rPr>
      </w:pPr>
      <w:r>
        <w:rPr>
          <w:color w:val="000000"/>
          <w:sz w:val="24"/>
          <w:szCs w:val="24"/>
        </w:rPr>
        <w:t>PLAU/uPA Protein (HY-P71050) were purchased from MedChemExpress. Reagents were used according to the manufacturer’s instructions.</w:t>
      </w:r>
    </w:p>
    <w:p w14:paraId="710FDD2D">
      <w:pPr>
        <w:spacing w:line="360" w:lineRule="auto"/>
        <w:jc w:val="both"/>
        <w:rPr>
          <w:b/>
          <w:bCs/>
          <w:color w:val="000000"/>
          <w:sz w:val="24"/>
          <w:szCs w:val="24"/>
        </w:rPr>
      </w:pPr>
    </w:p>
    <w:p w14:paraId="08A4F678">
      <w:pPr>
        <w:spacing w:line="360" w:lineRule="auto"/>
        <w:jc w:val="both"/>
        <w:rPr>
          <w:b/>
          <w:bCs/>
          <w:color w:val="000000"/>
          <w:sz w:val="24"/>
          <w:szCs w:val="24"/>
        </w:rPr>
      </w:pPr>
    </w:p>
    <w:p w14:paraId="3B901B75">
      <w:pPr>
        <w:spacing w:line="360" w:lineRule="auto"/>
        <w:jc w:val="both"/>
        <w:rPr>
          <w:b/>
          <w:bCs/>
          <w:color w:val="000000"/>
          <w:sz w:val="24"/>
          <w:szCs w:val="24"/>
        </w:rPr>
      </w:pPr>
      <w:r>
        <w:rPr>
          <w:b/>
          <w:bCs/>
          <w:color w:val="000000"/>
          <w:sz w:val="24"/>
          <w:szCs w:val="24"/>
        </w:rPr>
        <w:t>Construction of lentivirus and stable cell lines</w:t>
      </w:r>
    </w:p>
    <w:p w14:paraId="227A2462">
      <w:pPr>
        <w:spacing w:line="360" w:lineRule="auto"/>
        <w:ind w:firstLine="480" w:firstLineChars="200"/>
        <w:jc w:val="both"/>
        <w:rPr>
          <w:color w:val="000000"/>
          <w:sz w:val="24"/>
          <w:szCs w:val="24"/>
        </w:rPr>
      </w:pPr>
      <w:r>
        <w:rPr>
          <w:color w:val="000000"/>
          <w:sz w:val="24"/>
          <w:szCs w:val="24"/>
        </w:rPr>
        <w:t>Lentiviral vectors encoding shRNAs were generated using PLKO.1-TRC (Addgene) and designated LV-shPLAU, LV-shPLAUR and LV-shcontrol. For BMDM experiments, LV-shPLAU was driven by the EF1α promoter to ensure stable expression in primary macrophages, whereas LV-shPLAUR targeting PLAUR in tumor cell lines was driven by the CMV promoter. For BMDM, transduction was performed at the early differentiation stage, followed by culture in α-MEM supplemented with 10% FBS and 50 ng/mL M-CSF for 5–7 days. SMARTvector Lentiviral shPLAU were purchased from Dharmacon company (V3SVHS02_7450590).</w:t>
      </w:r>
    </w:p>
    <w:p w14:paraId="42D28504">
      <w:pPr>
        <w:spacing w:line="360" w:lineRule="auto"/>
        <w:jc w:val="both"/>
        <w:rPr>
          <w:b/>
          <w:bCs/>
          <w:color w:val="000000"/>
          <w:sz w:val="24"/>
          <w:szCs w:val="24"/>
        </w:rPr>
      </w:pPr>
    </w:p>
    <w:p w14:paraId="2145B3E3">
      <w:pPr>
        <w:spacing w:line="360" w:lineRule="auto"/>
        <w:jc w:val="both"/>
        <w:rPr>
          <w:b/>
          <w:bCs/>
          <w:color w:val="000000"/>
          <w:sz w:val="24"/>
          <w:szCs w:val="24"/>
        </w:rPr>
      </w:pPr>
      <w:r>
        <w:rPr>
          <w:b/>
          <w:bCs/>
          <w:color w:val="000000"/>
          <w:sz w:val="24"/>
          <w:szCs w:val="24"/>
        </w:rPr>
        <w:t>Chromatin immunoprecipitation Assay (ChIP)</w:t>
      </w:r>
    </w:p>
    <w:p w14:paraId="0A12BF3E">
      <w:pPr>
        <w:spacing w:line="360" w:lineRule="auto"/>
        <w:jc w:val="both"/>
      </w:pPr>
      <w:r>
        <w:rPr>
          <w:color w:val="000000"/>
          <w:sz w:val="24"/>
          <w:szCs w:val="24"/>
        </w:rPr>
        <w:t xml:space="preserve">ChIP was performed follows the standard procedures outlined in our previous study </w:t>
      </w:r>
      <w:r>
        <w:rPr>
          <w:color w:val="000000"/>
          <w:sz w:val="24"/>
          <w:szCs w:val="24"/>
        </w:rPr>
        <w:fldChar w:fldCharType="begin">
          <w:fldData xml:space="preserve">PEVuZE5vdGU+PENpdGU+PEF1dGhvcj5KaTwvQXV0aG9yPjxZZWFyPjIwMjI8L1llYXI+PFJlY051
bT4xOTI8L1JlY051bT48RGlzcGxheVRleHQ+WzNdPC9EaXNwbGF5VGV4dD48cmVjb3JkPjxyZWMt
bnVtYmVyPjE5MjwvcmVjLW51bWJlcj48Zm9yZWlnbi1rZXlzPjxrZXkgYXBwPSJFTiIgZGItaWQ9
IjJ2cDl2eHhwMWU5d3Q4ZXRlMDV2eHY1MXpwdnZ4cnA1ZHJkeCIgdGltZXN0YW1wPSIxNjk4MDU2
NDAxIj4xOTI8L2tleT48L2ZvcmVpZ24ta2V5cz48cmVmLXR5cGUgbmFtZT0iSm91cm5hbCBBcnRp
Y2xlIj4xNzwvcmVmLXR5cGU+PGNvbnRyaWJ1dG9ycz48YXV0aG9ycz48YXV0aG9yPkppLCBYLjwv
YXV0aG9yPjxhdXRob3I+Q2hlbiwgWC48L2F1dGhvcj48YXV0aG9yPlpoYW5nLCBCLjwvYXV0aG9y
PjxhdXRob3I+WGllLCBNLjwvYXV0aG9yPjxhdXRob3I+WmhhbmcsIFQuPC9hdXRob3I+PGF1dGhv
cj5MdW8sIFguPC9hdXRob3I+PGF1dGhvcj5MaXUsIEQuPC9hdXRob3I+PGF1dGhvcj5GZW5nLCBZ
LjwvYXV0aG9yPjxhdXRob3I+V2FuZywgWS48L2F1dGhvcj48YXV0aG9yPlN1biwgTS48L2F1dGhv
cj48YXV0aG9yPkxpLCBDLjwvYXV0aG9yPjxhdXRob3I+SHVhbmcsIFcuPC9hdXRob3I+PGF1dGhv
cj5YaWEsIEwuPC9hdXRob3I+PC9hdXRob3JzPjwvY29udHJpYnV0b3JzPjxhdXRoLWFkZHJlc3M+
RGVwYXJ0bWVudCBvZiBHYXN0cm9lbnRlcm9sb2d5LCBJbnN0aXR1dGUgb2YgTGl2ZXIgYW5kIEdh
c3Ryb2ludGVzdGluYWwgRGlzZWFzZXMsIEh1YmVpIEtleSBMYWJvcmF0b3J5IG9mIEhlcGF0by1Q
YW5jcmVhdG8tQmlsaWFyeSBEaXNlYXNlcywgVG9uZ2ppIEhvc3BpdGFsIG9mIFRvbmdqaSBNZWRp
Y2FsIENvbGxlZ2UsIEh1YXpob25nIFVuaXZlcnNpdHkgb2YgU2NpZW5jZSBhbmQgVGVjaG5vbG9n
eSwgV3VoYW4sIDQzMDAzMCwgSHViZWksIENoaW5hLiYjeEQ7SHViZWkgS2V5IExhYm9yYXRvcnkg
b2YgSGVwYXRvLVBhbmNyZWF0by1CaWxpYXJ5IERpc2Vhc2VzLCBIZXBhdGljIFN1cmdlcnkgQ2Vu
dGVyLCBUb25namkgSG9zcGl0YWwsIFRvbmdqaSBNZWRpY2FsIENvbGxlZ2UsIEh1YXpob25nIFVu
aXZlcnNpdHkgb2YgU2NpZW5jZSBhbmQgVGVjaG5vbG9neSwgQ2xpbmljYWwgTWVkaWNpbmUgUmVz
ZWFyY2ggQ2VudGVyIGZvciBIZXBhdGljIFN1cmdlcnkgb2YgSHViZWkgUHJvdmluY2UsIEtleSBM
YWJvcmF0b3J5IG9mIE9yZ2FuIFRyYW5zcGxhbnRhdGlvbiwgTWluaXN0cnkgb2YgRWR1Y2F0aW9u
IGFuZCBNaW5pc3RyeSBvZiBQdWJsaWMgSGVhbHRoLCBXdWhhbiwgNDMwMDMwLCBIdWJlaSwgQ2hp
bmEuJiN4RDtIdWJlaSBLZXkgTGFib3JhdG9yeSBvZiBIZXBhdG8tUGFuY3JlYXRvLUJpbGlhcnkg
RGlzZWFzZXMsIEhlcGF0aWMgU3VyZ2VyeSBDZW50ZXIsIFRvbmdqaSBIb3NwaXRhbCwgVG9uZ2pp
IE1lZGljYWwgQ29sbGVnZSwgSHVhemhvbmcgVW5pdmVyc2l0eSBvZiBTY2llbmNlIGFuZCBUZWNo
bm9sb2d5LCBDbGluaWNhbCBNZWRpY2luZSBSZXNlYXJjaCBDZW50ZXIgZm9yIEhlcGF0aWMgU3Vy
Z2VyeSBvZiBIdWJlaSBQcm92aW5jZSwgS2V5IExhYm9yYXRvcnkgb2YgT3JnYW4gVHJhbnNwbGFu
dGF0aW9uLCBNaW5pc3RyeSBvZiBFZHVjYXRpb24gYW5kIE1pbmlzdHJ5IG9mIFB1YmxpYyBIZWFs
dGgsIFd1aGFuLCA0MzAwMzAsIEh1YmVpLCBDaGluYS4gaHVhbmd3ZW5qaWVAdGpoLnRqbXUuZWR1
LmNuLiYjeEQ7RGVwYXJ0bWVudCBvZiBHYXN0cm9lbnRlcm9sb2d5LCBJbnN0aXR1dGUgb2YgTGl2
ZXIgYW5kIEdhc3Ryb2ludGVzdGluYWwgRGlzZWFzZXMsIEh1YmVpIEtleSBMYWJvcmF0b3J5IG9m
IEhlcGF0by1QYW5jcmVhdG8tQmlsaWFyeSBEaXNlYXNlcywgVG9uZ2ppIEhvc3BpdGFsIG9mIFRv
bmdqaSBNZWRpY2FsIENvbGxlZ2UsIEh1YXpob25nIFVuaXZlcnNpdHkgb2YgU2NpZW5jZSBhbmQg
VGVjaG5vbG9neSwgV3VoYW4sIDQzMDAzMCwgSHViZWksIENoaW5hLiB4aWFsaW1pbkB0amgudGpt
dS5lZHUuY24uPC9hdXRoLWFkZHJlc3M+PHRpdGxlcz48dGl0bGU+VC1ib3ggdHJhbnNjcmlwdGlv
biBmYWN0b3IgMTkgcHJvbW90ZXMgaGVwYXRvY2VsbHVsYXIgY2FyY2lub21hIG1ldGFzdGFzaXMg
dGhyb3VnaCB1cHJlZ3VsYXRpbmcgRUdGUiBhbmQgUkFDMTwvdGl0bGU+PHNlY29uZGFyeS10aXRs
ZT5PbmNvZ2VuZTwvc2Vjb25kYXJ5LXRpdGxlPjwvdGl0bGVzPjxwZXJpb2RpY2FsPjxmdWxsLXRp
dGxlPk9uY29nZW5lPC9mdWxsLXRpdGxlPjwvcGVyaW9kaWNhbD48cGFnZXM+MjIyNS0yMjM4PC9w
YWdlcz48dm9sdW1lPjQxPC92b2x1bWU+PG51bWJlcj4xNTwvbnVtYmVyPjxlZGl0aW9uPjIwMjIv
MDIvMjc8L2VkaXRpb24+PGtleXdvcmRzPjxrZXl3b3JkPipDYXJjaW5vbWEsIEhlcGF0b2NlbGx1
bGFyL3BhdGhvbG9neTwva2V5d29yZD48a2V5d29yZD5DZWxsIExpbmUsIFR1bW9yPC9rZXl3b3Jk
PjxrZXl3b3JkPkVwaWRlcm1hbCBHcm93dGggRmFjdG9yL21ldGFib2xpc208L2tleXdvcmQ+PGtl
eXdvcmQ+KkVyYkIgUmVjZXB0b3JzL2dlbmV0aWNzL21ldGFib2xpc208L2tleXdvcmQ+PGtleXdv
cmQ+RXh0cmFjZWxsdWxhciBTaWduYWwtUmVndWxhdGVkIE1BUCBLaW5hc2VzL21ldGFib2xpc208
L2tleXdvcmQ+PGtleXdvcmQ+R2VuZSBFeHByZXNzaW9uIFJlZ3VsYXRpb24sIE5lb3BsYXN0aWM8
L2tleXdvcmQ+PGtleXdvcmQ+SG9tZW9kb21haW4gUHJvdGVpbnMvZ2VuZXRpY3MvbWV0YWJvbGlz
bTwva2V5d29yZD48a2V5d29yZD5IdW1hbnM8L2tleXdvcmQ+PGtleXdvcmQ+KkxpdmVyIE5lb3Bs
YXNtcy9wYXRob2xvZ3k8L2tleXdvcmQ+PGtleXdvcmQ+TmVvcGxhc20gTWV0YXN0YXNpczwva2V5
d29yZD48a2V5d29yZD5ULUJveCBEb21haW4gUHJvdGVpbnMvZ2VuZXRpY3MvbWV0YWJvbGlzbTwv
a2V5d29yZD48a2V5d29yZD5UcmFuc2NyaXB0aW9uIEZhY3RvcnMvZ2VuZXRpY3MvbWV0YWJvbGlz
bTwva2V5d29yZD48a2V5d29yZD4qcmFjMSBHVFAtQmluZGluZyBQcm90ZWluL2dlbmV0aWNzL21l
dGFib2xpc208L2tleXdvcmQ+PC9rZXl3b3Jkcz48ZGF0ZXM+PHllYXI+MjAyMjwveWVhcj48cHVi
LWRhdGVzPjxkYXRlPkFwcjwvZGF0ZT48L3B1Yi1kYXRlcz48L2RhdGVzPjxpc2JuPjE0NzYtNTU5
NCAoRWxlY3Ryb25pYykmI3hEOzA5NTAtOTIzMiAoTGlua2luZyk8L2lzYm4+PGFjY2Vzc2lvbi1u
dW0+MzUyMTc3OTM8L2FjY2Vzc2lvbi1udW0+PHVybHM+PHJlbGF0ZWQtdXJscz48dXJsPmh0dHBz
Oi8vd3d3Lm5jYmkubmxtLm5paC5nb3YvcHVibWVkLzM1MjE3NzkzPC91cmw+PC9yZWxhdGVkLXVy
bHM+PC91cmxzPjxlbGVjdHJvbmljLXJlc291cmNlLW51bT4xMC4xMDM4L3M0MTM4OC0wMjItMDIy
NDktMjwvZWxlY3Ryb25pYy1yZXNvdXJjZS1udW0+PC9yZWNvcmQ+PC9DaXRlPjwvRW5kTm90ZT4A
</w:fldData>
        </w:fldChar>
      </w:r>
      <w:r>
        <w:rPr>
          <w:color w:val="000000"/>
          <w:sz w:val="24"/>
          <w:szCs w:val="24"/>
        </w:rPr>
        <w:instrText xml:space="preserve"> ADDIN EN.CITE </w:instrText>
      </w:r>
      <w:r>
        <w:rPr>
          <w:color w:val="000000"/>
          <w:sz w:val="24"/>
          <w:szCs w:val="24"/>
        </w:rPr>
        <w:fldChar w:fldCharType="begin">
          <w:fldData xml:space="preserve">PEVuZE5vdGU+PENpdGU+PEF1dGhvcj5KaTwvQXV0aG9yPjxZZWFyPjIwMjI8L1llYXI+PFJlY051
bT4xOTI8L1JlY051bT48RGlzcGxheVRleHQ+WzNdPC9EaXNwbGF5VGV4dD48cmVjb3JkPjxyZWMt
bnVtYmVyPjE5MjwvcmVjLW51bWJlcj48Zm9yZWlnbi1rZXlzPjxrZXkgYXBwPSJFTiIgZGItaWQ9
IjJ2cDl2eHhwMWU5d3Q4ZXRlMDV2eHY1MXpwdnZ4cnA1ZHJkeCIgdGltZXN0YW1wPSIxNjk4MDU2
NDAxIj4xOTI8L2tleT48L2ZvcmVpZ24ta2V5cz48cmVmLXR5cGUgbmFtZT0iSm91cm5hbCBBcnRp
Y2xlIj4xNzwvcmVmLXR5cGU+PGNvbnRyaWJ1dG9ycz48YXV0aG9ycz48YXV0aG9yPkppLCBYLjwv
YXV0aG9yPjxhdXRob3I+Q2hlbiwgWC48L2F1dGhvcj48YXV0aG9yPlpoYW5nLCBCLjwvYXV0aG9y
PjxhdXRob3I+WGllLCBNLjwvYXV0aG9yPjxhdXRob3I+WmhhbmcsIFQuPC9hdXRob3I+PGF1dGhv
cj5MdW8sIFguPC9hdXRob3I+PGF1dGhvcj5MaXUsIEQuPC9hdXRob3I+PGF1dGhvcj5GZW5nLCBZ
LjwvYXV0aG9yPjxhdXRob3I+V2FuZywgWS48L2F1dGhvcj48YXV0aG9yPlN1biwgTS48L2F1dGhv
cj48YXV0aG9yPkxpLCBDLjwvYXV0aG9yPjxhdXRob3I+SHVhbmcsIFcuPC9hdXRob3I+PGF1dGhv
cj5YaWEsIEwuPC9hdXRob3I+PC9hdXRob3JzPjwvY29udHJpYnV0b3JzPjxhdXRoLWFkZHJlc3M+
RGVwYXJ0bWVudCBvZiBHYXN0cm9lbnRlcm9sb2d5LCBJbnN0aXR1dGUgb2YgTGl2ZXIgYW5kIEdh
c3Ryb2ludGVzdGluYWwgRGlzZWFzZXMsIEh1YmVpIEtleSBMYWJvcmF0b3J5IG9mIEhlcGF0by1Q
YW5jcmVhdG8tQmlsaWFyeSBEaXNlYXNlcywgVG9uZ2ppIEhvc3BpdGFsIG9mIFRvbmdqaSBNZWRp
Y2FsIENvbGxlZ2UsIEh1YXpob25nIFVuaXZlcnNpdHkgb2YgU2NpZW5jZSBhbmQgVGVjaG5vbG9n
eSwgV3VoYW4sIDQzMDAzMCwgSHViZWksIENoaW5hLiYjeEQ7SHViZWkgS2V5IExhYm9yYXRvcnkg
b2YgSGVwYXRvLVBhbmNyZWF0by1CaWxpYXJ5IERpc2Vhc2VzLCBIZXBhdGljIFN1cmdlcnkgQ2Vu
dGVyLCBUb25namkgSG9zcGl0YWwsIFRvbmdqaSBNZWRpY2FsIENvbGxlZ2UsIEh1YXpob25nIFVu
aXZlcnNpdHkgb2YgU2NpZW5jZSBhbmQgVGVjaG5vbG9neSwgQ2xpbmljYWwgTWVkaWNpbmUgUmVz
ZWFyY2ggQ2VudGVyIGZvciBIZXBhdGljIFN1cmdlcnkgb2YgSHViZWkgUHJvdmluY2UsIEtleSBM
YWJvcmF0b3J5IG9mIE9yZ2FuIFRyYW5zcGxhbnRhdGlvbiwgTWluaXN0cnkgb2YgRWR1Y2F0aW9u
IGFuZCBNaW5pc3RyeSBvZiBQdWJsaWMgSGVhbHRoLCBXdWhhbiwgNDMwMDMwLCBIdWJlaSwgQ2hp
bmEuJiN4RDtIdWJlaSBLZXkgTGFib3JhdG9yeSBvZiBIZXBhdG8tUGFuY3JlYXRvLUJpbGlhcnkg
RGlzZWFzZXMsIEhlcGF0aWMgU3VyZ2VyeSBDZW50ZXIsIFRvbmdqaSBIb3NwaXRhbCwgVG9uZ2pp
IE1lZGljYWwgQ29sbGVnZSwgSHVhemhvbmcgVW5pdmVyc2l0eSBvZiBTY2llbmNlIGFuZCBUZWNo
bm9sb2d5LCBDbGluaWNhbCBNZWRpY2luZSBSZXNlYXJjaCBDZW50ZXIgZm9yIEhlcGF0aWMgU3Vy
Z2VyeSBvZiBIdWJlaSBQcm92aW5jZSwgS2V5IExhYm9yYXRvcnkgb2YgT3JnYW4gVHJhbnNwbGFu
dGF0aW9uLCBNaW5pc3RyeSBvZiBFZHVjYXRpb24gYW5kIE1pbmlzdHJ5IG9mIFB1YmxpYyBIZWFs
dGgsIFd1aGFuLCA0MzAwMzAsIEh1YmVpLCBDaGluYS4gaHVhbmd3ZW5qaWVAdGpoLnRqbXUuZWR1
LmNuLiYjeEQ7RGVwYXJ0bWVudCBvZiBHYXN0cm9lbnRlcm9sb2d5LCBJbnN0aXR1dGUgb2YgTGl2
ZXIgYW5kIEdhc3Ryb2ludGVzdGluYWwgRGlzZWFzZXMsIEh1YmVpIEtleSBMYWJvcmF0b3J5IG9m
IEhlcGF0by1QYW5jcmVhdG8tQmlsaWFyeSBEaXNlYXNlcywgVG9uZ2ppIEhvc3BpdGFsIG9mIFRv
bmdqaSBNZWRpY2FsIENvbGxlZ2UsIEh1YXpob25nIFVuaXZlcnNpdHkgb2YgU2NpZW5jZSBhbmQg
VGVjaG5vbG9neSwgV3VoYW4sIDQzMDAzMCwgSHViZWksIENoaW5hLiB4aWFsaW1pbkB0amgudGpt
dS5lZHUuY24uPC9hdXRoLWFkZHJlc3M+PHRpdGxlcz48dGl0bGU+VC1ib3ggdHJhbnNjcmlwdGlv
biBmYWN0b3IgMTkgcHJvbW90ZXMgaGVwYXRvY2VsbHVsYXIgY2FyY2lub21hIG1ldGFzdGFzaXMg
dGhyb3VnaCB1cHJlZ3VsYXRpbmcgRUdGUiBhbmQgUkFDMTwvdGl0bGU+PHNlY29uZGFyeS10aXRs
ZT5PbmNvZ2VuZTwvc2Vjb25kYXJ5LXRpdGxlPjwvdGl0bGVzPjxwZXJpb2RpY2FsPjxmdWxsLXRp
dGxlPk9uY29nZW5lPC9mdWxsLXRpdGxlPjwvcGVyaW9kaWNhbD48cGFnZXM+MjIyNS0yMjM4PC9w
YWdlcz48dm9sdW1lPjQxPC92b2x1bWU+PG51bWJlcj4xNTwvbnVtYmVyPjxlZGl0aW9uPjIwMjIv
MDIvMjc8L2VkaXRpb24+PGtleXdvcmRzPjxrZXl3b3JkPipDYXJjaW5vbWEsIEhlcGF0b2NlbGx1
bGFyL3BhdGhvbG9neTwva2V5d29yZD48a2V5d29yZD5DZWxsIExpbmUsIFR1bW9yPC9rZXl3b3Jk
PjxrZXl3b3JkPkVwaWRlcm1hbCBHcm93dGggRmFjdG9yL21ldGFib2xpc208L2tleXdvcmQ+PGtl
eXdvcmQ+KkVyYkIgUmVjZXB0b3JzL2dlbmV0aWNzL21ldGFib2xpc208L2tleXdvcmQ+PGtleXdv
cmQ+RXh0cmFjZWxsdWxhciBTaWduYWwtUmVndWxhdGVkIE1BUCBLaW5hc2VzL21ldGFib2xpc208
L2tleXdvcmQ+PGtleXdvcmQ+R2VuZSBFeHByZXNzaW9uIFJlZ3VsYXRpb24sIE5lb3BsYXN0aWM8
L2tleXdvcmQ+PGtleXdvcmQ+SG9tZW9kb21haW4gUHJvdGVpbnMvZ2VuZXRpY3MvbWV0YWJvbGlz
bTwva2V5d29yZD48a2V5d29yZD5IdW1hbnM8L2tleXdvcmQ+PGtleXdvcmQ+KkxpdmVyIE5lb3Bs
YXNtcy9wYXRob2xvZ3k8L2tleXdvcmQ+PGtleXdvcmQ+TmVvcGxhc20gTWV0YXN0YXNpczwva2V5
d29yZD48a2V5d29yZD5ULUJveCBEb21haW4gUHJvdGVpbnMvZ2VuZXRpY3MvbWV0YWJvbGlzbTwv
a2V5d29yZD48a2V5d29yZD5UcmFuc2NyaXB0aW9uIEZhY3RvcnMvZ2VuZXRpY3MvbWV0YWJvbGlz
bTwva2V5d29yZD48a2V5d29yZD4qcmFjMSBHVFAtQmluZGluZyBQcm90ZWluL2dlbmV0aWNzL21l
dGFib2xpc208L2tleXdvcmQ+PC9rZXl3b3Jkcz48ZGF0ZXM+PHllYXI+MjAyMjwveWVhcj48cHVi
LWRhdGVzPjxkYXRlPkFwcjwvZGF0ZT48L3B1Yi1kYXRlcz48L2RhdGVzPjxpc2JuPjE0NzYtNTU5
NCAoRWxlY3Ryb25pYykmI3hEOzA5NTAtOTIzMiAoTGlua2luZyk8L2lzYm4+PGFjY2Vzc2lvbi1u
dW0+MzUyMTc3OTM8L2FjY2Vzc2lvbi1udW0+PHVybHM+PHJlbGF0ZWQtdXJscz48dXJsPmh0dHBz
Oi8vd3d3Lm5jYmkubmxtLm5paC5nb3YvcHVibWVkLzM1MjE3NzkzPC91cmw+PC9yZWxhdGVkLXVy
bHM+PC91cmxzPjxlbGVjdHJvbmljLXJlc291cmNlLW51bT4xMC4xMDM4L3M0MTM4OC0wMjItMDIy
NDktMjwvZWxlY3Ryb25pYy1yZXNvdXJjZS1udW0+PC9yZWNvcmQ+PC9DaXRlPjwvRW5kTm90ZT4A
</w:fldData>
        </w:fldChar>
      </w:r>
      <w:r>
        <w:rPr>
          <w:color w:val="000000"/>
          <w:sz w:val="24"/>
          <w:szCs w:val="24"/>
        </w:rPr>
        <w:instrText xml:space="preserve"> ADDIN EN.CITE.DATA </w:instrText>
      </w:r>
      <w:r>
        <w:rPr>
          <w:color w:val="000000"/>
          <w:sz w:val="24"/>
          <w:szCs w:val="24"/>
        </w:rPr>
        <w:fldChar w:fldCharType="end"/>
      </w:r>
      <w:r>
        <w:rPr>
          <w:color w:val="000000"/>
          <w:sz w:val="24"/>
          <w:szCs w:val="24"/>
        </w:rPr>
        <w:fldChar w:fldCharType="separate"/>
      </w:r>
      <w:r>
        <w:rPr>
          <w:color w:val="000000"/>
          <w:sz w:val="24"/>
          <w:szCs w:val="24"/>
        </w:rPr>
        <w:t>[4]</w:t>
      </w:r>
      <w:r>
        <w:rPr>
          <w:color w:val="000000"/>
          <w:sz w:val="24"/>
          <w:szCs w:val="24"/>
        </w:rPr>
        <w:fldChar w:fldCharType="end"/>
      </w:r>
      <w:r>
        <w:rPr>
          <w:color w:val="000000"/>
          <w:sz w:val="24"/>
          <w:szCs w:val="24"/>
        </w:rPr>
        <w:t>.</w:t>
      </w:r>
    </w:p>
    <w:p w14:paraId="0C3F74B5">
      <w:pPr>
        <w:spacing w:line="360" w:lineRule="auto"/>
        <w:jc w:val="both"/>
        <w:rPr>
          <w:b/>
          <w:bCs/>
          <w:color w:val="000000"/>
          <w:sz w:val="24"/>
          <w:szCs w:val="24"/>
        </w:rPr>
      </w:pPr>
    </w:p>
    <w:p w14:paraId="796D0CA8">
      <w:pPr>
        <w:spacing w:line="360" w:lineRule="auto"/>
        <w:jc w:val="both"/>
        <w:rPr>
          <w:b/>
          <w:bCs/>
          <w:color w:val="000000"/>
          <w:sz w:val="24"/>
          <w:szCs w:val="24"/>
        </w:rPr>
      </w:pPr>
      <w:r>
        <w:rPr>
          <w:b/>
          <w:bCs/>
          <w:color w:val="000000"/>
          <w:sz w:val="24"/>
          <w:szCs w:val="24"/>
        </w:rPr>
        <w:t>Quantitative Real-time PCR (RT-qPCR)</w:t>
      </w:r>
    </w:p>
    <w:p w14:paraId="678B7F1E">
      <w:pPr>
        <w:spacing w:line="360" w:lineRule="auto"/>
        <w:ind w:firstLine="480" w:firstLineChars="200"/>
        <w:jc w:val="both"/>
        <w:rPr>
          <w:color w:val="000000"/>
          <w:sz w:val="24"/>
          <w:szCs w:val="24"/>
        </w:rPr>
      </w:pPr>
      <w:r>
        <w:rPr>
          <w:color w:val="000000"/>
          <w:sz w:val="24"/>
          <w:szCs w:val="24"/>
        </w:rPr>
        <w:t xml:space="preserve">The RNeasy Plus Mini Kit (50) kit (Qiagen, Hilden, Germany) was used to extract total RNA. The extracted RNA was then reverse transcribed using the Advantage RT-for-PCR Kit from Qiagen. The target sequence was amplified using real-time PCR with the SYBR Green PCR Kit from Qiagen. All experiments were conducted in duplicate to ensure accuracy and reproducibility. The primer sequences used for PCR amplification can be found in </w:t>
      </w:r>
      <w:r>
        <w:rPr>
          <w:b/>
          <w:bCs/>
          <w:color w:val="000000"/>
          <w:sz w:val="24"/>
          <w:szCs w:val="24"/>
        </w:rPr>
        <w:t>Supplementary Table 4</w:t>
      </w:r>
      <w:r>
        <w:rPr>
          <w:color w:val="000000"/>
          <w:sz w:val="24"/>
          <w:szCs w:val="24"/>
        </w:rPr>
        <w:t>.</w:t>
      </w:r>
    </w:p>
    <w:p w14:paraId="6D9885ED">
      <w:pPr>
        <w:spacing w:line="360" w:lineRule="auto"/>
        <w:jc w:val="both"/>
        <w:rPr>
          <w:b/>
          <w:bCs/>
          <w:color w:val="000000"/>
          <w:sz w:val="24"/>
          <w:szCs w:val="24"/>
        </w:rPr>
      </w:pPr>
    </w:p>
    <w:p w14:paraId="0F56C1BF">
      <w:pPr>
        <w:spacing w:line="360" w:lineRule="auto"/>
        <w:jc w:val="both"/>
        <w:rPr>
          <w:b/>
          <w:bCs/>
          <w:color w:val="000000"/>
          <w:sz w:val="24"/>
          <w:szCs w:val="24"/>
        </w:rPr>
      </w:pPr>
      <w:r>
        <w:rPr>
          <w:b/>
          <w:bCs/>
          <w:color w:val="000000"/>
          <w:sz w:val="24"/>
          <w:szCs w:val="24"/>
        </w:rPr>
        <w:t xml:space="preserve">Luciferase reporter assays </w:t>
      </w:r>
    </w:p>
    <w:p w14:paraId="0E537E67">
      <w:pPr>
        <w:spacing w:line="360" w:lineRule="auto"/>
        <w:ind w:firstLine="480" w:firstLineChars="200"/>
        <w:jc w:val="both"/>
        <w:rPr>
          <w:color w:val="000000"/>
          <w:sz w:val="24"/>
          <w:szCs w:val="24"/>
        </w:rPr>
      </w:pPr>
      <w:r>
        <w:rPr>
          <w:color w:val="000000"/>
          <w:sz w:val="24"/>
          <w:szCs w:val="24"/>
        </w:rPr>
        <w:t>Full-length, truncated, or mutant fragments of the PLAU promoter were cloned into the pGL3-basic luciferase reporter vector. THP-1 cellswere cultured in RPMI-1640 medium supplemented with 10% FBS, 2 mM L-glutamine, and 50 μM 2-mercaptoethanol at 37°C in a humidified 5% CO</w:t>
      </w:r>
      <w:r>
        <w:rPr>
          <w:color w:val="000000"/>
          <w:sz w:val="24"/>
          <w:szCs w:val="24"/>
          <w:vertAlign w:val="subscript"/>
        </w:rPr>
        <w:t>2</w:t>
      </w:r>
      <w:r>
        <w:rPr>
          <w:color w:val="000000"/>
          <w:sz w:val="24"/>
          <w:szCs w:val="24"/>
        </w:rPr>
        <w:t xml:space="preserve"> incubator.</w:t>
      </w:r>
      <w:r>
        <w:rPr>
          <w:rFonts w:hint="eastAsia"/>
          <w:color w:val="000000"/>
          <w:sz w:val="24"/>
          <w:szCs w:val="24"/>
        </w:rPr>
        <w:t xml:space="preserve"> </w:t>
      </w:r>
      <w:r>
        <w:rPr>
          <w:color w:val="000000"/>
          <w:sz w:val="24"/>
          <w:szCs w:val="24"/>
        </w:rPr>
        <w:t>For the reporter assay, 4 × 10</w:t>
      </w:r>
      <w:r>
        <w:rPr>
          <w:color w:val="000000"/>
          <w:sz w:val="24"/>
          <w:szCs w:val="24"/>
          <w:vertAlign w:val="superscript"/>
        </w:rPr>
        <w:t>^4</w:t>
      </w:r>
      <w:r>
        <w:rPr>
          <w:color w:val="000000"/>
          <w:sz w:val="24"/>
          <w:szCs w:val="24"/>
        </w:rPr>
        <w:t xml:space="preserve"> THP-1 cells per well were seeded in 96-well plates and transiently transfected with PLAU promoter luciferase construct and Renilla pRL-TK plasmid (Promega, USA) using Lipofectamine 3000 (Thermo Fisher Scientific) according to the manufacturer’s instructions. Luciferase activity was measured using the Dual-Luciferase Reporter Assay System (Promega, USA) and quantified on a Modulus™ TD20/20 luminometer (Turner Biosystems, USA). The luciferase activity was normalized according to the Renilla activity to account for variations in transfection efficiency. </w:t>
      </w:r>
    </w:p>
    <w:p w14:paraId="3424E9DE">
      <w:pPr>
        <w:spacing w:line="360" w:lineRule="auto"/>
        <w:ind w:firstLine="480" w:firstLineChars="200"/>
        <w:jc w:val="both"/>
        <w:rPr>
          <w:color w:val="000000"/>
          <w:sz w:val="24"/>
          <w:szCs w:val="24"/>
        </w:rPr>
      </w:pPr>
      <w:r>
        <w:rPr>
          <w:color w:val="000000"/>
          <w:sz w:val="24"/>
          <w:szCs w:val="24"/>
        </w:rPr>
        <w:t xml:space="preserve">The primer sequences can be found in </w:t>
      </w:r>
      <w:r>
        <w:rPr>
          <w:b/>
          <w:bCs/>
          <w:color w:val="000000"/>
          <w:sz w:val="24"/>
          <w:szCs w:val="24"/>
        </w:rPr>
        <w:t>Supplementary Table 4</w:t>
      </w:r>
      <w:r>
        <w:rPr>
          <w:color w:val="000000"/>
          <w:sz w:val="24"/>
          <w:szCs w:val="24"/>
        </w:rPr>
        <w:t>.</w:t>
      </w:r>
    </w:p>
    <w:p w14:paraId="072CC930">
      <w:pPr>
        <w:spacing w:line="360" w:lineRule="auto"/>
        <w:ind w:firstLine="480" w:firstLineChars="200"/>
        <w:jc w:val="both"/>
        <w:rPr>
          <w:b/>
          <w:bCs/>
          <w:color w:val="000000"/>
          <w:sz w:val="24"/>
          <w:szCs w:val="24"/>
        </w:rPr>
      </w:pPr>
    </w:p>
    <w:p w14:paraId="5C2EDA40">
      <w:pPr>
        <w:spacing w:line="360" w:lineRule="auto"/>
        <w:jc w:val="both"/>
        <w:rPr>
          <w:b/>
          <w:bCs/>
          <w:color w:val="000000"/>
          <w:sz w:val="24"/>
          <w:szCs w:val="24"/>
        </w:rPr>
      </w:pPr>
      <w:r>
        <w:rPr>
          <w:b/>
          <w:bCs/>
          <w:color w:val="000000"/>
          <w:sz w:val="24"/>
          <w:szCs w:val="24"/>
        </w:rPr>
        <w:t xml:space="preserve">Statistical analysis </w:t>
      </w:r>
    </w:p>
    <w:p w14:paraId="0C77C2B6">
      <w:pPr>
        <w:spacing w:line="360" w:lineRule="auto"/>
        <w:ind w:firstLine="240" w:firstLineChars="100"/>
        <w:jc w:val="both"/>
        <w:rPr>
          <w:color w:val="000000"/>
          <w:sz w:val="24"/>
          <w:szCs w:val="24"/>
        </w:rPr>
      </w:pPr>
      <w:r>
        <w:rPr>
          <w:color w:val="000000"/>
          <w:sz w:val="24"/>
          <w:szCs w:val="24"/>
        </w:rPr>
        <w:t>All values were recorded as the mean ± standard deviation (s.d.). Experiments were repeated at least three times with independent biological replicates. Statistical significance between the means of the two groups was determined using Student’s t-tests (normal distribution) or Mann–Whitney U tests (abnormal distribution). For comparisons among multiple groups, one-way or two-way ANOVA was used. Cumulative recurrence and survival curves were plotted using the Kaplan–Meier method, and a log-rank test determined the statistical significance.</w:t>
      </w:r>
      <w:r>
        <w:rPr>
          <w:color w:val="0E0E0E"/>
          <w:sz w:val="24"/>
          <w:szCs w:val="24"/>
        </w:rPr>
        <w:t xml:space="preserve"> </w:t>
      </w:r>
      <w:r>
        <w:rPr>
          <w:color w:val="000000"/>
          <w:sz w:val="24"/>
          <w:szCs w:val="24"/>
        </w:rPr>
        <w:t>Multivariate analysis was performed using Cox regression, and correlations were evaluated with the chi-squared test. Statistical analysis was applied appropriately across all figures (*P&lt;0.05, **P&lt;0.01, ***P&lt;0.001, ****P&lt;0.0001, n.s. not significant). Calculations were done using SPSS 20.0 or GraphPad Prism 10.0 software.</w:t>
      </w:r>
    </w:p>
    <w:p w14:paraId="69758473">
      <w:pPr>
        <w:spacing w:line="360" w:lineRule="auto"/>
        <w:jc w:val="both"/>
      </w:pPr>
    </w:p>
    <w:p w14:paraId="5C6722CA">
      <w:pPr>
        <w:spacing w:line="360" w:lineRule="auto"/>
        <w:jc w:val="both"/>
      </w:pPr>
      <w:r>
        <w:br w:type="page"/>
      </w:r>
    </w:p>
    <w:p w14:paraId="7BAE989D">
      <w:pPr>
        <w:spacing w:line="360" w:lineRule="auto"/>
        <w:jc w:val="both"/>
        <w:rPr>
          <w:b/>
          <w:bCs/>
          <w:color w:val="000000"/>
          <w:sz w:val="24"/>
          <w:szCs w:val="24"/>
        </w:rPr>
      </w:pPr>
      <w:r>
        <w:rPr>
          <w:b/>
          <w:bCs/>
          <w:color w:val="000000"/>
          <w:sz w:val="24"/>
          <w:szCs w:val="24"/>
        </w:rPr>
        <w:t>Supplementary Figure S1</w:t>
      </w:r>
    </w:p>
    <w:p w14:paraId="7421BB30">
      <w:pPr>
        <w:spacing w:line="360" w:lineRule="auto"/>
        <w:jc w:val="both"/>
      </w:pPr>
      <w:r>
        <w:rPr>
          <w:rFonts w:hint="eastAsia"/>
        </w:rPr>
        <w:drawing>
          <wp:inline distT="0" distB="0" distL="0" distR="0">
            <wp:extent cx="5274310" cy="2933700"/>
            <wp:effectExtent l="0" t="0" r="0" b="0"/>
            <wp:docPr id="8959546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954618"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2933700"/>
                    </a:xfrm>
                    <a:prstGeom prst="rect">
                      <a:avLst/>
                    </a:prstGeom>
                  </pic:spPr>
                </pic:pic>
              </a:graphicData>
            </a:graphic>
          </wp:inline>
        </w:drawing>
      </w:r>
    </w:p>
    <w:p w14:paraId="4D171FE4">
      <w:pPr>
        <w:pStyle w:val="16"/>
        <w:spacing w:line="360" w:lineRule="auto"/>
        <w:jc w:val="both"/>
      </w:pPr>
      <w:r>
        <w:rPr>
          <w:rFonts w:hint="eastAsia" w:ascii="Times New Roman" w:hAnsi="Times New Roman" w:eastAsia="DengXian" w:cs="Times New Roman"/>
          <w:b/>
          <w:bCs/>
          <w:kern w:val="2"/>
          <w:sz w:val="21"/>
          <w:szCs w:val="21"/>
        </w:rPr>
        <w:t>F</w:t>
      </w:r>
      <w:r>
        <w:rPr>
          <w:rFonts w:ascii="Times New Roman" w:hAnsi="Times New Roman" w:eastAsia="DengXian" w:cs="Times New Roman"/>
          <w:b/>
          <w:bCs/>
          <w:kern w:val="2"/>
          <w:sz w:val="21"/>
          <w:szCs w:val="21"/>
        </w:rPr>
        <w:t xml:space="preserve">igure S1. High H‑TAM infiltration is associated with poor prognosis across multiple HCC cohorts. </w:t>
      </w:r>
      <w:r>
        <w:rPr>
          <w:rFonts w:ascii="Times New Roman" w:hAnsi="Times New Roman" w:eastAsia="DengXian" w:cs="Times New Roman"/>
          <w:kern w:val="2"/>
          <w:sz w:val="21"/>
          <w:szCs w:val="21"/>
        </w:rPr>
        <w:t>Kaplan–Meier survival curves from independent HCC transcriptomic datasets, demonstrating significantly poorer overall survival (A-B), disease−free survival (C), disease−specific survival (D), progress−free survival (E) and relapse−free survival (F-G) in patients with high H-TAM infiltration.</w:t>
      </w:r>
      <w:r>
        <w:br w:type="page"/>
      </w:r>
    </w:p>
    <w:p w14:paraId="0B2F469F">
      <w:pPr>
        <w:spacing w:line="360" w:lineRule="auto"/>
        <w:jc w:val="both"/>
        <w:rPr>
          <w:b/>
          <w:bCs/>
          <w:color w:val="000000"/>
          <w:sz w:val="24"/>
          <w:szCs w:val="24"/>
        </w:rPr>
      </w:pPr>
      <w:r>
        <w:rPr>
          <w:rFonts w:hint="eastAsia"/>
        </w:rPr>
        <w:drawing>
          <wp:anchor distT="0" distB="0" distL="114300" distR="114300" simplePos="0" relativeHeight="251659264" behindDoc="0" locked="0" layoutInCell="1" allowOverlap="1">
            <wp:simplePos x="0" y="0"/>
            <wp:positionH relativeFrom="column">
              <wp:posOffset>214630</wp:posOffset>
            </wp:positionH>
            <wp:positionV relativeFrom="paragraph">
              <wp:posOffset>377190</wp:posOffset>
            </wp:positionV>
            <wp:extent cx="4893310" cy="6562090"/>
            <wp:effectExtent l="0" t="0" r="0" b="3810"/>
            <wp:wrapTopAndBottom/>
            <wp:docPr id="164571360" name="图片 2"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71360" name="图片 2" descr="图示&#10;&#10;AI 生成的内容可能不正确。"/>
                    <pic:cNvPicPr>
                      <a:picLocks noChangeAspect="1"/>
                    </pic:cNvPicPr>
                  </pic:nvPicPr>
                  <pic:blipFill>
                    <a:blip r:embed="rId5" cstate="print">
                      <a:extLst>
                        <a:ext uri="{28A0092B-C50C-407E-A947-70E740481C1C}">
                          <a14:useLocalDpi xmlns:a14="http://schemas.microsoft.com/office/drawing/2010/main" val="0"/>
                        </a:ext>
                      </a:extLst>
                    </a:blip>
                    <a:srcRect b="5882"/>
                    <a:stretch>
                      <a:fillRect/>
                    </a:stretch>
                  </pic:blipFill>
                  <pic:spPr>
                    <a:xfrm>
                      <a:off x="0" y="0"/>
                      <a:ext cx="4893276" cy="6562165"/>
                    </a:xfrm>
                    <a:prstGeom prst="rect">
                      <a:avLst/>
                    </a:prstGeom>
                    <a:ln>
                      <a:noFill/>
                    </a:ln>
                  </pic:spPr>
                </pic:pic>
              </a:graphicData>
            </a:graphic>
          </wp:anchor>
        </w:drawing>
      </w:r>
      <w:r>
        <w:rPr>
          <w:b/>
          <w:bCs/>
          <w:color w:val="000000"/>
          <w:sz w:val="24"/>
          <w:szCs w:val="24"/>
        </w:rPr>
        <w:t>Supplementary Figure S2</w:t>
      </w:r>
    </w:p>
    <w:p w14:paraId="2FB4FE9B">
      <w:pPr>
        <w:pStyle w:val="16"/>
        <w:spacing w:line="360" w:lineRule="auto"/>
        <w:jc w:val="both"/>
        <w:rPr>
          <w:sz w:val="21"/>
          <w:szCs w:val="21"/>
        </w:rPr>
      </w:pPr>
      <w:r>
        <w:rPr>
          <w:rFonts w:ascii="Times New Roman" w:hAnsi="Times New Roman" w:eastAsia="DengXian" w:cs="Times New Roman"/>
          <w:b/>
          <w:bCs/>
          <w:kern w:val="2"/>
          <w:sz w:val="21"/>
          <w:szCs w:val="21"/>
        </w:rPr>
        <w:t xml:space="preserve">Figure S2. H-TAM exhibit altered intercellular communication patterns in HCC. </w:t>
      </w:r>
      <w:r>
        <w:rPr>
          <w:rFonts w:ascii="Times New Roman" w:hAnsi="Times New Roman" w:eastAsia="DengXian" w:cs="Times New Roman"/>
          <w:kern w:val="2"/>
          <w:sz w:val="21"/>
          <w:szCs w:val="21"/>
        </w:rPr>
        <w:t>(A, B) Heatmaps of differentially enriched outgoing(A) and incoming(B) signaling pathways across major cell types by CellChat analysis. (C) Dot plot of the top differential activated ligand-receptor signaling pathways by CellChat analysis.</w:t>
      </w:r>
      <w:r>
        <w:rPr>
          <w:sz w:val="21"/>
          <w:szCs w:val="21"/>
        </w:rPr>
        <w:br w:type="page"/>
      </w:r>
    </w:p>
    <w:p w14:paraId="4D9846AA">
      <w:pPr>
        <w:spacing w:line="360" w:lineRule="auto"/>
        <w:jc w:val="both"/>
        <w:rPr>
          <w:b/>
          <w:bCs/>
          <w:color w:val="000000"/>
          <w:sz w:val="24"/>
          <w:szCs w:val="24"/>
          <w:vertAlign w:val="baseline"/>
        </w:rPr>
      </w:pPr>
      <w:r>
        <w:rPr>
          <w:b/>
          <w:bCs/>
          <w:color w:val="000000"/>
          <w:sz w:val="24"/>
          <w:szCs w:val="24"/>
        </w:rPr>
        <w:t>Supplementary Figure S3</w:t>
      </w:r>
    </w:p>
    <w:p w14:paraId="65DBD719">
      <w:pPr>
        <w:spacing w:line="360" w:lineRule="auto"/>
        <w:jc w:val="both"/>
        <w:rPr>
          <w:rFonts w:hint="eastAsia" w:eastAsia="宋体"/>
          <w:b/>
          <w:bCs/>
          <w:color w:val="000000"/>
          <w:sz w:val="24"/>
          <w:szCs w:val="24"/>
          <w:lang w:eastAsia="zh-CN"/>
        </w:rPr>
      </w:pPr>
      <w:r>
        <w:rPr>
          <w:rFonts w:hint="eastAsia" w:eastAsia="宋体"/>
          <w:b/>
          <w:bCs/>
          <w:color w:val="000000"/>
          <w:sz w:val="24"/>
          <w:szCs w:val="24"/>
          <w:lang w:eastAsia="zh-CN"/>
        </w:rPr>
        <w:drawing>
          <wp:inline distT="0" distB="0" distL="114300" distR="114300">
            <wp:extent cx="5269865" cy="3669030"/>
            <wp:effectExtent l="0" t="0" r="13335" b="13970"/>
            <wp:docPr id="1" name="图片 1" descr="supp fi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 fig3"/>
                    <pic:cNvPicPr>
                      <a:picLocks noChangeAspect="1"/>
                    </pic:cNvPicPr>
                  </pic:nvPicPr>
                  <pic:blipFill>
                    <a:blip r:embed="rId6"/>
                    <a:stretch>
                      <a:fillRect/>
                    </a:stretch>
                  </pic:blipFill>
                  <pic:spPr>
                    <a:xfrm>
                      <a:off x="0" y="0"/>
                      <a:ext cx="5269865" cy="3669030"/>
                    </a:xfrm>
                    <a:prstGeom prst="rect">
                      <a:avLst/>
                    </a:prstGeom>
                  </pic:spPr>
                </pic:pic>
              </a:graphicData>
            </a:graphic>
          </wp:inline>
        </w:drawing>
      </w:r>
    </w:p>
    <w:p w14:paraId="3DD7D723">
      <w:pPr>
        <w:spacing w:line="360" w:lineRule="auto"/>
        <w:jc w:val="both"/>
        <w:rPr>
          <w:b/>
          <w:bCs/>
          <w:color w:val="000000"/>
          <w:sz w:val="24"/>
          <w:szCs w:val="24"/>
        </w:rPr>
      </w:pPr>
      <w:r>
        <w:rPr>
          <w:rFonts w:hint="eastAsia"/>
          <w:b/>
          <w:bCs/>
          <w:color w:val="000000"/>
          <w:sz w:val="21"/>
          <w:szCs w:val="21"/>
        </w:rPr>
        <w:t xml:space="preserve">Figure S3. </w:t>
      </w:r>
      <w:r>
        <w:rPr>
          <w:b/>
          <w:bCs/>
          <w:color w:val="000000"/>
          <w:sz w:val="21"/>
          <w:szCs w:val="21"/>
        </w:rPr>
        <w:t xml:space="preserve">Spatial co‑expression of uPA with HIF‑1α in macrophages and its association with poor prognosis in HCC. </w:t>
      </w:r>
      <w:r>
        <w:rPr>
          <w:color w:val="000000"/>
          <w:sz w:val="21"/>
          <w:szCs w:val="21"/>
        </w:rPr>
        <w:t>(A) Representative multiplex immunohistochemistry images of HCC tissues showing the co‑localization of CD68 (macrophage marker, red), uPA (green), and HIF‑1α (white). Bright yellow area indicates CD68+HIF‑1α+uPA+ TAMs, while red area indicates CD68+HIF‑1α+uPA- TAMs. (B) Kaplan-Meier curves comparing recurrence‑free survival (left) and overall survival (right) between patients with high and low infiltration of CD68+HIF‑1α+uPA+ TAMs in Tongji cohor</w:t>
      </w:r>
      <w:bookmarkStart w:id="2" w:name="_GoBack"/>
      <w:bookmarkEnd w:id="2"/>
      <w:r>
        <w:rPr>
          <w:color w:val="000000"/>
          <w:sz w:val="21"/>
          <w:szCs w:val="21"/>
        </w:rPr>
        <w:t>t I (n = 60). p-values were calculated by the log‑rank test.</w:t>
      </w:r>
      <w:r>
        <w:rPr>
          <w:b/>
          <w:bCs/>
          <w:color w:val="000000"/>
          <w:sz w:val="24"/>
          <w:szCs w:val="24"/>
        </w:rPr>
        <w:br w:type="page"/>
      </w:r>
    </w:p>
    <w:p w14:paraId="1C6539A0">
      <w:pPr>
        <w:spacing w:line="360" w:lineRule="auto"/>
        <w:jc w:val="both"/>
        <w:rPr>
          <w:rFonts w:eastAsia="宋体"/>
          <w:b/>
          <w:bCs/>
          <w:color w:val="000000"/>
          <w:sz w:val="24"/>
          <w:szCs w:val="24"/>
        </w:rPr>
      </w:pPr>
      <w:r>
        <w:rPr>
          <w:b/>
          <w:bCs/>
          <w:color w:val="000000"/>
          <w:sz w:val="24"/>
          <w:szCs w:val="24"/>
        </w:rPr>
        <w:t>Supplementary Figure S</w:t>
      </w:r>
      <w:r>
        <w:rPr>
          <w:rFonts w:hint="eastAsia" w:eastAsia="宋体"/>
          <w:b/>
          <w:bCs/>
          <w:color w:val="000000"/>
          <w:sz w:val="24"/>
          <w:szCs w:val="24"/>
        </w:rPr>
        <w:t>4</w:t>
      </w:r>
    </w:p>
    <w:p w14:paraId="726075C8">
      <w:pPr>
        <w:spacing w:line="360" w:lineRule="auto"/>
        <w:jc w:val="both"/>
      </w:pPr>
      <w:r>
        <w:rPr>
          <w:rFonts w:hint="eastAsia"/>
        </w:rPr>
        <w:drawing>
          <wp:inline distT="0" distB="0" distL="0" distR="0">
            <wp:extent cx="5274310" cy="2118995"/>
            <wp:effectExtent l="0" t="0" r="0" b="0"/>
            <wp:docPr id="1533958991" name="图片 3"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958991" name="图片 3" descr="图示&#10;&#10;AI 生成的内容可能不正确。"/>
                    <pic:cNvPicPr>
                      <a:picLocks noChangeAspect="1"/>
                    </pic:cNvPicPr>
                  </pic:nvPicPr>
                  <pic:blipFill>
                    <a:blip r:embed="rId7" cstate="print">
                      <a:extLst>
                        <a:ext uri="{28A0092B-C50C-407E-A947-70E740481C1C}">
                          <a14:useLocalDpi xmlns:a14="http://schemas.microsoft.com/office/drawing/2010/main" val="0"/>
                        </a:ext>
                      </a:extLst>
                    </a:blip>
                    <a:srcRect b="41732"/>
                    <a:stretch>
                      <a:fillRect/>
                    </a:stretch>
                  </pic:blipFill>
                  <pic:spPr>
                    <a:xfrm>
                      <a:off x="0" y="0"/>
                      <a:ext cx="5274310" cy="2118995"/>
                    </a:xfrm>
                    <a:prstGeom prst="rect">
                      <a:avLst/>
                    </a:prstGeom>
                  </pic:spPr>
                </pic:pic>
              </a:graphicData>
            </a:graphic>
          </wp:inline>
        </w:drawing>
      </w:r>
    </w:p>
    <w:p w14:paraId="79935E82">
      <w:pPr>
        <w:pStyle w:val="16"/>
        <w:spacing w:line="360" w:lineRule="auto"/>
        <w:jc w:val="both"/>
      </w:pPr>
      <w:r>
        <w:rPr>
          <w:rFonts w:ascii="Times New Roman" w:hAnsi="Times New Roman" w:eastAsia="DengXian" w:cs="Times New Roman"/>
          <w:b/>
          <w:bCs/>
          <w:kern w:val="2"/>
          <w:sz w:val="21"/>
          <w:szCs w:val="21"/>
        </w:rPr>
        <w:t>Figure S4. H‑TAM infiltration promotes EMT in HCC cells.</w:t>
      </w:r>
      <w:r>
        <w:rPr>
          <w:rFonts w:hint="eastAsia" w:ascii="Times New Roman" w:hAnsi="Times New Roman" w:eastAsia="DengXian" w:cs="Times New Roman"/>
          <w:kern w:val="2"/>
          <w:sz w:val="21"/>
          <w:szCs w:val="21"/>
        </w:rPr>
        <w:t xml:space="preserve"> </w:t>
      </w:r>
      <w:r>
        <w:rPr>
          <w:rFonts w:ascii="Times New Roman" w:hAnsi="Times New Roman" w:eastAsia="DengXian" w:cs="Times New Roman"/>
          <w:kern w:val="2"/>
          <w:sz w:val="21"/>
          <w:szCs w:val="21"/>
        </w:rPr>
        <w:t>(A) Hallmark pathway enrichment analysis comparing tumor cells from HCC tissues with high versus low H-TAM infiltration. The left panel shows enriched hallmark pathways, and the right panel shows the GSEA plot for the EMT</w:t>
      </w:r>
      <w:r>
        <w:rPr>
          <w:rFonts w:hint="eastAsia" w:ascii="Times New Roman" w:hAnsi="Times New Roman" w:eastAsia="DengXian" w:cs="Times New Roman"/>
          <w:kern w:val="2"/>
          <w:sz w:val="21"/>
          <w:szCs w:val="21"/>
        </w:rPr>
        <w:t xml:space="preserve"> </w:t>
      </w:r>
      <w:r>
        <w:rPr>
          <w:rFonts w:ascii="Times New Roman" w:hAnsi="Times New Roman" w:eastAsia="DengXian" w:cs="Times New Roman"/>
          <w:kern w:val="2"/>
          <w:sz w:val="21"/>
          <w:szCs w:val="21"/>
        </w:rPr>
        <w:t>pathway.</w:t>
      </w:r>
      <w:r>
        <w:br w:type="page"/>
      </w:r>
    </w:p>
    <w:p w14:paraId="259D8DCD">
      <w:pPr>
        <w:spacing w:line="360" w:lineRule="auto"/>
        <w:jc w:val="both"/>
      </w:pPr>
      <w:r>
        <w:rPr>
          <w:rFonts w:hint="eastAsia"/>
        </w:rPr>
        <w:drawing>
          <wp:anchor distT="0" distB="0" distL="114300" distR="114300" simplePos="0" relativeHeight="251660288" behindDoc="0" locked="0" layoutInCell="1" allowOverlap="1">
            <wp:simplePos x="0" y="0"/>
            <wp:positionH relativeFrom="column">
              <wp:posOffset>232410</wp:posOffset>
            </wp:positionH>
            <wp:positionV relativeFrom="paragraph">
              <wp:posOffset>369570</wp:posOffset>
            </wp:positionV>
            <wp:extent cx="4932045" cy="6382385"/>
            <wp:effectExtent l="0" t="0" r="0" b="6350"/>
            <wp:wrapTopAndBottom/>
            <wp:docPr id="12858585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858593" name="图片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31771" cy="6382327"/>
                    </a:xfrm>
                    <a:prstGeom prst="rect">
                      <a:avLst/>
                    </a:prstGeom>
                  </pic:spPr>
                </pic:pic>
              </a:graphicData>
            </a:graphic>
          </wp:anchor>
        </w:drawing>
      </w:r>
      <w:r>
        <w:rPr>
          <w:b/>
          <w:bCs/>
          <w:color w:val="000000"/>
          <w:sz w:val="24"/>
          <w:szCs w:val="24"/>
        </w:rPr>
        <w:t>Supplementary Figure S</w:t>
      </w:r>
      <w:r>
        <w:rPr>
          <w:rFonts w:hint="eastAsia" w:eastAsia="宋体"/>
          <w:b/>
          <w:bCs/>
          <w:color w:val="000000"/>
          <w:sz w:val="24"/>
          <w:szCs w:val="24"/>
        </w:rPr>
        <w:t>5</w:t>
      </w:r>
    </w:p>
    <w:p w14:paraId="2855AC98">
      <w:pPr>
        <w:pStyle w:val="16"/>
        <w:spacing w:line="360" w:lineRule="auto"/>
        <w:jc w:val="both"/>
        <w:rPr>
          <w:rFonts w:ascii="Times New Roman" w:hAnsi="Times New Roman" w:eastAsia="DengXian" w:cs="Times New Roman"/>
          <w:kern w:val="2"/>
          <w:sz w:val="21"/>
          <w:szCs w:val="21"/>
        </w:rPr>
      </w:pPr>
      <w:r>
        <w:rPr>
          <w:rFonts w:hint="eastAsia" w:ascii="Times New Roman" w:hAnsi="Times New Roman" w:eastAsia="DengXian" w:cs="Times New Roman"/>
          <w:b/>
          <w:bCs/>
          <w:kern w:val="2"/>
          <w:sz w:val="21"/>
          <w:szCs w:val="21"/>
        </w:rPr>
        <w:t>Figure S5. High PLAUR expression is associated with poor prognosis and distinct drug sensitivity profiles in HCC.</w:t>
      </w:r>
      <w:r>
        <w:rPr>
          <w:rFonts w:ascii="Times New Roman" w:hAnsi="Times New Roman" w:eastAsia="DengXian" w:cs="Times New Roman"/>
          <w:b/>
          <w:bCs/>
          <w:kern w:val="2"/>
          <w:sz w:val="21"/>
          <w:szCs w:val="21"/>
        </w:rPr>
        <w:t xml:space="preserve"> </w:t>
      </w:r>
      <w:r>
        <w:rPr>
          <w:rFonts w:ascii="Times New Roman" w:hAnsi="Times New Roman" w:eastAsia="DengXian" w:cs="Times New Roman"/>
          <w:kern w:val="2"/>
          <w:sz w:val="21"/>
          <w:szCs w:val="21"/>
        </w:rPr>
        <w:t xml:space="preserve">(A-B) Kaplan–Meier survival curves from independent HCC transcriptomic datasets, demonstrating significantly poorer relapse−free survival (A) and overall survival (B), (C-D) </w:t>
      </w:r>
      <w:r>
        <w:rPr>
          <w:rFonts w:hint="eastAsia" w:ascii="Times New Roman" w:hAnsi="Times New Roman" w:eastAsia="DengXian" w:cs="Times New Roman"/>
          <w:kern w:val="2"/>
          <w:sz w:val="21"/>
          <w:szCs w:val="21"/>
        </w:rPr>
        <w:t>Heatmaps depicting the correlation between PLAUR expression and sensitivity to various anti‑cancer drugs. Analyses were performed using the GDSC_v2 (C) and CTRP (D) databases.</w:t>
      </w:r>
    </w:p>
    <w:p w14:paraId="79CB02C1">
      <w:r>
        <w:br w:type="page"/>
      </w:r>
    </w:p>
    <w:p w14:paraId="7C35A783">
      <w:pPr>
        <w:spacing w:line="360" w:lineRule="auto"/>
        <w:jc w:val="both"/>
        <w:rPr>
          <w:rFonts w:eastAsiaTheme="minorEastAsia"/>
          <w:b/>
          <w:bCs/>
          <w:color w:val="000000"/>
          <w:sz w:val="24"/>
          <w:szCs w:val="24"/>
        </w:rPr>
      </w:pPr>
      <w:r>
        <w:rPr>
          <w:b/>
          <w:bCs/>
          <w:color w:val="000000"/>
          <w:sz w:val="24"/>
          <w:szCs w:val="24"/>
        </w:rPr>
        <w:t>Supplementary Table</w:t>
      </w:r>
      <w:r>
        <w:rPr>
          <w:rFonts w:hint="eastAsia" w:eastAsiaTheme="minorEastAsia"/>
          <w:b/>
          <w:bCs/>
          <w:color w:val="000000"/>
          <w:sz w:val="24"/>
          <w:szCs w:val="24"/>
        </w:rPr>
        <w:t xml:space="preserve"> 1</w:t>
      </w:r>
      <w:r>
        <w:rPr>
          <w:rFonts w:eastAsiaTheme="minorEastAsia"/>
          <w:b/>
          <w:bCs/>
          <w:color w:val="000000"/>
          <w:sz w:val="24"/>
          <w:szCs w:val="24"/>
        </w:rPr>
        <w:t>.</w:t>
      </w:r>
      <w:r>
        <w:rPr>
          <w:rFonts w:hint="eastAsia" w:eastAsiaTheme="minorEastAsia"/>
          <w:b/>
          <w:bCs/>
          <w:color w:val="000000"/>
          <w:sz w:val="24"/>
          <w:szCs w:val="24"/>
        </w:rPr>
        <w:t xml:space="preserve"> </w:t>
      </w:r>
      <w:r>
        <w:rPr>
          <w:rFonts w:eastAsiaTheme="minorEastAsia"/>
          <w:b/>
          <w:bCs/>
          <w:color w:val="000000"/>
          <w:sz w:val="24"/>
          <w:szCs w:val="24"/>
        </w:rPr>
        <w:t>The seven hypoxia-related gene sets.</w:t>
      </w:r>
    </w:p>
    <w:tbl>
      <w:tblPr>
        <w:tblStyle w:val="20"/>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58"/>
      </w:tblGrid>
      <w:tr w14:paraId="30FA1030">
        <w:tc>
          <w:tcPr>
            <w:tcW w:w="1838" w:type="dxa"/>
            <w:tcBorders>
              <w:top w:val="single" w:color="auto" w:sz="4" w:space="0"/>
              <w:bottom w:val="single" w:color="auto" w:sz="4" w:space="0"/>
            </w:tcBorders>
          </w:tcPr>
          <w:p w14:paraId="3168411B">
            <w:pPr>
              <w:jc w:val="both"/>
              <w:rPr>
                <w:b/>
                <w:bCs/>
              </w:rPr>
            </w:pPr>
            <w:r>
              <w:rPr>
                <w:b/>
                <w:bCs/>
              </w:rPr>
              <w:t>Gene sets</w:t>
            </w:r>
          </w:p>
        </w:tc>
        <w:tc>
          <w:tcPr>
            <w:tcW w:w="6458" w:type="dxa"/>
            <w:tcBorders>
              <w:top w:val="single" w:color="auto" w:sz="4" w:space="0"/>
              <w:bottom w:val="single" w:color="auto" w:sz="4" w:space="0"/>
            </w:tcBorders>
          </w:tcPr>
          <w:p w14:paraId="07966DAC">
            <w:pPr>
              <w:jc w:val="both"/>
              <w:rPr>
                <w:b/>
                <w:bCs/>
              </w:rPr>
            </w:pPr>
            <w:r>
              <w:rPr>
                <w:b/>
                <w:bCs/>
              </w:rPr>
              <w:t>Hallmark</w:t>
            </w:r>
          </w:p>
        </w:tc>
      </w:tr>
      <w:tr w14:paraId="589A32E7">
        <w:tc>
          <w:tcPr>
            <w:tcW w:w="1838" w:type="dxa"/>
            <w:tcBorders>
              <w:top w:val="single" w:color="auto" w:sz="4" w:space="0"/>
            </w:tcBorders>
          </w:tcPr>
          <w:p w14:paraId="044BDDD4">
            <w:pPr>
              <w:jc w:val="both"/>
            </w:pPr>
            <w:r>
              <w:t>HYPOXIA</w:t>
            </w:r>
          </w:p>
        </w:tc>
        <w:tc>
          <w:tcPr>
            <w:tcW w:w="6458" w:type="dxa"/>
            <w:tcBorders>
              <w:top w:val="single" w:color="auto" w:sz="4" w:space="0"/>
            </w:tcBorders>
          </w:tcPr>
          <w:p w14:paraId="6D89C011">
            <w:pPr>
              <w:jc w:val="both"/>
            </w:pPr>
            <w:r>
              <w:t>ACKR3, ADM, ADORA2B, AK4, AKAP12, ALDOA, ALDOB, ALDOC, AMPD3, ANGPTL4, ANKZF1, ANXA2, ATF3, ATP7A, B3GALT6, B4GALNT2, BCAN, BCL2, BGN, BHLHE40, BNIP3L, BRS3, BTG1, CA12, CASP6, CAV1, CAVIN1, CAVIN3, CCN1, CCN2, CCN5, CCNG2, CDKN1A, CDKN1B, CDKN1C, CHST2, CHST3, CITED2, COL5A1, CP, CSRP2, CXCR4, DCN, DDIT3, DDIT4, DPYSL4, DTNA, DUSP1, EDN2, EFNA1, EFNA3, EGFR, ENO1, ENO2, ENO3, ERO1A, ERRFI1, ETS1, EXT1, F3, FAM162A, FBP1, FOS, FOSL2, FOXO3, GAA, GALK1, GAPDH, GAPDHS, GBE1, GCK, GCNT2, GLRX, GPC1, GPC3, GPC4, GPI, GRHPR, GYS1, HAS1, HDLBP, HEXA, HK1, HK2, HMOX1, HOXB9, HS3ST1, HSPA5, IDS, IER3, IGFBP1, IGFBP3, IL6, ILVBL, INHA, IRS2, ISG20, JMJD6, JUN, KDELR3, KDM3A, KIF5A, KLF6, KLF7, KLHL24, LALBA, LARGE1, LDHA, LDHC, LOX, LXN, MAFF, MAP3K1, MIF, MT1E, MT2A, MXI1, MYH9, NAGK, NCAN, NDRG1, NDST1, NDST2, NEDD4L, NFIL3, NOCT, NR3C1, P4HA1, P4HA2, PAM, PCK1, PDGFB, PDK1, PDK3, PFKFB3, PFKL, PFKP, PGAM2, PGF, PGK1, PGM1, PGM2, PHKG1, PIM1, PKLR, PKP1, PLAC8, PLAUR, PLIN2, PNRC1, PPARGC1A, PPFIA4, PPP1R15A, PPP1R3C, PRDX5, PRKCA, PYGM, RBPJ, RORA, RRAGD, S100A4, SAP30, SCARB1, SDC2, SDC3, SDC4, SELENBP1, SERPINE1, SIAH2, SLC25A1, SLC2A1, SLC2A3, SLC2A5, SLC37A4, SLC6A6, SRPX, STBD1, STC1, STC2, SULT2B1, TES, TGFB3, TGFBI, TGM2, TIPARP, TKTL1, TMEM45A, TNFAIP3, TPBG, TPD52, TPI1, TPST2, UGP2, VEGFA, VHL, VLDLR, WSB1, XPNPEP1, ZFP36, ZNF292</w:t>
            </w:r>
          </w:p>
        </w:tc>
      </w:tr>
      <w:tr w14:paraId="29BB6672">
        <w:tc>
          <w:tcPr>
            <w:tcW w:w="1838" w:type="dxa"/>
          </w:tcPr>
          <w:p w14:paraId="2E9FA2F5">
            <w:pPr>
              <w:jc w:val="both"/>
            </w:pPr>
            <w:r>
              <w:t>ELVIDGE</w:t>
            </w:r>
            <w:r>
              <w:rPr>
                <w:rFonts w:hint="eastAsia"/>
              </w:rPr>
              <w:t xml:space="preserve"> </w:t>
            </w:r>
            <w:r>
              <w:t>HYPOXIA</w:t>
            </w:r>
            <w:r>
              <w:rPr>
                <w:rFonts w:hint="eastAsia"/>
              </w:rPr>
              <w:t xml:space="preserve"> </w:t>
            </w:r>
            <w:r>
              <w:t>UP</w:t>
            </w:r>
          </w:p>
        </w:tc>
        <w:tc>
          <w:tcPr>
            <w:tcW w:w="6458" w:type="dxa"/>
          </w:tcPr>
          <w:p w14:paraId="3D3B5F14">
            <w:pPr>
              <w:jc w:val="both"/>
            </w:pPr>
            <w:r>
              <w:t>ADGRE2, ADM, ADORA2B, AHNAK2, AK4, AKAP12, ALDOC, ANG, ANGPTL4, ANKZF1, RTN, ASPH, ATF3, ATG14, ATXN1, B3GNT4, BBX, BCOR, BHLHE40, BNIP3, BNIP3L, CA9, CADM1, CAV1, CAVIN1, CCN1, CCN5, CCNG2, CD59, CEMIP, CITED2, CSGALNACT1, CSRP2, CXCR4, CYB5A, CYP1B1, DAAM1, DDIT4, DDR1, DPYSL2, DPYSL4, DSC2, DST, DTNA, DUSP1, ECE1, EFNA3, EGFR, EGLN1, EGLN3, EGR1, ELF3, ENO2, ERO1A, FAM13A, FAM162A, FAM216A, FLNB, FOS, FYN, GADD45B, GBE1, GDF15, GJA1, GLRX, GPR87, GPRC5A, GYS1, HCFCR1, HEY1, HILPDA, HK2, HLADRB1, IGFBP3, IGFBP5, ILVBL, INHA, INSIG2, ISG20, ITPR1, JUN, KDM3A, KDM4B, KLF6, KLF7, KLHL24, KRT15, KRT7, LIMCH1, LOX, LOXL1, LOXL2, MAFF, MET, MTND5, MXI1, NAP1L1, NDRG1, NFIL3, NOL3, NR3C1, NREP, OBSL1, OLFML2A, OPN3, ORAI3, P4HA1, P4HA2, PAM, PDGFB, PDGFRL, PDK1, PFKFB3, PFKP, PGAP1, PGK1, PGM1, PIM1, PLAC8, PLAUR, PLIN2, PPFIA4, PRKCA, PXDN, QSOX1, RASA4, RBCK1, RBPJ, RLF, RNASE4, RRAGD, S100A2, S100A4, S100A6, SAMD4A, SAT1, SCARB1, SCNN1B, SERPINE1, SFXN3, SH3GL3, SLC2A1, SLCO4A1, SORL1, SOX9, SPAG4, SPOCK1, SPRY1, SRD5A3, SRPX, STBD1, STC1, STC2, TBC1D3F, TGFBI, TIPARP, TMEFF1, TMEM265, TMEM45A, TNFAIP8, TXNIP, UPK1A, VEGFA, VEGFC, VLDLR, WSB1, YEATS2, YPEL1, ZMYND8, ZNF292, ZNF395, ZNF654</w:t>
            </w:r>
          </w:p>
        </w:tc>
      </w:tr>
      <w:tr w14:paraId="7C2F5C1B">
        <w:tc>
          <w:tcPr>
            <w:tcW w:w="1838" w:type="dxa"/>
          </w:tcPr>
          <w:p w14:paraId="1555F7A3">
            <w:pPr>
              <w:jc w:val="both"/>
            </w:pPr>
            <w:r>
              <w:t>FARDIN</w:t>
            </w:r>
            <w:r>
              <w:rPr>
                <w:rFonts w:hint="eastAsia"/>
              </w:rPr>
              <w:t xml:space="preserve"> </w:t>
            </w:r>
            <w:r>
              <w:t>HYPOXIA</w:t>
            </w:r>
            <w:r>
              <w:rPr>
                <w:rFonts w:hint="eastAsia"/>
              </w:rPr>
              <w:t xml:space="preserve"> </w:t>
            </w:r>
            <w:r>
              <w:t>11</w:t>
            </w:r>
          </w:p>
        </w:tc>
        <w:tc>
          <w:tcPr>
            <w:tcW w:w="6458" w:type="dxa"/>
          </w:tcPr>
          <w:p w14:paraId="1E09E1FD">
            <w:pPr>
              <w:jc w:val="both"/>
            </w:pPr>
            <w:r>
              <w:t>AK4, ALDOC, ANGPTL4, ANKRD37, BHLHE40, BNIP3, BNIP3L, BTG1, DDIT4, EGLN1, EGLN3, FAM162A, FUT11, IGF1R, IGFBP3, KDM3A, MAPT, MTFP1, MXI1, NDRG1, P4HA2, PDK1, PFKFB4, PGK1, PGM1, PLOD1, SLC2A3, TNIP1, TPI1, TXNIP, VEGFA, ZNF395</w:t>
            </w:r>
          </w:p>
        </w:tc>
      </w:tr>
      <w:tr w14:paraId="312E6C12">
        <w:tc>
          <w:tcPr>
            <w:tcW w:w="1838" w:type="dxa"/>
          </w:tcPr>
          <w:p w14:paraId="3FED76AA">
            <w:pPr>
              <w:jc w:val="both"/>
            </w:pPr>
            <w:r>
              <w:t>HARRIS</w:t>
            </w:r>
            <w:r>
              <w:rPr>
                <w:rFonts w:hint="eastAsia"/>
              </w:rPr>
              <w:t xml:space="preserve"> </w:t>
            </w:r>
            <w:r>
              <w:t>HYPOXIA</w:t>
            </w:r>
          </w:p>
        </w:tc>
        <w:tc>
          <w:tcPr>
            <w:tcW w:w="6458" w:type="dxa"/>
          </w:tcPr>
          <w:p w14:paraId="13EE1F2B">
            <w:pPr>
              <w:jc w:val="both"/>
            </w:pPr>
            <w:r>
              <w:t>ADM, AK3, ALDOA, ANGPT2, APEX1, BHLHE40, BIK, BNIP3, BNIP3L, CA12, CA9, CCL2, CCNG2, CD99, CDKN1A, CDKN1B, COL5A1, CP, CXCL8, DDIT3, EDN1, EDN2, ENO1, ENPEP, EPAS1, EPO, F3, FGF3, FLT1, FOS, FTL, GAPDH, HDAC9, HGF, HIF1A, HK1, HK2, HMOX1, IGF2, IGFBP1, IGFBP2, IGFBP3, IL6, JUN, L1CAM, LDHA, LRP8, MIF, MMP13, NFKB1, P4HA1, PDGFB, PFKL, PFKP, PGF, PGK1, PKM, PLAUR, PRPS1, PTGS2, RP1, SAT1, SLC2A1, SLC2A3, SPP1, STC1, TAGLN, TEK, TF, TFF3, TFRC, TGFA, TGFB1, TGFB3, TGM2, TH, TXN, VEGFA, VIM, XRCC5, XRCC6</w:t>
            </w:r>
          </w:p>
        </w:tc>
      </w:tr>
      <w:tr w14:paraId="34D066D6">
        <w:tc>
          <w:tcPr>
            <w:tcW w:w="1838" w:type="dxa"/>
          </w:tcPr>
          <w:p w14:paraId="5CF4B1E6">
            <w:pPr>
              <w:jc w:val="both"/>
            </w:pPr>
            <w:r>
              <w:t>KIM</w:t>
            </w:r>
            <w:r>
              <w:rPr>
                <w:rFonts w:hint="eastAsia"/>
              </w:rPr>
              <w:t xml:space="preserve"> </w:t>
            </w:r>
            <w:r>
              <w:t>HYPOXIA</w:t>
            </w:r>
          </w:p>
        </w:tc>
        <w:tc>
          <w:tcPr>
            <w:tcW w:w="6458" w:type="dxa"/>
          </w:tcPr>
          <w:p w14:paraId="3259A9B6">
            <w:pPr>
              <w:jc w:val="both"/>
            </w:pPr>
            <w:r>
              <w:t>ALDOA, ALDOC, AMPD3, ANGPTL4, BACH1, BNIP3L, ENO2, F3, GYS1, IGFBP3, JUN, LDHA, NKX3-2, PDLIM4, PFKP, PLIN2, SLC2A1, TPI1, VEGFA</w:t>
            </w:r>
          </w:p>
        </w:tc>
      </w:tr>
      <w:tr w14:paraId="4C9D3B61">
        <w:tc>
          <w:tcPr>
            <w:tcW w:w="1838" w:type="dxa"/>
          </w:tcPr>
          <w:p w14:paraId="3A05F0AA">
            <w:pPr>
              <w:jc w:val="both"/>
              <w:rPr>
                <w:rFonts w:eastAsia="DengXian"/>
                <w:color w:val="000000"/>
              </w:rPr>
            </w:pPr>
            <w:r>
              <w:rPr>
                <w:rFonts w:eastAsia="DengXian"/>
                <w:color w:val="000000"/>
              </w:rPr>
              <w:t>LEONARD</w:t>
            </w:r>
            <w:r>
              <w:rPr>
                <w:rFonts w:hint="eastAsia" w:eastAsia="DengXian"/>
                <w:color w:val="000000"/>
              </w:rPr>
              <w:t xml:space="preserve"> </w:t>
            </w:r>
            <w:r>
              <w:rPr>
                <w:rFonts w:eastAsia="DengXian"/>
                <w:color w:val="000000"/>
              </w:rPr>
              <w:t>HYPOXIA</w:t>
            </w:r>
          </w:p>
          <w:p w14:paraId="10EE8A32">
            <w:pPr>
              <w:jc w:val="both"/>
            </w:pPr>
          </w:p>
        </w:tc>
        <w:tc>
          <w:tcPr>
            <w:tcW w:w="6458" w:type="dxa"/>
          </w:tcPr>
          <w:p w14:paraId="2A384AE0">
            <w:pPr>
              <w:jc w:val="both"/>
            </w:pPr>
            <w:r>
              <w:t>ADORA2B, AK4, ALDOA, BHLHE40, BNIP3, CCNG2, CDKN1B, CDKN1C, DDIT3, DDIT4, DEPP1, DUSP1, EFNA1, F3, FOSL2, HNRNPA1, HOXA4, HOXA5, JMJD6, JUNB, KDM3A, MUC1, NFIL3, P4HA1, P4HA2, PDGFB, PFKFB4, PFKP, PGK1, PHC2, PLIN2, PPP1R3C, RASGRP1, SAP30, SERPINE1, SIK1, SLC16A3, SLC2A1, SLC2A3, SLC7A5, STC2, TGFA, VEGFA</w:t>
            </w:r>
          </w:p>
        </w:tc>
      </w:tr>
      <w:tr w14:paraId="60F5256A">
        <w:tc>
          <w:tcPr>
            <w:tcW w:w="1838" w:type="dxa"/>
          </w:tcPr>
          <w:p w14:paraId="46FBE76F">
            <w:pPr>
              <w:jc w:val="both"/>
            </w:pPr>
            <w:r>
              <w:t>MENSE</w:t>
            </w:r>
            <w:r>
              <w:rPr>
                <w:rFonts w:hint="eastAsia"/>
              </w:rPr>
              <w:t xml:space="preserve"> </w:t>
            </w:r>
            <w:r>
              <w:t>HYPOXIA</w:t>
            </w:r>
            <w:r>
              <w:rPr>
                <w:rFonts w:hint="eastAsia"/>
              </w:rPr>
              <w:t xml:space="preserve"> </w:t>
            </w:r>
            <w:r>
              <w:t>UP</w:t>
            </w:r>
          </w:p>
        </w:tc>
        <w:tc>
          <w:tcPr>
            <w:tcW w:w="6458" w:type="dxa"/>
          </w:tcPr>
          <w:p w14:paraId="48EA5614">
            <w:pPr>
              <w:jc w:val="both"/>
            </w:pPr>
            <w:r>
              <w:t>ABCB6, ADM, ALDOC, ANG, ANGPTL4, ANKRD37, ASPH, ATF3, BHLHE40, BHLHE41, BNIP3, BNIP3L, C4orf3, CDK19, CEBPB, CEBPD, CLK3, CLPB, CTTN, DIDO1, DPCD, EEF1AKMT3, EGLN1, ELL2, ENO2, ERICH1, ERO1A, FAM110C, FAM13A, FAM162A, FOXD1, FUT11, GADD45A, GBE1, GNA13, GOSR2, GPI, GPRIN3, HCFC1R1, HILPDA, HK2, INSIG1, INSIG2, JMJD6, KDM3A, KDM4B, KDM4C, KIAA2013, KLF4, KLF7, KLHL24, LARP6, LCORL, LOX, MAFF, MED6, MIR210, MXI1, NADSYN1, NAMPT, NDRG1, NFIL3, NOL3, OSMR, P4HA1, P4HA2, PDK1, PEX13, PFKFB3, PFKFB4, PGK1, PLIN2, PLOD2, PPFIA4, PPP1R15A, PPP1R3C, PRPSAP1, RBPJ, RIOK3, RNASE4, RORA, SCD, SERGEF, SLC2A3, SOD2, SPAG4, STARD4, STC2, STK4, TC2N, THAP8, TIPARP, TMEM65, TSLP, VEGFA, WDR54, ZBTB25</w:t>
            </w:r>
          </w:p>
        </w:tc>
      </w:tr>
    </w:tbl>
    <w:p w14:paraId="7300A130">
      <w:pPr>
        <w:rPr>
          <w:b/>
          <w:bCs/>
          <w:color w:val="000000"/>
          <w:sz w:val="24"/>
          <w:szCs w:val="24"/>
        </w:rPr>
      </w:pPr>
      <w:r>
        <w:rPr>
          <w:b/>
          <w:bCs/>
          <w:color w:val="000000"/>
          <w:sz w:val="24"/>
          <w:szCs w:val="24"/>
        </w:rPr>
        <w:br w:type="page"/>
      </w:r>
    </w:p>
    <w:p w14:paraId="7A349DDA">
      <w:pPr>
        <w:spacing w:line="360" w:lineRule="auto"/>
        <w:jc w:val="both"/>
        <w:rPr>
          <w:b/>
          <w:bCs/>
          <w:color w:val="000000"/>
          <w:sz w:val="24"/>
          <w:szCs w:val="24"/>
        </w:rPr>
      </w:pPr>
      <w:r>
        <w:rPr>
          <w:b/>
          <w:bCs/>
          <w:color w:val="000000"/>
          <w:sz w:val="24"/>
          <w:szCs w:val="24"/>
        </w:rPr>
        <w:t xml:space="preserve">Supplementary Table 2. </w:t>
      </w:r>
      <w:r>
        <w:rPr>
          <w:rFonts w:hint="eastAsia"/>
          <w:b/>
          <w:bCs/>
          <w:color w:val="000000"/>
          <w:sz w:val="24"/>
          <w:szCs w:val="24"/>
        </w:rPr>
        <w:t xml:space="preserve">Correlation between </w:t>
      </w:r>
      <w:r>
        <w:rPr>
          <w:b/>
          <w:bCs/>
          <w:color w:val="000000"/>
          <w:sz w:val="24"/>
          <w:szCs w:val="24"/>
        </w:rPr>
        <w:t>uPAR</w:t>
      </w:r>
      <w:r>
        <w:rPr>
          <w:rFonts w:hint="eastAsia"/>
          <w:b/>
          <w:bCs/>
          <w:color w:val="000000"/>
          <w:sz w:val="24"/>
          <w:szCs w:val="24"/>
        </w:rPr>
        <w:t xml:space="preserve"> expression and clinicopathological characteristics of HCC patients</w:t>
      </w:r>
      <w:r>
        <w:rPr>
          <w:b/>
          <w:bCs/>
          <w:color w:val="000000"/>
          <w:sz w:val="24"/>
          <w:szCs w:val="24"/>
        </w:rPr>
        <w:t>.</w:t>
      </w:r>
    </w:p>
    <w:tbl>
      <w:tblPr>
        <w:tblStyle w:val="19"/>
        <w:tblW w:w="6704" w:type="dxa"/>
        <w:jc w:val="center"/>
        <w:tblLayout w:type="fixed"/>
        <w:tblCellMar>
          <w:top w:w="0" w:type="dxa"/>
          <w:left w:w="108" w:type="dxa"/>
          <w:bottom w:w="0" w:type="dxa"/>
          <w:right w:w="108" w:type="dxa"/>
        </w:tblCellMar>
      </w:tblPr>
      <w:tblGrid>
        <w:gridCol w:w="1843"/>
        <w:gridCol w:w="1134"/>
        <w:gridCol w:w="1418"/>
        <w:gridCol w:w="1275"/>
        <w:gridCol w:w="798"/>
        <w:gridCol w:w="236"/>
      </w:tblGrid>
      <w:tr w14:paraId="70F04DF0">
        <w:trPr>
          <w:trHeight w:val="290" w:hRule="atLeast"/>
          <w:jc w:val="center"/>
        </w:trPr>
        <w:tc>
          <w:tcPr>
            <w:tcW w:w="1843" w:type="dxa"/>
            <w:tcBorders>
              <w:top w:val="single" w:color="auto" w:sz="8" w:space="0"/>
              <w:bottom w:val="nil"/>
              <w:right w:val="nil"/>
            </w:tcBorders>
            <w:noWrap/>
            <w:vAlign w:val="center"/>
          </w:tcPr>
          <w:p w14:paraId="4F98B84B">
            <w:pPr>
              <w:rPr>
                <w:rFonts w:eastAsia="宋体"/>
                <w:sz w:val="18"/>
                <w:szCs w:val="18"/>
              </w:rPr>
            </w:pPr>
            <w:r>
              <w:rPr>
                <w:rFonts w:eastAsia="宋体"/>
                <w:sz w:val="18"/>
                <w:szCs w:val="18"/>
              </w:rPr>
              <w:t>　</w:t>
            </w:r>
          </w:p>
        </w:tc>
        <w:tc>
          <w:tcPr>
            <w:tcW w:w="1134" w:type="dxa"/>
            <w:tcBorders>
              <w:top w:val="single" w:color="auto" w:sz="8" w:space="0"/>
              <w:left w:val="nil"/>
              <w:bottom w:val="nil"/>
              <w:right w:val="nil"/>
            </w:tcBorders>
            <w:noWrap/>
            <w:vAlign w:val="center"/>
          </w:tcPr>
          <w:p w14:paraId="30E2F814">
            <w:pPr>
              <w:rPr>
                <w:rFonts w:eastAsia="宋体"/>
                <w:sz w:val="18"/>
                <w:szCs w:val="18"/>
              </w:rPr>
            </w:pPr>
            <w:r>
              <w:rPr>
                <w:rFonts w:eastAsia="宋体"/>
                <w:sz w:val="18"/>
                <w:szCs w:val="18"/>
              </w:rPr>
              <w:t>　</w:t>
            </w:r>
          </w:p>
        </w:tc>
        <w:tc>
          <w:tcPr>
            <w:tcW w:w="2693" w:type="dxa"/>
            <w:gridSpan w:val="2"/>
            <w:tcBorders>
              <w:top w:val="single" w:color="auto" w:sz="8" w:space="0"/>
              <w:left w:val="nil"/>
              <w:bottom w:val="nil"/>
              <w:right w:val="nil"/>
            </w:tcBorders>
            <w:noWrap/>
            <w:vAlign w:val="center"/>
          </w:tcPr>
          <w:p w14:paraId="0E53E126">
            <w:pPr>
              <w:jc w:val="center"/>
              <w:rPr>
                <w:rFonts w:eastAsia="宋体"/>
                <w:sz w:val="18"/>
                <w:szCs w:val="18"/>
              </w:rPr>
            </w:pPr>
            <w:r>
              <w:rPr>
                <w:rFonts w:eastAsia="宋体"/>
                <w:sz w:val="18"/>
                <w:szCs w:val="18"/>
              </w:rPr>
              <w:t>Cohort II</w:t>
            </w:r>
          </w:p>
        </w:tc>
        <w:tc>
          <w:tcPr>
            <w:tcW w:w="798" w:type="dxa"/>
            <w:tcBorders>
              <w:top w:val="single" w:color="auto" w:sz="8" w:space="0"/>
              <w:left w:val="nil"/>
              <w:bottom w:val="nil"/>
              <w:right w:val="nil"/>
            </w:tcBorders>
            <w:noWrap/>
            <w:vAlign w:val="center"/>
          </w:tcPr>
          <w:p w14:paraId="42F12607">
            <w:pPr>
              <w:rPr>
                <w:rFonts w:eastAsia="宋体"/>
                <w:sz w:val="18"/>
                <w:szCs w:val="18"/>
              </w:rPr>
            </w:pPr>
            <w:r>
              <w:rPr>
                <w:rFonts w:eastAsia="宋体"/>
                <w:sz w:val="18"/>
                <w:szCs w:val="18"/>
              </w:rPr>
              <w:t>　</w:t>
            </w:r>
          </w:p>
        </w:tc>
        <w:tc>
          <w:tcPr>
            <w:tcW w:w="236" w:type="dxa"/>
            <w:tcBorders>
              <w:top w:val="single" w:color="auto" w:sz="8" w:space="0"/>
              <w:left w:val="nil"/>
              <w:bottom w:val="nil"/>
              <w:right w:val="nil"/>
            </w:tcBorders>
            <w:noWrap/>
            <w:vAlign w:val="center"/>
          </w:tcPr>
          <w:p w14:paraId="384CAF5D">
            <w:pPr>
              <w:rPr>
                <w:rFonts w:eastAsia="宋体"/>
                <w:sz w:val="18"/>
                <w:szCs w:val="18"/>
              </w:rPr>
            </w:pPr>
            <w:r>
              <w:rPr>
                <w:rFonts w:eastAsia="宋体"/>
                <w:sz w:val="18"/>
                <w:szCs w:val="18"/>
              </w:rPr>
              <w:t>　</w:t>
            </w:r>
          </w:p>
        </w:tc>
      </w:tr>
      <w:tr w14:paraId="165BFB78">
        <w:trPr>
          <w:trHeight w:val="290" w:hRule="atLeast"/>
          <w:jc w:val="center"/>
        </w:trPr>
        <w:tc>
          <w:tcPr>
            <w:tcW w:w="2977" w:type="dxa"/>
            <w:gridSpan w:val="2"/>
            <w:vMerge w:val="restart"/>
            <w:tcBorders>
              <w:top w:val="nil"/>
              <w:bottom w:val="single" w:color="000000" w:sz="8" w:space="0"/>
              <w:right w:val="nil"/>
            </w:tcBorders>
            <w:noWrap/>
            <w:vAlign w:val="bottom"/>
          </w:tcPr>
          <w:p w14:paraId="4DEAD125">
            <w:pPr>
              <w:jc w:val="center"/>
              <w:rPr>
                <w:rFonts w:eastAsia="宋体"/>
                <w:sz w:val="18"/>
                <w:szCs w:val="18"/>
              </w:rPr>
            </w:pPr>
            <w:r>
              <w:rPr>
                <w:rFonts w:eastAsia="宋体"/>
                <w:sz w:val="18"/>
                <w:szCs w:val="18"/>
              </w:rPr>
              <w:t>Clinicopathological variables</w:t>
            </w:r>
          </w:p>
        </w:tc>
        <w:tc>
          <w:tcPr>
            <w:tcW w:w="2693" w:type="dxa"/>
            <w:gridSpan w:val="2"/>
            <w:tcBorders>
              <w:top w:val="single" w:color="auto" w:sz="8" w:space="0"/>
              <w:left w:val="nil"/>
              <w:bottom w:val="single" w:color="auto" w:sz="8" w:space="0"/>
              <w:right w:val="nil"/>
            </w:tcBorders>
            <w:noWrap/>
            <w:vAlign w:val="bottom"/>
          </w:tcPr>
          <w:p w14:paraId="446653EE">
            <w:pPr>
              <w:jc w:val="center"/>
              <w:rPr>
                <w:rFonts w:eastAsia="宋体"/>
                <w:sz w:val="18"/>
                <w:szCs w:val="18"/>
              </w:rPr>
            </w:pPr>
            <w:r>
              <w:rPr>
                <w:rFonts w:eastAsia="宋体"/>
                <w:sz w:val="18"/>
                <w:szCs w:val="18"/>
              </w:rPr>
              <w:t>Tumor uPAR expression</w:t>
            </w:r>
          </w:p>
        </w:tc>
        <w:tc>
          <w:tcPr>
            <w:tcW w:w="798" w:type="dxa"/>
            <w:vMerge w:val="restart"/>
            <w:tcBorders>
              <w:top w:val="single" w:color="auto" w:sz="8" w:space="0"/>
              <w:left w:val="nil"/>
              <w:bottom w:val="single" w:color="000000" w:sz="8" w:space="0"/>
              <w:right w:val="nil"/>
            </w:tcBorders>
            <w:noWrap/>
            <w:vAlign w:val="bottom"/>
          </w:tcPr>
          <w:p w14:paraId="24AEA2FC">
            <w:pPr>
              <w:jc w:val="center"/>
              <w:rPr>
                <w:rFonts w:eastAsia="宋体"/>
                <w:i/>
                <w:iCs/>
                <w:sz w:val="18"/>
                <w:szCs w:val="18"/>
              </w:rPr>
            </w:pPr>
            <w:r>
              <w:rPr>
                <w:rFonts w:eastAsia="宋体"/>
                <w:i/>
                <w:iCs/>
                <w:sz w:val="18"/>
                <w:szCs w:val="18"/>
              </w:rPr>
              <w:t xml:space="preserve">P </w:t>
            </w:r>
            <w:r>
              <w:rPr>
                <w:rFonts w:eastAsia="宋体"/>
                <w:sz w:val="18"/>
                <w:szCs w:val="18"/>
              </w:rPr>
              <w:t>Value</w:t>
            </w:r>
          </w:p>
        </w:tc>
        <w:tc>
          <w:tcPr>
            <w:tcW w:w="236" w:type="dxa"/>
            <w:tcBorders>
              <w:top w:val="nil"/>
              <w:left w:val="nil"/>
              <w:bottom w:val="nil"/>
              <w:right w:val="nil"/>
            </w:tcBorders>
            <w:noWrap/>
            <w:vAlign w:val="bottom"/>
          </w:tcPr>
          <w:p w14:paraId="5AAF6900">
            <w:pPr>
              <w:jc w:val="center"/>
              <w:rPr>
                <w:rFonts w:eastAsia="宋体"/>
                <w:i/>
                <w:iCs/>
                <w:sz w:val="18"/>
                <w:szCs w:val="18"/>
              </w:rPr>
            </w:pPr>
          </w:p>
        </w:tc>
      </w:tr>
      <w:tr w14:paraId="30EAD44B">
        <w:trPr>
          <w:trHeight w:val="290" w:hRule="atLeast"/>
          <w:jc w:val="center"/>
        </w:trPr>
        <w:tc>
          <w:tcPr>
            <w:tcW w:w="2977" w:type="dxa"/>
            <w:gridSpan w:val="2"/>
            <w:vMerge w:val="continue"/>
            <w:tcBorders>
              <w:top w:val="nil"/>
              <w:bottom w:val="single" w:color="000000" w:sz="8" w:space="0"/>
              <w:right w:val="nil"/>
            </w:tcBorders>
            <w:vAlign w:val="center"/>
          </w:tcPr>
          <w:p w14:paraId="61CAF598">
            <w:pPr>
              <w:rPr>
                <w:rFonts w:eastAsia="宋体"/>
                <w:sz w:val="18"/>
                <w:szCs w:val="18"/>
              </w:rPr>
            </w:pPr>
          </w:p>
        </w:tc>
        <w:tc>
          <w:tcPr>
            <w:tcW w:w="1418" w:type="dxa"/>
            <w:tcBorders>
              <w:top w:val="nil"/>
              <w:left w:val="nil"/>
              <w:bottom w:val="single" w:color="auto" w:sz="8" w:space="0"/>
              <w:right w:val="nil"/>
            </w:tcBorders>
            <w:noWrap/>
            <w:vAlign w:val="bottom"/>
          </w:tcPr>
          <w:p w14:paraId="423CC19A">
            <w:pPr>
              <w:jc w:val="center"/>
              <w:rPr>
                <w:rFonts w:eastAsia="宋体"/>
                <w:sz w:val="18"/>
                <w:szCs w:val="18"/>
              </w:rPr>
            </w:pPr>
            <w:r>
              <w:rPr>
                <w:rFonts w:eastAsia="宋体"/>
                <w:sz w:val="18"/>
                <w:szCs w:val="18"/>
              </w:rPr>
              <w:t>Negative (n=1</w:t>
            </w:r>
            <w:r>
              <w:rPr>
                <w:rFonts w:hint="eastAsia" w:eastAsia="宋体"/>
                <w:sz w:val="18"/>
                <w:szCs w:val="18"/>
              </w:rPr>
              <w:t>51</w:t>
            </w:r>
            <w:r>
              <w:rPr>
                <w:rFonts w:eastAsia="宋体"/>
                <w:sz w:val="18"/>
                <w:szCs w:val="18"/>
              </w:rPr>
              <w:t>)</w:t>
            </w:r>
          </w:p>
        </w:tc>
        <w:tc>
          <w:tcPr>
            <w:tcW w:w="1275" w:type="dxa"/>
            <w:tcBorders>
              <w:top w:val="nil"/>
              <w:left w:val="nil"/>
              <w:bottom w:val="single" w:color="auto" w:sz="8" w:space="0"/>
              <w:right w:val="nil"/>
            </w:tcBorders>
            <w:noWrap/>
            <w:vAlign w:val="bottom"/>
          </w:tcPr>
          <w:p w14:paraId="2FDC14AD">
            <w:pPr>
              <w:jc w:val="center"/>
              <w:rPr>
                <w:rFonts w:eastAsia="宋体"/>
                <w:sz w:val="18"/>
                <w:szCs w:val="18"/>
              </w:rPr>
            </w:pPr>
            <w:r>
              <w:rPr>
                <w:rFonts w:eastAsia="宋体"/>
                <w:sz w:val="18"/>
                <w:szCs w:val="18"/>
              </w:rPr>
              <w:t>Positive (n=1</w:t>
            </w:r>
            <w:r>
              <w:rPr>
                <w:rFonts w:hint="eastAsia" w:eastAsia="宋体"/>
                <w:sz w:val="18"/>
                <w:szCs w:val="18"/>
              </w:rPr>
              <w:t>09</w:t>
            </w:r>
            <w:r>
              <w:rPr>
                <w:rFonts w:eastAsia="宋体"/>
                <w:sz w:val="18"/>
                <w:szCs w:val="18"/>
              </w:rPr>
              <w:t>)</w:t>
            </w:r>
          </w:p>
        </w:tc>
        <w:tc>
          <w:tcPr>
            <w:tcW w:w="798" w:type="dxa"/>
            <w:vMerge w:val="continue"/>
            <w:tcBorders>
              <w:top w:val="single" w:color="auto" w:sz="8" w:space="0"/>
              <w:left w:val="nil"/>
              <w:bottom w:val="single" w:color="000000" w:sz="8" w:space="0"/>
              <w:right w:val="nil"/>
            </w:tcBorders>
            <w:vAlign w:val="center"/>
          </w:tcPr>
          <w:p w14:paraId="2912019F">
            <w:pPr>
              <w:rPr>
                <w:rFonts w:eastAsia="宋体"/>
                <w:i/>
                <w:iCs/>
                <w:sz w:val="18"/>
                <w:szCs w:val="18"/>
              </w:rPr>
            </w:pPr>
          </w:p>
        </w:tc>
        <w:tc>
          <w:tcPr>
            <w:tcW w:w="236" w:type="dxa"/>
            <w:tcBorders>
              <w:top w:val="nil"/>
              <w:left w:val="nil"/>
              <w:bottom w:val="single" w:color="auto" w:sz="8" w:space="0"/>
              <w:right w:val="nil"/>
            </w:tcBorders>
            <w:noWrap/>
            <w:vAlign w:val="bottom"/>
          </w:tcPr>
          <w:p w14:paraId="32D50342">
            <w:pPr>
              <w:jc w:val="center"/>
              <w:rPr>
                <w:rFonts w:eastAsia="宋体"/>
                <w:i/>
                <w:iCs/>
                <w:sz w:val="18"/>
                <w:szCs w:val="18"/>
              </w:rPr>
            </w:pPr>
            <w:r>
              <w:rPr>
                <w:rFonts w:eastAsia="宋体"/>
                <w:i/>
                <w:iCs/>
                <w:sz w:val="18"/>
                <w:szCs w:val="18"/>
              </w:rPr>
              <w:t>　</w:t>
            </w:r>
          </w:p>
        </w:tc>
      </w:tr>
      <w:tr w14:paraId="57518204">
        <w:trPr>
          <w:gridAfter w:val="1"/>
          <w:wAfter w:w="236" w:type="dxa"/>
          <w:trHeight w:val="280" w:hRule="atLeast"/>
          <w:jc w:val="center"/>
        </w:trPr>
        <w:tc>
          <w:tcPr>
            <w:tcW w:w="2977" w:type="dxa"/>
            <w:gridSpan w:val="2"/>
            <w:tcBorders>
              <w:top w:val="single" w:color="auto" w:sz="8" w:space="0"/>
              <w:bottom w:val="nil"/>
              <w:right w:val="nil"/>
            </w:tcBorders>
            <w:noWrap/>
            <w:vAlign w:val="bottom"/>
          </w:tcPr>
          <w:p w14:paraId="3BDF0881">
            <w:pPr>
              <w:rPr>
                <w:rFonts w:eastAsia="宋体"/>
                <w:sz w:val="18"/>
                <w:szCs w:val="18"/>
              </w:rPr>
            </w:pPr>
            <w:r>
              <w:rPr>
                <w:rFonts w:eastAsia="宋体"/>
                <w:sz w:val="18"/>
                <w:szCs w:val="18"/>
              </w:rPr>
              <w:t>Age</w:t>
            </w:r>
          </w:p>
        </w:tc>
        <w:tc>
          <w:tcPr>
            <w:tcW w:w="1418" w:type="dxa"/>
            <w:tcBorders>
              <w:top w:val="nil"/>
              <w:left w:val="nil"/>
              <w:bottom w:val="nil"/>
              <w:right w:val="nil"/>
            </w:tcBorders>
            <w:noWrap/>
            <w:vAlign w:val="bottom"/>
          </w:tcPr>
          <w:p w14:paraId="76560CBC">
            <w:pPr>
              <w:rPr>
                <w:rFonts w:eastAsia="宋体"/>
                <w:sz w:val="18"/>
                <w:szCs w:val="18"/>
              </w:rPr>
            </w:pPr>
            <w:r>
              <w:rPr>
                <w:rFonts w:eastAsia="宋体"/>
                <w:sz w:val="18"/>
                <w:szCs w:val="18"/>
              </w:rPr>
              <w:t>5</w:t>
            </w:r>
            <w:r>
              <w:rPr>
                <w:rFonts w:hint="eastAsia" w:eastAsia="宋体"/>
                <w:sz w:val="18"/>
                <w:szCs w:val="18"/>
              </w:rPr>
              <w:t>2.04</w:t>
            </w:r>
            <w:r>
              <w:rPr>
                <w:rFonts w:eastAsia="宋体"/>
                <w:sz w:val="18"/>
                <w:szCs w:val="18"/>
              </w:rPr>
              <w:t>(11.</w:t>
            </w:r>
            <w:r>
              <w:rPr>
                <w:rFonts w:hint="eastAsia" w:eastAsia="宋体"/>
                <w:sz w:val="18"/>
                <w:szCs w:val="18"/>
              </w:rPr>
              <w:t>558</w:t>
            </w:r>
            <w:r>
              <w:rPr>
                <w:rFonts w:eastAsia="宋体"/>
                <w:sz w:val="18"/>
                <w:szCs w:val="18"/>
              </w:rPr>
              <w:t>)</w:t>
            </w:r>
          </w:p>
        </w:tc>
        <w:tc>
          <w:tcPr>
            <w:tcW w:w="1275" w:type="dxa"/>
            <w:tcBorders>
              <w:top w:val="nil"/>
              <w:left w:val="nil"/>
              <w:bottom w:val="nil"/>
              <w:right w:val="nil"/>
            </w:tcBorders>
            <w:noWrap/>
            <w:vAlign w:val="bottom"/>
          </w:tcPr>
          <w:p w14:paraId="5E337A43">
            <w:pPr>
              <w:rPr>
                <w:rFonts w:eastAsia="宋体"/>
                <w:sz w:val="18"/>
                <w:szCs w:val="18"/>
              </w:rPr>
            </w:pPr>
            <w:r>
              <w:rPr>
                <w:rFonts w:hint="eastAsia" w:eastAsia="宋体"/>
                <w:sz w:val="18"/>
                <w:szCs w:val="18"/>
              </w:rPr>
              <w:t>51.86</w:t>
            </w:r>
            <w:r>
              <w:rPr>
                <w:rFonts w:eastAsia="宋体"/>
                <w:sz w:val="18"/>
                <w:szCs w:val="18"/>
              </w:rPr>
              <w:t>(1</w:t>
            </w:r>
            <w:r>
              <w:rPr>
                <w:rFonts w:hint="eastAsia" w:eastAsia="宋体"/>
                <w:sz w:val="18"/>
                <w:szCs w:val="18"/>
              </w:rPr>
              <w:t>0.964</w:t>
            </w:r>
            <w:r>
              <w:rPr>
                <w:rFonts w:eastAsia="宋体"/>
                <w:sz w:val="18"/>
                <w:szCs w:val="18"/>
              </w:rPr>
              <w:t>)</w:t>
            </w:r>
          </w:p>
        </w:tc>
        <w:tc>
          <w:tcPr>
            <w:tcW w:w="798" w:type="dxa"/>
            <w:tcBorders>
              <w:top w:val="nil"/>
              <w:left w:val="nil"/>
              <w:bottom w:val="nil"/>
              <w:right w:val="nil"/>
            </w:tcBorders>
            <w:noWrap/>
            <w:vAlign w:val="bottom"/>
          </w:tcPr>
          <w:p w14:paraId="77E640D1">
            <w:pPr>
              <w:rPr>
                <w:rFonts w:eastAsia="宋体"/>
                <w:sz w:val="18"/>
                <w:szCs w:val="18"/>
              </w:rPr>
            </w:pPr>
            <w:r>
              <w:rPr>
                <w:rFonts w:hint="eastAsia" w:eastAsia="宋体"/>
                <w:sz w:val="18"/>
                <w:szCs w:val="18"/>
              </w:rPr>
              <w:t>0</w:t>
            </w:r>
            <w:r>
              <w:rPr>
                <w:rFonts w:eastAsia="宋体"/>
                <w:sz w:val="18"/>
                <w:szCs w:val="18"/>
              </w:rPr>
              <w:t>.</w:t>
            </w:r>
            <w:r>
              <w:rPr>
                <w:rFonts w:hint="eastAsia" w:eastAsia="宋体"/>
                <w:sz w:val="18"/>
                <w:szCs w:val="18"/>
              </w:rPr>
              <w:t>900</w:t>
            </w:r>
          </w:p>
        </w:tc>
      </w:tr>
      <w:tr w14:paraId="523CBC42">
        <w:trPr>
          <w:gridAfter w:val="1"/>
          <w:wAfter w:w="236" w:type="dxa"/>
          <w:trHeight w:val="280" w:hRule="atLeast"/>
          <w:jc w:val="center"/>
        </w:trPr>
        <w:tc>
          <w:tcPr>
            <w:tcW w:w="1843" w:type="dxa"/>
            <w:tcBorders>
              <w:top w:val="nil"/>
              <w:bottom w:val="nil"/>
              <w:right w:val="nil"/>
            </w:tcBorders>
            <w:noWrap/>
            <w:vAlign w:val="bottom"/>
          </w:tcPr>
          <w:p w14:paraId="6CF5C976">
            <w:pPr>
              <w:rPr>
                <w:rFonts w:eastAsia="宋体"/>
                <w:sz w:val="18"/>
                <w:szCs w:val="18"/>
              </w:rPr>
            </w:pPr>
            <w:r>
              <w:rPr>
                <w:rFonts w:eastAsia="宋体"/>
                <w:sz w:val="18"/>
                <w:szCs w:val="18"/>
              </w:rPr>
              <w:t>Sex</w:t>
            </w:r>
          </w:p>
        </w:tc>
        <w:tc>
          <w:tcPr>
            <w:tcW w:w="1134" w:type="dxa"/>
            <w:tcBorders>
              <w:top w:val="nil"/>
              <w:left w:val="nil"/>
              <w:bottom w:val="nil"/>
              <w:right w:val="nil"/>
            </w:tcBorders>
            <w:noWrap/>
            <w:vAlign w:val="bottom"/>
          </w:tcPr>
          <w:p w14:paraId="2C3EB74B">
            <w:pPr>
              <w:jc w:val="center"/>
              <w:rPr>
                <w:rFonts w:eastAsia="宋体"/>
                <w:sz w:val="18"/>
                <w:szCs w:val="18"/>
              </w:rPr>
            </w:pPr>
            <w:r>
              <w:rPr>
                <w:rFonts w:eastAsia="宋体"/>
                <w:sz w:val="18"/>
                <w:szCs w:val="18"/>
              </w:rPr>
              <w:t>female</w:t>
            </w:r>
          </w:p>
        </w:tc>
        <w:tc>
          <w:tcPr>
            <w:tcW w:w="1418" w:type="dxa"/>
            <w:tcBorders>
              <w:top w:val="nil"/>
              <w:left w:val="nil"/>
              <w:bottom w:val="nil"/>
              <w:right w:val="nil"/>
            </w:tcBorders>
            <w:noWrap/>
            <w:vAlign w:val="bottom"/>
          </w:tcPr>
          <w:p w14:paraId="7D0A82A6">
            <w:pPr>
              <w:jc w:val="center"/>
              <w:rPr>
                <w:rFonts w:eastAsia="宋体"/>
                <w:sz w:val="18"/>
                <w:szCs w:val="18"/>
              </w:rPr>
            </w:pPr>
            <w:r>
              <w:rPr>
                <w:rFonts w:hint="eastAsia" w:eastAsia="宋体"/>
                <w:sz w:val="18"/>
                <w:szCs w:val="18"/>
              </w:rPr>
              <w:t>30</w:t>
            </w:r>
          </w:p>
        </w:tc>
        <w:tc>
          <w:tcPr>
            <w:tcW w:w="1275" w:type="dxa"/>
            <w:tcBorders>
              <w:top w:val="nil"/>
              <w:left w:val="nil"/>
              <w:bottom w:val="nil"/>
              <w:right w:val="nil"/>
            </w:tcBorders>
            <w:noWrap/>
            <w:vAlign w:val="bottom"/>
          </w:tcPr>
          <w:p w14:paraId="1743024F">
            <w:pPr>
              <w:rPr>
                <w:rFonts w:eastAsia="宋体"/>
                <w:sz w:val="18"/>
                <w:szCs w:val="18"/>
              </w:rPr>
            </w:pPr>
            <w:r>
              <w:rPr>
                <w:rFonts w:eastAsia="宋体"/>
                <w:sz w:val="18"/>
                <w:szCs w:val="18"/>
              </w:rPr>
              <w:t>1</w:t>
            </w:r>
            <w:r>
              <w:rPr>
                <w:rFonts w:hint="eastAsia" w:eastAsia="宋体"/>
                <w:sz w:val="18"/>
                <w:szCs w:val="18"/>
              </w:rPr>
              <w:t>9</w:t>
            </w:r>
          </w:p>
        </w:tc>
        <w:tc>
          <w:tcPr>
            <w:tcW w:w="798" w:type="dxa"/>
            <w:tcBorders>
              <w:top w:val="nil"/>
              <w:left w:val="nil"/>
              <w:bottom w:val="nil"/>
              <w:right w:val="nil"/>
            </w:tcBorders>
            <w:noWrap/>
            <w:vAlign w:val="bottom"/>
          </w:tcPr>
          <w:p w14:paraId="00BC48AD">
            <w:pPr>
              <w:rPr>
                <w:rFonts w:eastAsia="宋体"/>
                <w:sz w:val="18"/>
                <w:szCs w:val="18"/>
              </w:rPr>
            </w:pPr>
            <w:r>
              <w:rPr>
                <w:rFonts w:hint="eastAsia" w:eastAsia="宋体"/>
                <w:sz w:val="18"/>
                <w:szCs w:val="18"/>
              </w:rPr>
              <w:t>0</w:t>
            </w:r>
            <w:r>
              <w:rPr>
                <w:rFonts w:eastAsia="宋体"/>
                <w:sz w:val="18"/>
                <w:szCs w:val="18"/>
              </w:rPr>
              <w:t>.</w:t>
            </w:r>
            <w:r>
              <w:rPr>
                <w:rFonts w:hint="eastAsia" w:eastAsia="宋体"/>
                <w:sz w:val="18"/>
                <w:szCs w:val="18"/>
              </w:rPr>
              <w:t>748</w:t>
            </w:r>
          </w:p>
        </w:tc>
      </w:tr>
      <w:tr w14:paraId="6277AF70">
        <w:trPr>
          <w:gridAfter w:val="1"/>
          <w:wAfter w:w="236" w:type="dxa"/>
          <w:trHeight w:val="280" w:hRule="atLeast"/>
          <w:jc w:val="center"/>
        </w:trPr>
        <w:tc>
          <w:tcPr>
            <w:tcW w:w="1843" w:type="dxa"/>
            <w:tcBorders>
              <w:top w:val="nil"/>
              <w:bottom w:val="nil"/>
              <w:right w:val="nil"/>
            </w:tcBorders>
            <w:noWrap/>
            <w:vAlign w:val="bottom"/>
          </w:tcPr>
          <w:p w14:paraId="7F0F1EA5">
            <w:pPr>
              <w:jc w:val="center"/>
              <w:rPr>
                <w:rFonts w:eastAsia="Times New Roman"/>
              </w:rPr>
            </w:pPr>
          </w:p>
        </w:tc>
        <w:tc>
          <w:tcPr>
            <w:tcW w:w="1134" w:type="dxa"/>
            <w:tcBorders>
              <w:top w:val="nil"/>
              <w:left w:val="nil"/>
              <w:bottom w:val="nil"/>
              <w:right w:val="nil"/>
            </w:tcBorders>
            <w:noWrap/>
            <w:vAlign w:val="bottom"/>
          </w:tcPr>
          <w:p w14:paraId="0217901D">
            <w:pPr>
              <w:jc w:val="center"/>
              <w:rPr>
                <w:rFonts w:eastAsia="宋体"/>
                <w:sz w:val="18"/>
                <w:szCs w:val="18"/>
              </w:rPr>
            </w:pPr>
            <w:r>
              <w:rPr>
                <w:rFonts w:eastAsia="宋体"/>
                <w:sz w:val="18"/>
                <w:szCs w:val="18"/>
              </w:rPr>
              <w:t>male</w:t>
            </w:r>
          </w:p>
        </w:tc>
        <w:tc>
          <w:tcPr>
            <w:tcW w:w="1418" w:type="dxa"/>
            <w:tcBorders>
              <w:top w:val="nil"/>
              <w:left w:val="nil"/>
              <w:bottom w:val="nil"/>
              <w:right w:val="nil"/>
            </w:tcBorders>
            <w:noWrap/>
            <w:vAlign w:val="bottom"/>
          </w:tcPr>
          <w:p w14:paraId="5D0058DD">
            <w:pPr>
              <w:jc w:val="center"/>
              <w:rPr>
                <w:rFonts w:eastAsia="宋体"/>
                <w:sz w:val="18"/>
                <w:szCs w:val="18"/>
              </w:rPr>
            </w:pPr>
            <w:r>
              <w:rPr>
                <w:rFonts w:hint="eastAsia" w:eastAsia="宋体"/>
                <w:sz w:val="18"/>
                <w:szCs w:val="18"/>
              </w:rPr>
              <w:t>121</w:t>
            </w:r>
          </w:p>
        </w:tc>
        <w:tc>
          <w:tcPr>
            <w:tcW w:w="1275" w:type="dxa"/>
            <w:tcBorders>
              <w:top w:val="nil"/>
              <w:left w:val="nil"/>
              <w:bottom w:val="nil"/>
              <w:right w:val="nil"/>
            </w:tcBorders>
            <w:noWrap/>
            <w:vAlign w:val="bottom"/>
          </w:tcPr>
          <w:p w14:paraId="715DF631">
            <w:pPr>
              <w:rPr>
                <w:rFonts w:eastAsia="宋体"/>
                <w:sz w:val="18"/>
                <w:szCs w:val="18"/>
              </w:rPr>
            </w:pPr>
            <w:r>
              <w:rPr>
                <w:rFonts w:eastAsia="宋体"/>
                <w:sz w:val="18"/>
                <w:szCs w:val="18"/>
              </w:rPr>
              <w:t>9</w:t>
            </w:r>
            <w:r>
              <w:rPr>
                <w:rFonts w:hint="eastAsia" w:eastAsia="宋体"/>
                <w:sz w:val="18"/>
                <w:szCs w:val="18"/>
              </w:rPr>
              <w:t>0</w:t>
            </w:r>
          </w:p>
        </w:tc>
        <w:tc>
          <w:tcPr>
            <w:tcW w:w="798" w:type="dxa"/>
            <w:tcBorders>
              <w:top w:val="nil"/>
              <w:left w:val="nil"/>
              <w:bottom w:val="nil"/>
              <w:right w:val="nil"/>
            </w:tcBorders>
            <w:noWrap/>
            <w:vAlign w:val="bottom"/>
          </w:tcPr>
          <w:p w14:paraId="3CBAB9D3">
            <w:pPr>
              <w:rPr>
                <w:rFonts w:eastAsia="宋体"/>
                <w:sz w:val="18"/>
                <w:szCs w:val="18"/>
              </w:rPr>
            </w:pPr>
          </w:p>
        </w:tc>
      </w:tr>
      <w:tr w14:paraId="110DBD71">
        <w:trPr>
          <w:gridAfter w:val="1"/>
          <w:wAfter w:w="236" w:type="dxa"/>
          <w:trHeight w:val="280" w:hRule="atLeast"/>
          <w:jc w:val="center"/>
        </w:trPr>
        <w:tc>
          <w:tcPr>
            <w:tcW w:w="1843" w:type="dxa"/>
            <w:tcBorders>
              <w:top w:val="nil"/>
              <w:bottom w:val="nil"/>
              <w:right w:val="nil"/>
            </w:tcBorders>
            <w:noWrap/>
            <w:vAlign w:val="bottom"/>
          </w:tcPr>
          <w:p w14:paraId="24924916">
            <w:pPr>
              <w:rPr>
                <w:rFonts w:eastAsia="宋体"/>
                <w:sz w:val="18"/>
                <w:szCs w:val="18"/>
              </w:rPr>
            </w:pPr>
            <w:r>
              <w:rPr>
                <w:rFonts w:eastAsia="宋体"/>
                <w:sz w:val="18"/>
                <w:szCs w:val="18"/>
              </w:rPr>
              <w:t>Serum AFP</w:t>
            </w:r>
          </w:p>
        </w:tc>
        <w:tc>
          <w:tcPr>
            <w:tcW w:w="1134" w:type="dxa"/>
            <w:tcBorders>
              <w:top w:val="nil"/>
              <w:left w:val="nil"/>
              <w:bottom w:val="nil"/>
              <w:right w:val="nil"/>
            </w:tcBorders>
            <w:noWrap/>
            <w:vAlign w:val="bottom"/>
          </w:tcPr>
          <w:p w14:paraId="1B0A8BF7">
            <w:pPr>
              <w:jc w:val="center"/>
              <w:rPr>
                <w:rFonts w:eastAsia="宋体"/>
                <w:sz w:val="18"/>
                <w:szCs w:val="18"/>
              </w:rPr>
            </w:pPr>
            <w:r>
              <w:rPr>
                <w:rFonts w:eastAsia="宋体"/>
                <w:sz w:val="18"/>
                <w:szCs w:val="18"/>
              </w:rPr>
              <w:t>≤20ng/ml</w:t>
            </w:r>
          </w:p>
        </w:tc>
        <w:tc>
          <w:tcPr>
            <w:tcW w:w="1418" w:type="dxa"/>
            <w:tcBorders>
              <w:top w:val="nil"/>
              <w:left w:val="nil"/>
              <w:bottom w:val="nil"/>
              <w:right w:val="nil"/>
            </w:tcBorders>
            <w:noWrap/>
            <w:vAlign w:val="bottom"/>
          </w:tcPr>
          <w:p w14:paraId="7EA83454">
            <w:pPr>
              <w:jc w:val="center"/>
              <w:rPr>
                <w:rFonts w:eastAsia="宋体"/>
                <w:sz w:val="18"/>
                <w:szCs w:val="18"/>
              </w:rPr>
            </w:pPr>
            <w:r>
              <w:rPr>
                <w:rFonts w:eastAsia="宋体"/>
                <w:sz w:val="18"/>
                <w:szCs w:val="18"/>
              </w:rPr>
              <w:t>43</w:t>
            </w:r>
          </w:p>
        </w:tc>
        <w:tc>
          <w:tcPr>
            <w:tcW w:w="1275" w:type="dxa"/>
            <w:tcBorders>
              <w:top w:val="nil"/>
              <w:left w:val="nil"/>
              <w:bottom w:val="nil"/>
              <w:right w:val="nil"/>
            </w:tcBorders>
            <w:noWrap/>
            <w:vAlign w:val="bottom"/>
          </w:tcPr>
          <w:p w14:paraId="15EC8429">
            <w:pPr>
              <w:rPr>
                <w:rFonts w:eastAsia="宋体"/>
                <w:sz w:val="18"/>
                <w:szCs w:val="18"/>
              </w:rPr>
            </w:pPr>
            <w:r>
              <w:rPr>
                <w:rFonts w:eastAsia="宋体"/>
                <w:sz w:val="18"/>
                <w:szCs w:val="18"/>
              </w:rPr>
              <w:t>24</w:t>
            </w:r>
          </w:p>
        </w:tc>
        <w:tc>
          <w:tcPr>
            <w:tcW w:w="798" w:type="dxa"/>
            <w:tcBorders>
              <w:top w:val="nil"/>
              <w:left w:val="nil"/>
              <w:bottom w:val="nil"/>
              <w:right w:val="nil"/>
            </w:tcBorders>
            <w:noWrap/>
            <w:vAlign w:val="bottom"/>
          </w:tcPr>
          <w:p w14:paraId="2D96E64C">
            <w:pPr>
              <w:rPr>
                <w:rFonts w:eastAsia="宋体"/>
                <w:sz w:val="18"/>
                <w:szCs w:val="18"/>
              </w:rPr>
            </w:pPr>
            <w:r>
              <w:rPr>
                <w:rFonts w:hint="eastAsia" w:eastAsia="宋体"/>
                <w:sz w:val="18"/>
                <w:szCs w:val="18"/>
              </w:rPr>
              <w:t>0</w:t>
            </w:r>
            <w:r>
              <w:rPr>
                <w:rFonts w:eastAsia="宋体"/>
                <w:sz w:val="18"/>
                <w:szCs w:val="18"/>
              </w:rPr>
              <w:t>.</w:t>
            </w:r>
            <w:r>
              <w:rPr>
                <w:rFonts w:hint="eastAsia" w:eastAsia="宋体"/>
                <w:sz w:val="18"/>
                <w:szCs w:val="18"/>
              </w:rPr>
              <w:t>254</w:t>
            </w:r>
          </w:p>
        </w:tc>
      </w:tr>
      <w:tr w14:paraId="7A0FF997">
        <w:trPr>
          <w:gridAfter w:val="1"/>
          <w:wAfter w:w="236" w:type="dxa"/>
          <w:trHeight w:val="280" w:hRule="atLeast"/>
          <w:jc w:val="center"/>
        </w:trPr>
        <w:tc>
          <w:tcPr>
            <w:tcW w:w="1843" w:type="dxa"/>
            <w:tcBorders>
              <w:top w:val="nil"/>
              <w:bottom w:val="nil"/>
              <w:right w:val="nil"/>
            </w:tcBorders>
            <w:noWrap/>
            <w:vAlign w:val="bottom"/>
          </w:tcPr>
          <w:p w14:paraId="572944A2">
            <w:pPr>
              <w:jc w:val="center"/>
              <w:rPr>
                <w:rFonts w:eastAsia="Times New Roman"/>
              </w:rPr>
            </w:pPr>
          </w:p>
        </w:tc>
        <w:tc>
          <w:tcPr>
            <w:tcW w:w="1134" w:type="dxa"/>
            <w:tcBorders>
              <w:top w:val="nil"/>
              <w:left w:val="nil"/>
              <w:bottom w:val="nil"/>
              <w:right w:val="nil"/>
            </w:tcBorders>
            <w:noWrap/>
            <w:vAlign w:val="bottom"/>
          </w:tcPr>
          <w:p w14:paraId="653AD79C">
            <w:pPr>
              <w:jc w:val="center"/>
              <w:rPr>
                <w:rFonts w:eastAsia="宋体"/>
                <w:sz w:val="18"/>
                <w:szCs w:val="18"/>
              </w:rPr>
            </w:pPr>
            <w:r>
              <w:rPr>
                <w:rFonts w:eastAsia="宋体"/>
                <w:sz w:val="18"/>
                <w:szCs w:val="18"/>
              </w:rPr>
              <w:t>&gt;20ng/ml</w:t>
            </w:r>
          </w:p>
        </w:tc>
        <w:tc>
          <w:tcPr>
            <w:tcW w:w="1418" w:type="dxa"/>
            <w:tcBorders>
              <w:top w:val="nil"/>
              <w:left w:val="nil"/>
              <w:bottom w:val="nil"/>
              <w:right w:val="nil"/>
            </w:tcBorders>
            <w:noWrap/>
            <w:vAlign w:val="bottom"/>
          </w:tcPr>
          <w:p w14:paraId="1D6E76EE">
            <w:pPr>
              <w:jc w:val="center"/>
              <w:rPr>
                <w:rFonts w:eastAsia="宋体"/>
                <w:sz w:val="18"/>
                <w:szCs w:val="18"/>
              </w:rPr>
            </w:pPr>
            <w:r>
              <w:rPr>
                <w:rFonts w:eastAsia="宋体"/>
                <w:sz w:val="18"/>
                <w:szCs w:val="18"/>
              </w:rPr>
              <w:t>10</w:t>
            </w:r>
            <w:r>
              <w:rPr>
                <w:rFonts w:hint="eastAsia" w:eastAsia="宋体"/>
                <w:sz w:val="18"/>
                <w:szCs w:val="18"/>
              </w:rPr>
              <w:t>8</w:t>
            </w:r>
          </w:p>
        </w:tc>
        <w:tc>
          <w:tcPr>
            <w:tcW w:w="1275" w:type="dxa"/>
            <w:tcBorders>
              <w:top w:val="nil"/>
              <w:left w:val="nil"/>
              <w:bottom w:val="nil"/>
              <w:right w:val="nil"/>
            </w:tcBorders>
            <w:noWrap/>
            <w:vAlign w:val="bottom"/>
          </w:tcPr>
          <w:p w14:paraId="31D55A95">
            <w:pPr>
              <w:rPr>
                <w:rFonts w:eastAsia="宋体"/>
                <w:sz w:val="18"/>
                <w:szCs w:val="18"/>
              </w:rPr>
            </w:pPr>
            <w:r>
              <w:rPr>
                <w:rFonts w:hint="eastAsia" w:eastAsia="宋体"/>
                <w:sz w:val="18"/>
                <w:szCs w:val="18"/>
              </w:rPr>
              <w:t>85</w:t>
            </w:r>
          </w:p>
        </w:tc>
        <w:tc>
          <w:tcPr>
            <w:tcW w:w="798" w:type="dxa"/>
            <w:tcBorders>
              <w:top w:val="nil"/>
              <w:left w:val="nil"/>
              <w:bottom w:val="nil"/>
              <w:right w:val="nil"/>
            </w:tcBorders>
            <w:noWrap/>
            <w:vAlign w:val="bottom"/>
          </w:tcPr>
          <w:p w14:paraId="6100E2F7">
            <w:pPr>
              <w:rPr>
                <w:rFonts w:eastAsia="宋体"/>
                <w:sz w:val="18"/>
                <w:szCs w:val="18"/>
              </w:rPr>
            </w:pPr>
          </w:p>
        </w:tc>
      </w:tr>
      <w:tr w14:paraId="0936D0EB">
        <w:trPr>
          <w:gridAfter w:val="1"/>
          <w:wAfter w:w="236" w:type="dxa"/>
          <w:trHeight w:val="280" w:hRule="atLeast"/>
          <w:jc w:val="center"/>
        </w:trPr>
        <w:tc>
          <w:tcPr>
            <w:tcW w:w="1843" w:type="dxa"/>
            <w:tcBorders>
              <w:top w:val="nil"/>
              <w:bottom w:val="nil"/>
              <w:right w:val="nil"/>
            </w:tcBorders>
            <w:noWrap/>
            <w:vAlign w:val="bottom"/>
          </w:tcPr>
          <w:p w14:paraId="51E70A38">
            <w:pPr>
              <w:rPr>
                <w:rFonts w:eastAsia="宋体"/>
                <w:sz w:val="18"/>
                <w:szCs w:val="18"/>
              </w:rPr>
            </w:pPr>
            <w:r>
              <w:rPr>
                <w:rFonts w:eastAsia="宋体"/>
                <w:sz w:val="18"/>
                <w:szCs w:val="18"/>
              </w:rPr>
              <w:t>Virus infection</w:t>
            </w:r>
          </w:p>
        </w:tc>
        <w:tc>
          <w:tcPr>
            <w:tcW w:w="1134" w:type="dxa"/>
            <w:tcBorders>
              <w:top w:val="nil"/>
              <w:left w:val="nil"/>
              <w:bottom w:val="nil"/>
              <w:right w:val="nil"/>
            </w:tcBorders>
            <w:noWrap/>
            <w:vAlign w:val="bottom"/>
          </w:tcPr>
          <w:p w14:paraId="277FE3A2">
            <w:pPr>
              <w:jc w:val="center"/>
              <w:rPr>
                <w:rFonts w:eastAsia="宋体"/>
                <w:sz w:val="18"/>
                <w:szCs w:val="18"/>
              </w:rPr>
            </w:pPr>
            <w:r>
              <w:rPr>
                <w:rFonts w:eastAsia="宋体"/>
                <w:sz w:val="18"/>
                <w:szCs w:val="18"/>
              </w:rPr>
              <w:t>HBV</w:t>
            </w:r>
          </w:p>
        </w:tc>
        <w:tc>
          <w:tcPr>
            <w:tcW w:w="1418" w:type="dxa"/>
            <w:tcBorders>
              <w:top w:val="nil"/>
              <w:left w:val="nil"/>
              <w:bottom w:val="nil"/>
              <w:right w:val="nil"/>
            </w:tcBorders>
            <w:noWrap/>
            <w:vAlign w:val="bottom"/>
          </w:tcPr>
          <w:p w14:paraId="704C76CB">
            <w:pPr>
              <w:jc w:val="center"/>
              <w:rPr>
                <w:rFonts w:eastAsia="宋体"/>
                <w:sz w:val="18"/>
                <w:szCs w:val="18"/>
              </w:rPr>
            </w:pPr>
            <w:r>
              <w:rPr>
                <w:rFonts w:eastAsia="宋体"/>
                <w:sz w:val="18"/>
                <w:szCs w:val="18"/>
              </w:rPr>
              <w:t>11</w:t>
            </w:r>
            <w:r>
              <w:rPr>
                <w:rFonts w:hint="eastAsia" w:eastAsia="宋体"/>
                <w:sz w:val="18"/>
                <w:szCs w:val="18"/>
              </w:rPr>
              <w:t>7</w:t>
            </w:r>
          </w:p>
        </w:tc>
        <w:tc>
          <w:tcPr>
            <w:tcW w:w="1275" w:type="dxa"/>
            <w:tcBorders>
              <w:top w:val="nil"/>
              <w:left w:val="nil"/>
              <w:bottom w:val="nil"/>
              <w:right w:val="nil"/>
            </w:tcBorders>
            <w:noWrap/>
            <w:vAlign w:val="bottom"/>
          </w:tcPr>
          <w:p w14:paraId="40764BBF">
            <w:pPr>
              <w:rPr>
                <w:rFonts w:eastAsia="宋体"/>
                <w:sz w:val="18"/>
                <w:szCs w:val="18"/>
              </w:rPr>
            </w:pPr>
            <w:r>
              <w:rPr>
                <w:rFonts w:eastAsia="宋体"/>
                <w:sz w:val="18"/>
                <w:szCs w:val="18"/>
              </w:rPr>
              <w:t>7</w:t>
            </w:r>
            <w:r>
              <w:rPr>
                <w:rFonts w:hint="eastAsia" w:eastAsia="宋体"/>
                <w:sz w:val="18"/>
                <w:szCs w:val="18"/>
              </w:rPr>
              <w:t>5</w:t>
            </w:r>
          </w:p>
        </w:tc>
        <w:tc>
          <w:tcPr>
            <w:tcW w:w="798" w:type="dxa"/>
            <w:tcBorders>
              <w:top w:val="nil"/>
              <w:left w:val="nil"/>
              <w:bottom w:val="nil"/>
              <w:right w:val="nil"/>
            </w:tcBorders>
            <w:noWrap/>
            <w:vAlign w:val="bottom"/>
          </w:tcPr>
          <w:p w14:paraId="1544BDEC">
            <w:pPr>
              <w:rPr>
                <w:rFonts w:eastAsia="宋体"/>
                <w:sz w:val="18"/>
                <w:szCs w:val="18"/>
              </w:rPr>
            </w:pPr>
            <w:r>
              <w:rPr>
                <w:rFonts w:hint="eastAsia" w:eastAsia="宋体"/>
                <w:sz w:val="18"/>
                <w:szCs w:val="18"/>
              </w:rPr>
              <w:t>0</w:t>
            </w:r>
            <w:r>
              <w:rPr>
                <w:rFonts w:eastAsia="宋体"/>
                <w:sz w:val="18"/>
                <w:szCs w:val="18"/>
              </w:rPr>
              <w:t>.</w:t>
            </w:r>
            <w:r>
              <w:rPr>
                <w:rFonts w:hint="eastAsia" w:eastAsia="宋体"/>
                <w:sz w:val="18"/>
                <w:szCs w:val="18"/>
              </w:rPr>
              <w:t>237</w:t>
            </w:r>
          </w:p>
        </w:tc>
      </w:tr>
      <w:tr w14:paraId="6B5AF035">
        <w:trPr>
          <w:gridAfter w:val="1"/>
          <w:wAfter w:w="236" w:type="dxa"/>
          <w:trHeight w:val="280" w:hRule="atLeast"/>
          <w:jc w:val="center"/>
        </w:trPr>
        <w:tc>
          <w:tcPr>
            <w:tcW w:w="1843" w:type="dxa"/>
            <w:tcBorders>
              <w:top w:val="nil"/>
              <w:bottom w:val="nil"/>
              <w:right w:val="nil"/>
            </w:tcBorders>
            <w:noWrap/>
            <w:vAlign w:val="bottom"/>
          </w:tcPr>
          <w:p w14:paraId="16F9741B">
            <w:pPr>
              <w:jc w:val="center"/>
              <w:rPr>
                <w:rFonts w:eastAsia="Times New Roman"/>
              </w:rPr>
            </w:pPr>
          </w:p>
        </w:tc>
        <w:tc>
          <w:tcPr>
            <w:tcW w:w="1134" w:type="dxa"/>
            <w:tcBorders>
              <w:top w:val="nil"/>
              <w:left w:val="nil"/>
              <w:bottom w:val="nil"/>
              <w:right w:val="nil"/>
            </w:tcBorders>
            <w:noWrap/>
            <w:vAlign w:val="bottom"/>
          </w:tcPr>
          <w:p w14:paraId="7AE7F424">
            <w:pPr>
              <w:jc w:val="center"/>
              <w:rPr>
                <w:rFonts w:eastAsia="宋体"/>
                <w:sz w:val="18"/>
                <w:szCs w:val="18"/>
              </w:rPr>
            </w:pPr>
            <w:r>
              <w:rPr>
                <w:rFonts w:eastAsia="宋体"/>
                <w:sz w:val="18"/>
                <w:szCs w:val="18"/>
              </w:rPr>
              <w:t>HCV</w:t>
            </w:r>
          </w:p>
        </w:tc>
        <w:tc>
          <w:tcPr>
            <w:tcW w:w="1418" w:type="dxa"/>
            <w:tcBorders>
              <w:top w:val="nil"/>
              <w:left w:val="nil"/>
              <w:bottom w:val="nil"/>
              <w:right w:val="nil"/>
            </w:tcBorders>
            <w:noWrap/>
            <w:vAlign w:val="bottom"/>
          </w:tcPr>
          <w:p w14:paraId="2F8DFC18">
            <w:pPr>
              <w:jc w:val="center"/>
              <w:rPr>
                <w:rFonts w:eastAsia="宋体"/>
                <w:sz w:val="18"/>
                <w:szCs w:val="18"/>
              </w:rPr>
            </w:pPr>
            <w:r>
              <w:rPr>
                <w:rFonts w:hint="eastAsia" w:eastAsia="宋体"/>
                <w:sz w:val="18"/>
                <w:szCs w:val="18"/>
              </w:rPr>
              <w:t>14</w:t>
            </w:r>
          </w:p>
        </w:tc>
        <w:tc>
          <w:tcPr>
            <w:tcW w:w="1275" w:type="dxa"/>
            <w:tcBorders>
              <w:top w:val="nil"/>
              <w:left w:val="nil"/>
              <w:bottom w:val="nil"/>
              <w:right w:val="nil"/>
            </w:tcBorders>
            <w:noWrap/>
            <w:vAlign w:val="bottom"/>
          </w:tcPr>
          <w:p w14:paraId="750CF7A9">
            <w:pPr>
              <w:rPr>
                <w:rFonts w:eastAsia="宋体"/>
                <w:sz w:val="18"/>
                <w:szCs w:val="18"/>
              </w:rPr>
            </w:pPr>
            <w:r>
              <w:rPr>
                <w:rFonts w:hint="eastAsia" w:eastAsia="宋体"/>
                <w:sz w:val="18"/>
                <w:szCs w:val="18"/>
              </w:rPr>
              <w:t>11</w:t>
            </w:r>
          </w:p>
        </w:tc>
        <w:tc>
          <w:tcPr>
            <w:tcW w:w="798" w:type="dxa"/>
            <w:tcBorders>
              <w:top w:val="nil"/>
              <w:left w:val="nil"/>
              <w:bottom w:val="nil"/>
              <w:right w:val="nil"/>
            </w:tcBorders>
            <w:noWrap/>
            <w:vAlign w:val="bottom"/>
          </w:tcPr>
          <w:p w14:paraId="0D861186">
            <w:pPr>
              <w:rPr>
                <w:rFonts w:eastAsia="宋体"/>
                <w:sz w:val="18"/>
                <w:szCs w:val="18"/>
              </w:rPr>
            </w:pPr>
          </w:p>
        </w:tc>
      </w:tr>
      <w:tr w14:paraId="1153EEF6">
        <w:trPr>
          <w:gridAfter w:val="1"/>
          <w:wAfter w:w="236" w:type="dxa"/>
          <w:trHeight w:val="280" w:hRule="atLeast"/>
          <w:jc w:val="center"/>
        </w:trPr>
        <w:tc>
          <w:tcPr>
            <w:tcW w:w="1843" w:type="dxa"/>
            <w:tcBorders>
              <w:top w:val="nil"/>
              <w:bottom w:val="nil"/>
              <w:right w:val="nil"/>
            </w:tcBorders>
            <w:noWrap/>
            <w:vAlign w:val="bottom"/>
          </w:tcPr>
          <w:p w14:paraId="1ABE19BE">
            <w:pPr>
              <w:jc w:val="center"/>
              <w:rPr>
                <w:rFonts w:eastAsia="Times New Roman"/>
              </w:rPr>
            </w:pPr>
          </w:p>
        </w:tc>
        <w:tc>
          <w:tcPr>
            <w:tcW w:w="1134" w:type="dxa"/>
            <w:tcBorders>
              <w:top w:val="nil"/>
              <w:left w:val="nil"/>
              <w:bottom w:val="nil"/>
              <w:right w:val="nil"/>
            </w:tcBorders>
            <w:noWrap/>
            <w:vAlign w:val="bottom"/>
          </w:tcPr>
          <w:p w14:paraId="09EE4480">
            <w:pPr>
              <w:jc w:val="center"/>
              <w:rPr>
                <w:rFonts w:eastAsia="宋体"/>
                <w:sz w:val="18"/>
                <w:szCs w:val="18"/>
              </w:rPr>
            </w:pPr>
            <w:r>
              <w:rPr>
                <w:rFonts w:eastAsia="宋体"/>
                <w:sz w:val="18"/>
                <w:szCs w:val="18"/>
              </w:rPr>
              <w:t>HBV+HCV</w:t>
            </w:r>
          </w:p>
        </w:tc>
        <w:tc>
          <w:tcPr>
            <w:tcW w:w="1418" w:type="dxa"/>
            <w:tcBorders>
              <w:top w:val="nil"/>
              <w:left w:val="nil"/>
              <w:bottom w:val="nil"/>
              <w:right w:val="nil"/>
            </w:tcBorders>
            <w:noWrap/>
            <w:vAlign w:val="bottom"/>
          </w:tcPr>
          <w:p w14:paraId="14C69800">
            <w:pPr>
              <w:jc w:val="center"/>
              <w:rPr>
                <w:rFonts w:eastAsia="宋体"/>
                <w:sz w:val="18"/>
                <w:szCs w:val="18"/>
              </w:rPr>
            </w:pPr>
            <w:r>
              <w:rPr>
                <w:rFonts w:hint="eastAsia" w:eastAsia="宋体"/>
                <w:sz w:val="18"/>
                <w:szCs w:val="18"/>
              </w:rPr>
              <w:t>4</w:t>
            </w:r>
          </w:p>
        </w:tc>
        <w:tc>
          <w:tcPr>
            <w:tcW w:w="1275" w:type="dxa"/>
            <w:tcBorders>
              <w:top w:val="nil"/>
              <w:left w:val="nil"/>
              <w:bottom w:val="nil"/>
              <w:right w:val="nil"/>
            </w:tcBorders>
            <w:noWrap/>
            <w:vAlign w:val="bottom"/>
          </w:tcPr>
          <w:p w14:paraId="21C20601">
            <w:pPr>
              <w:rPr>
                <w:rFonts w:eastAsia="宋体"/>
                <w:sz w:val="18"/>
                <w:szCs w:val="18"/>
              </w:rPr>
            </w:pPr>
            <w:r>
              <w:rPr>
                <w:rFonts w:hint="eastAsia" w:eastAsia="宋体"/>
                <w:sz w:val="18"/>
                <w:szCs w:val="18"/>
              </w:rPr>
              <w:t>8</w:t>
            </w:r>
          </w:p>
        </w:tc>
        <w:tc>
          <w:tcPr>
            <w:tcW w:w="798" w:type="dxa"/>
            <w:tcBorders>
              <w:top w:val="nil"/>
              <w:left w:val="nil"/>
              <w:bottom w:val="nil"/>
              <w:right w:val="nil"/>
            </w:tcBorders>
            <w:noWrap/>
            <w:vAlign w:val="bottom"/>
          </w:tcPr>
          <w:p w14:paraId="2B6D0B36">
            <w:pPr>
              <w:rPr>
                <w:rFonts w:eastAsia="宋体"/>
                <w:sz w:val="18"/>
                <w:szCs w:val="18"/>
              </w:rPr>
            </w:pPr>
          </w:p>
        </w:tc>
      </w:tr>
      <w:tr w14:paraId="1B8E9096">
        <w:trPr>
          <w:gridAfter w:val="1"/>
          <w:wAfter w:w="236" w:type="dxa"/>
          <w:trHeight w:val="280" w:hRule="atLeast"/>
          <w:jc w:val="center"/>
        </w:trPr>
        <w:tc>
          <w:tcPr>
            <w:tcW w:w="1843" w:type="dxa"/>
            <w:tcBorders>
              <w:top w:val="nil"/>
              <w:bottom w:val="nil"/>
              <w:right w:val="nil"/>
            </w:tcBorders>
            <w:noWrap/>
            <w:vAlign w:val="bottom"/>
          </w:tcPr>
          <w:p w14:paraId="5C030CC3">
            <w:pPr>
              <w:jc w:val="center"/>
              <w:rPr>
                <w:rFonts w:eastAsia="Times New Roman"/>
              </w:rPr>
            </w:pPr>
          </w:p>
        </w:tc>
        <w:tc>
          <w:tcPr>
            <w:tcW w:w="1134" w:type="dxa"/>
            <w:tcBorders>
              <w:top w:val="nil"/>
              <w:left w:val="nil"/>
              <w:bottom w:val="nil"/>
              <w:right w:val="nil"/>
            </w:tcBorders>
            <w:noWrap/>
            <w:vAlign w:val="bottom"/>
          </w:tcPr>
          <w:p w14:paraId="7C0D73EC">
            <w:pPr>
              <w:jc w:val="center"/>
              <w:rPr>
                <w:rFonts w:eastAsia="宋体"/>
                <w:sz w:val="18"/>
                <w:szCs w:val="18"/>
              </w:rPr>
            </w:pPr>
            <w:r>
              <w:rPr>
                <w:rFonts w:eastAsia="宋体"/>
                <w:sz w:val="18"/>
                <w:szCs w:val="18"/>
              </w:rPr>
              <w:t>none</w:t>
            </w:r>
          </w:p>
        </w:tc>
        <w:tc>
          <w:tcPr>
            <w:tcW w:w="1418" w:type="dxa"/>
            <w:tcBorders>
              <w:top w:val="nil"/>
              <w:left w:val="nil"/>
              <w:bottom w:val="nil"/>
              <w:right w:val="nil"/>
            </w:tcBorders>
            <w:noWrap/>
            <w:vAlign w:val="bottom"/>
          </w:tcPr>
          <w:p w14:paraId="2B2511D5">
            <w:pPr>
              <w:jc w:val="center"/>
              <w:rPr>
                <w:rFonts w:eastAsia="宋体"/>
                <w:sz w:val="18"/>
                <w:szCs w:val="18"/>
              </w:rPr>
            </w:pPr>
            <w:r>
              <w:rPr>
                <w:rFonts w:hint="eastAsia" w:eastAsia="宋体"/>
                <w:sz w:val="18"/>
                <w:szCs w:val="18"/>
              </w:rPr>
              <w:t>16</w:t>
            </w:r>
          </w:p>
        </w:tc>
        <w:tc>
          <w:tcPr>
            <w:tcW w:w="1275" w:type="dxa"/>
            <w:tcBorders>
              <w:top w:val="nil"/>
              <w:left w:val="nil"/>
              <w:bottom w:val="nil"/>
              <w:right w:val="nil"/>
            </w:tcBorders>
            <w:noWrap/>
            <w:vAlign w:val="bottom"/>
          </w:tcPr>
          <w:p w14:paraId="4829DDD6">
            <w:pPr>
              <w:rPr>
                <w:rFonts w:eastAsia="宋体"/>
                <w:sz w:val="18"/>
                <w:szCs w:val="18"/>
              </w:rPr>
            </w:pPr>
            <w:r>
              <w:rPr>
                <w:rFonts w:hint="eastAsia" w:eastAsia="宋体"/>
                <w:sz w:val="18"/>
                <w:szCs w:val="18"/>
              </w:rPr>
              <w:t>15</w:t>
            </w:r>
          </w:p>
        </w:tc>
        <w:tc>
          <w:tcPr>
            <w:tcW w:w="798" w:type="dxa"/>
            <w:tcBorders>
              <w:top w:val="nil"/>
              <w:left w:val="nil"/>
              <w:bottom w:val="nil"/>
              <w:right w:val="nil"/>
            </w:tcBorders>
            <w:noWrap/>
            <w:vAlign w:val="bottom"/>
          </w:tcPr>
          <w:p w14:paraId="09304332">
            <w:pPr>
              <w:rPr>
                <w:rFonts w:eastAsia="宋体"/>
                <w:sz w:val="18"/>
                <w:szCs w:val="18"/>
              </w:rPr>
            </w:pPr>
          </w:p>
        </w:tc>
      </w:tr>
      <w:tr w14:paraId="5301A901">
        <w:trPr>
          <w:gridAfter w:val="1"/>
          <w:wAfter w:w="236" w:type="dxa"/>
          <w:trHeight w:val="280" w:hRule="atLeast"/>
          <w:jc w:val="center"/>
        </w:trPr>
        <w:tc>
          <w:tcPr>
            <w:tcW w:w="1843" w:type="dxa"/>
            <w:tcBorders>
              <w:top w:val="nil"/>
              <w:bottom w:val="nil"/>
              <w:right w:val="nil"/>
            </w:tcBorders>
            <w:noWrap/>
            <w:vAlign w:val="bottom"/>
          </w:tcPr>
          <w:p w14:paraId="474D7F8B">
            <w:pPr>
              <w:rPr>
                <w:rFonts w:eastAsia="宋体"/>
                <w:sz w:val="18"/>
                <w:szCs w:val="18"/>
              </w:rPr>
            </w:pPr>
            <w:r>
              <w:rPr>
                <w:rFonts w:eastAsia="宋体"/>
                <w:sz w:val="18"/>
                <w:szCs w:val="18"/>
              </w:rPr>
              <w:t>Cirrrhosis</w:t>
            </w:r>
          </w:p>
        </w:tc>
        <w:tc>
          <w:tcPr>
            <w:tcW w:w="1134" w:type="dxa"/>
            <w:tcBorders>
              <w:top w:val="nil"/>
              <w:left w:val="nil"/>
              <w:bottom w:val="nil"/>
              <w:right w:val="nil"/>
            </w:tcBorders>
            <w:noWrap/>
            <w:vAlign w:val="bottom"/>
          </w:tcPr>
          <w:p w14:paraId="0322C20E">
            <w:pPr>
              <w:jc w:val="center"/>
              <w:rPr>
                <w:rFonts w:eastAsia="宋体"/>
                <w:sz w:val="18"/>
                <w:szCs w:val="18"/>
              </w:rPr>
            </w:pPr>
            <w:r>
              <w:rPr>
                <w:rFonts w:eastAsia="宋体"/>
                <w:sz w:val="18"/>
                <w:szCs w:val="18"/>
              </w:rPr>
              <w:t>absent</w:t>
            </w:r>
          </w:p>
        </w:tc>
        <w:tc>
          <w:tcPr>
            <w:tcW w:w="1418" w:type="dxa"/>
            <w:tcBorders>
              <w:top w:val="nil"/>
              <w:left w:val="nil"/>
              <w:bottom w:val="nil"/>
              <w:right w:val="nil"/>
            </w:tcBorders>
            <w:noWrap/>
            <w:vAlign w:val="bottom"/>
          </w:tcPr>
          <w:p w14:paraId="677B3C4B">
            <w:pPr>
              <w:jc w:val="center"/>
              <w:rPr>
                <w:rFonts w:eastAsia="宋体"/>
                <w:sz w:val="18"/>
                <w:szCs w:val="18"/>
              </w:rPr>
            </w:pPr>
            <w:r>
              <w:rPr>
                <w:rFonts w:hint="eastAsia" w:eastAsia="宋体"/>
                <w:sz w:val="18"/>
                <w:szCs w:val="18"/>
              </w:rPr>
              <w:t>41</w:t>
            </w:r>
          </w:p>
        </w:tc>
        <w:tc>
          <w:tcPr>
            <w:tcW w:w="1275" w:type="dxa"/>
            <w:tcBorders>
              <w:top w:val="nil"/>
              <w:left w:val="nil"/>
              <w:bottom w:val="nil"/>
              <w:right w:val="nil"/>
            </w:tcBorders>
            <w:noWrap/>
            <w:vAlign w:val="bottom"/>
          </w:tcPr>
          <w:p w14:paraId="7DC505B3">
            <w:pPr>
              <w:rPr>
                <w:rFonts w:eastAsia="宋体"/>
                <w:sz w:val="18"/>
                <w:szCs w:val="18"/>
              </w:rPr>
            </w:pPr>
            <w:r>
              <w:rPr>
                <w:rFonts w:hint="eastAsia" w:eastAsia="宋体"/>
                <w:sz w:val="18"/>
                <w:szCs w:val="18"/>
              </w:rPr>
              <w:t>31</w:t>
            </w:r>
          </w:p>
        </w:tc>
        <w:tc>
          <w:tcPr>
            <w:tcW w:w="798" w:type="dxa"/>
            <w:tcBorders>
              <w:top w:val="nil"/>
              <w:left w:val="nil"/>
              <w:bottom w:val="nil"/>
              <w:right w:val="nil"/>
            </w:tcBorders>
            <w:noWrap/>
            <w:vAlign w:val="bottom"/>
          </w:tcPr>
          <w:p w14:paraId="0A78AFEC">
            <w:pPr>
              <w:rPr>
                <w:rFonts w:eastAsia="宋体"/>
                <w:sz w:val="18"/>
                <w:szCs w:val="18"/>
              </w:rPr>
            </w:pPr>
            <w:r>
              <w:rPr>
                <w:rFonts w:eastAsia="宋体"/>
                <w:sz w:val="18"/>
                <w:szCs w:val="18"/>
              </w:rPr>
              <w:t>0.</w:t>
            </w:r>
            <w:r>
              <w:rPr>
                <w:rFonts w:hint="eastAsia" w:eastAsia="宋体"/>
                <w:sz w:val="18"/>
                <w:szCs w:val="18"/>
              </w:rPr>
              <w:t>888</w:t>
            </w:r>
          </w:p>
        </w:tc>
      </w:tr>
      <w:tr w14:paraId="7816F7D6">
        <w:trPr>
          <w:gridAfter w:val="1"/>
          <w:wAfter w:w="236" w:type="dxa"/>
          <w:trHeight w:val="280" w:hRule="atLeast"/>
          <w:jc w:val="center"/>
        </w:trPr>
        <w:tc>
          <w:tcPr>
            <w:tcW w:w="1843" w:type="dxa"/>
            <w:tcBorders>
              <w:top w:val="nil"/>
              <w:bottom w:val="nil"/>
              <w:right w:val="nil"/>
            </w:tcBorders>
            <w:noWrap/>
            <w:vAlign w:val="bottom"/>
          </w:tcPr>
          <w:p w14:paraId="01BD7504">
            <w:pPr>
              <w:jc w:val="center"/>
              <w:rPr>
                <w:rFonts w:eastAsia="Times New Roman"/>
              </w:rPr>
            </w:pPr>
          </w:p>
        </w:tc>
        <w:tc>
          <w:tcPr>
            <w:tcW w:w="1134" w:type="dxa"/>
            <w:tcBorders>
              <w:top w:val="nil"/>
              <w:left w:val="nil"/>
              <w:bottom w:val="nil"/>
              <w:right w:val="nil"/>
            </w:tcBorders>
            <w:noWrap/>
            <w:vAlign w:val="bottom"/>
          </w:tcPr>
          <w:p w14:paraId="5C3ED246">
            <w:pPr>
              <w:jc w:val="center"/>
              <w:rPr>
                <w:rFonts w:eastAsia="宋体"/>
                <w:sz w:val="18"/>
                <w:szCs w:val="18"/>
              </w:rPr>
            </w:pPr>
            <w:r>
              <w:rPr>
                <w:rFonts w:eastAsia="宋体"/>
                <w:sz w:val="18"/>
                <w:szCs w:val="18"/>
              </w:rPr>
              <w:t>present</w:t>
            </w:r>
          </w:p>
        </w:tc>
        <w:tc>
          <w:tcPr>
            <w:tcW w:w="1418" w:type="dxa"/>
            <w:tcBorders>
              <w:top w:val="nil"/>
              <w:left w:val="nil"/>
              <w:bottom w:val="nil"/>
              <w:right w:val="nil"/>
            </w:tcBorders>
            <w:noWrap/>
            <w:vAlign w:val="bottom"/>
          </w:tcPr>
          <w:p w14:paraId="7115ADA2">
            <w:pPr>
              <w:jc w:val="center"/>
              <w:rPr>
                <w:rFonts w:eastAsia="宋体"/>
                <w:sz w:val="18"/>
                <w:szCs w:val="18"/>
              </w:rPr>
            </w:pPr>
            <w:r>
              <w:rPr>
                <w:rFonts w:hint="eastAsia" w:eastAsia="宋体"/>
                <w:sz w:val="18"/>
                <w:szCs w:val="18"/>
              </w:rPr>
              <w:t>110</w:t>
            </w:r>
          </w:p>
        </w:tc>
        <w:tc>
          <w:tcPr>
            <w:tcW w:w="1275" w:type="dxa"/>
            <w:tcBorders>
              <w:top w:val="nil"/>
              <w:left w:val="nil"/>
              <w:bottom w:val="nil"/>
              <w:right w:val="nil"/>
            </w:tcBorders>
            <w:noWrap/>
            <w:vAlign w:val="bottom"/>
          </w:tcPr>
          <w:p w14:paraId="67B30766">
            <w:pPr>
              <w:rPr>
                <w:rFonts w:eastAsia="宋体"/>
                <w:sz w:val="18"/>
                <w:szCs w:val="18"/>
              </w:rPr>
            </w:pPr>
            <w:r>
              <w:rPr>
                <w:rFonts w:eastAsia="宋体"/>
                <w:sz w:val="18"/>
                <w:szCs w:val="18"/>
              </w:rPr>
              <w:t>7</w:t>
            </w:r>
            <w:r>
              <w:rPr>
                <w:rFonts w:hint="eastAsia" w:eastAsia="宋体"/>
                <w:sz w:val="18"/>
                <w:szCs w:val="18"/>
              </w:rPr>
              <w:t>8</w:t>
            </w:r>
          </w:p>
        </w:tc>
        <w:tc>
          <w:tcPr>
            <w:tcW w:w="798" w:type="dxa"/>
            <w:tcBorders>
              <w:top w:val="nil"/>
              <w:left w:val="nil"/>
              <w:bottom w:val="nil"/>
              <w:right w:val="nil"/>
            </w:tcBorders>
            <w:noWrap/>
            <w:vAlign w:val="bottom"/>
          </w:tcPr>
          <w:p w14:paraId="5A2FD54E">
            <w:pPr>
              <w:rPr>
                <w:rFonts w:eastAsia="宋体"/>
                <w:sz w:val="18"/>
                <w:szCs w:val="18"/>
              </w:rPr>
            </w:pPr>
          </w:p>
        </w:tc>
      </w:tr>
      <w:tr w14:paraId="56D9411C">
        <w:trPr>
          <w:gridAfter w:val="1"/>
          <w:wAfter w:w="236" w:type="dxa"/>
          <w:trHeight w:val="280" w:hRule="atLeast"/>
          <w:jc w:val="center"/>
        </w:trPr>
        <w:tc>
          <w:tcPr>
            <w:tcW w:w="1843" w:type="dxa"/>
            <w:tcBorders>
              <w:top w:val="nil"/>
              <w:bottom w:val="nil"/>
              <w:right w:val="nil"/>
            </w:tcBorders>
            <w:noWrap/>
            <w:vAlign w:val="bottom"/>
          </w:tcPr>
          <w:p w14:paraId="242EB92A">
            <w:pPr>
              <w:rPr>
                <w:rFonts w:eastAsia="宋体"/>
                <w:sz w:val="18"/>
                <w:szCs w:val="18"/>
              </w:rPr>
            </w:pPr>
            <w:r>
              <w:rPr>
                <w:rFonts w:eastAsia="宋体"/>
                <w:sz w:val="18"/>
                <w:szCs w:val="18"/>
              </w:rPr>
              <w:t>Child-pugh score</w:t>
            </w:r>
          </w:p>
        </w:tc>
        <w:tc>
          <w:tcPr>
            <w:tcW w:w="1134" w:type="dxa"/>
            <w:tcBorders>
              <w:top w:val="nil"/>
              <w:left w:val="nil"/>
              <w:bottom w:val="nil"/>
              <w:right w:val="nil"/>
            </w:tcBorders>
            <w:noWrap/>
            <w:vAlign w:val="bottom"/>
          </w:tcPr>
          <w:p w14:paraId="2F8253CE">
            <w:pPr>
              <w:jc w:val="center"/>
              <w:rPr>
                <w:rFonts w:eastAsia="宋体"/>
                <w:sz w:val="18"/>
                <w:szCs w:val="18"/>
              </w:rPr>
            </w:pPr>
            <w:r>
              <w:rPr>
                <w:rFonts w:eastAsia="宋体"/>
                <w:sz w:val="18"/>
                <w:szCs w:val="18"/>
              </w:rPr>
              <w:t>Class A</w:t>
            </w:r>
          </w:p>
        </w:tc>
        <w:tc>
          <w:tcPr>
            <w:tcW w:w="1418" w:type="dxa"/>
            <w:tcBorders>
              <w:top w:val="nil"/>
              <w:left w:val="nil"/>
              <w:bottom w:val="nil"/>
              <w:right w:val="nil"/>
            </w:tcBorders>
            <w:noWrap/>
            <w:vAlign w:val="bottom"/>
          </w:tcPr>
          <w:p w14:paraId="35D5CD9E">
            <w:pPr>
              <w:jc w:val="center"/>
              <w:rPr>
                <w:rFonts w:eastAsia="宋体"/>
                <w:sz w:val="18"/>
                <w:szCs w:val="18"/>
              </w:rPr>
            </w:pPr>
            <w:r>
              <w:rPr>
                <w:rFonts w:eastAsia="宋体"/>
                <w:sz w:val="18"/>
                <w:szCs w:val="18"/>
              </w:rPr>
              <w:t>11</w:t>
            </w:r>
            <w:r>
              <w:rPr>
                <w:rFonts w:hint="eastAsia" w:eastAsia="宋体"/>
                <w:sz w:val="18"/>
                <w:szCs w:val="18"/>
              </w:rPr>
              <w:t>4</w:t>
            </w:r>
          </w:p>
        </w:tc>
        <w:tc>
          <w:tcPr>
            <w:tcW w:w="1275" w:type="dxa"/>
            <w:tcBorders>
              <w:top w:val="nil"/>
              <w:left w:val="nil"/>
              <w:bottom w:val="nil"/>
              <w:right w:val="nil"/>
            </w:tcBorders>
            <w:noWrap/>
            <w:vAlign w:val="bottom"/>
          </w:tcPr>
          <w:p w14:paraId="663E00AF">
            <w:pPr>
              <w:rPr>
                <w:rFonts w:eastAsia="宋体"/>
                <w:sz w:val="18"/>
                <w:szCs w:val="18"/>
              </w:rPr>
            </w:pPr>
            <w:r>
              <w:rPr>
                <w:rFonts w:hint="eastAsia" w:eastAsia="宋体"/>
                <w:sz w:val="18"/>
                <w:szCs w:val="18"/>
              </w:rPr>
              <w:t>82</w:t>
            </w:r>
          </w:p>
        </w:tc>
        <w:tc>
          <w:tcPr>
            <w:tcW w:w="798" w:type="dxa"/>
            <w:tcBorders>
              <w:top w:val="nil"/>
              <w:left w:val="nil"/>
              <w:bottom w:val="nil"/>
              <w:right w:val="nil"/>
            </w:tcBorders>
            <w:noWrap/>
            <w:vAlign w:val="bottom"/>
          </w:tcPr>
          <w:p w14:paraId="73AD350E">
            <w:pPr>
              <w:rPr>
                <w:rFonts w:eastAsia="宋体"/>
                <w:sz w:val="18"/>
                <w:szCs w:val="18"/>
              </w:rPr>
            </w:pPr>
            <w:r>
              <w:rPr>
                <w:rFonts w:hint="eastAsia" w:eastAsia="宋体"/>
                <w:sz w:val="18"/>
                <w:szCs w:val="18"/>
              </w:rPr>
              <w:t>1.000</w:t>
            </w:r>
          </w:p>
        </w:tc>
      </w:tr>
      <w:tr w14:paraId="5E05087B">
        <w:trPr>
          <w:gridAfter w:val="1"/>
          <w:wAfter w:w="236" w:type="dxa"/>
          <w:trHeight w:val="280" w:hRule="atLeast"/>
          <w:jc w:val="center"/>
        </w:trPr>
        <w:tc>
          <w:tcPr>
            <w:tcW w:w="1843" w:type="dxa"/>
            <w:tcBorders>
              <w:top w:val="nil"/>
              <w:bottom w:val="nil"/>
              <w:right w:val="nil"/>
            </w:tcBorders>
            <w:noWrap/>
            <w:vAlign w:val="bottom"/>
          </w:tcPr>
          <w:p w14:paraId="67A3C615">
            <w:pPr>
              <w:jc w:val="center"/>
              <w:rPr>
                <w:rFonts w:eastAsia="Times New Roman"/>
              </w:rPr>
            </w:pPr>
          </w:p>
        </w:tc>
        <w:tc>
          <w:tcPr>
            <w:tcW w:w="1134" w:type="dxa"/>
            <w:tcBorders>
              <w:top w:val="nil"/>
              <w:left w:val="nil"/>
              <w:bottom w:val="nil"/>
              <w:right w:val="nil"/>
            </w:tcBorders>
            <w:noWrap/>
            <w:vAlign w:val="bottom"/>
          </w:tcPr>
          <w:p w14:paraId="10F2F796">
            <w:pPr>
              <w:jc w:val="center"/>
              <w:rPr>
                <w:rFonts w:eastAsia="宋体"/>
                <w:sz w:val="18"/>
                <w:szCs w:val="18"/>
              </w:rPr>
            </w:pPr>
            <w:r>
              <w:rPr>
                <w:rFonts w:eastAsia="宋体"/>
                <w:sz w:val="18"/>
                <w:szCs w:val="18"/>
              </w:rPr>
              <w:t>Class B</w:t>
            </w:r>
          </w:p>
        </w:tc>
        <w:tc>
          <w:tcPr>
            <w:tcW w:w="1418" w:type="dxa"/>
            <w:tcBorders>
              <w:top w:val="nil"/>
              <w:left w:val="nil"/>
              <w:bottom w:val="nil"/>
              <w:right w:val="nil"/>
            </w:tcBorders>
            <w:noWrap/>
            <w:vAlign w:val="bottom"/>
          </w:tcPr>
          <w:p w14:paraId="5410F4CE">
            <w:pPr>
              <w:jc w:val="center"/>
              <w:rPr>
                <w:rFonts w:eastAsia="宋体"/>
                <w:sz w:val="18"/>
                <w:szCs w:val="18"/>
              </w:rPr>
            </w:pPr>
            <w:r>
              <w:rPr>
                <w:rFonts w:hint="eastAsia" w:eastAsia="宋体"/>
                <w:sz w:val="18"/>
                <w:szCs w:val="18"/>
              </w:rPr>
              <w:t>37</w:t>
            </w:r>
          </w:p>
        </w:tc>
        <w:tc>
          <w:tcPr>
            <w:tcW w:w="1275" w:type="dxa"/>
            <w:tcBorders>
              <w:top w:val="nil"/>
              <w:left w:val="nil"/>
              <w:bottom w:val="nil"/>
              <w:right w:val="nil"/>
            </w:tcBorders>
            <w:noWrap/>
            <w:vAlign w:val="bottom"/>
          </w:tcPr>
          <w:p w14:paraId="298C6F55">
            <w:pPr>
              <w:rPr>
                <w:rFonts w:eastAsia="宋体"/>
                <w:sz w:val="18"/>
                <w:szCs w:val="18"/>
              </w:rPr>
            </w:pPr>
            <w:r>
              <w:rPr>
                <w:rFonts w:eastAsia="宋体"/>
                <w:sz w:val="18"/>
                <w:szCs w:val="18"/>
              </w:rPr>
              <w:t>2</w:t>
            </w:r>
            <w:r>
              <w:rPr>
                <w:rFonts w:hint="eastAsia" w:eastAsia="宋体"/>
                <w:sz w:val="18"/>
                <w:szCs w:val="18"/>
              </w:rPr>
              <w:t>7</w:t>
            </w:r>
          </w:p>
        </w:tc>
        <w:tc>
          <w:tcPr>
            <w:tcW w:w="798" w:type="dxa"/>
            <w:tcBorders>
              <w:top w:val="nil"/>
              <w:left w:val="nil"/>
              <w:bottom w:val="nil"/>
              <w:right w:val="nil"/>
            </w:tcBorders>
            <w:noWrap/>
            <w:vAlign w:val="bottom"/>
          </w:tcPr>
          <w:p w14:paraId="0B97EA52">
            <w:pPr>
              <w:rPr>
                <w:rFonts w:eastAsia="宋体"/>
                <w:sz w:val="18"/>
                <w:szCs w:val="18"/>
              </w:rPr>
            </w:pPr>
          </w:p>
        </w:tc>
      </w:tr>
      <w:tr w14:paraId="19748552">
        <w:trPr>
          <w:gridAfter w:val="1"/>
          <w:wAfter w:w="236" w:type="dxa"/>
          <w:trHeight w:val="280" w:hRule="atLeast"/>
          <w:jc w:val="center"/>
        </w:trPr>
        <w:tc>
          <w:tcPr>
            <w:tcW w:w="1843" w:type="dxa"/>
            <w:tcBorders>
              <w:top w:val="nil"/>
              <w:bottom w:val="nil"/>
              <w:right w:val="nil"/>
            </w:tcBorders>
            <w:noWrap/>
            <w:vAlign w:val="bottom"/>
          </w:tcPr>
          <w:p w14:paraId="02233579">
            <w:pPr>
              <w:rPr>
                <w:rFonts w:eastAsia="宋体"/>
                <w:sz w:val="18"/>
                <w:szCs w:val="18"/>
              </w:rPr>
            </w:pPr>
            <w:r>
              <w:rPr>
                <w:rFonts w:eastAsia="宋体"/>
                <w:sz w:val="18"/>
                <w:szCs w:val="18"/>
              </w:rPr>
              <w:t>Tumor number</w:t>
            </w:r>
          </w:p>
        </w:tc>
        <w:tc>
          <w:tcPr>
            <w:tcW w:w="1134" w:type="dxa"/>
            <w:tcBorders>
              <w:top w:val="nil"/>
              <w:left w:val="nil"/>
              <w:bottom w:val="nil"/>
              <w:right w:val="nil"/>
            </w:tcBorders>
            <w:noWrap/>
            <w:vAlign w:val="bottom"/>
          </w:tcPr>
          <w:p w14:paraId="1BC70DD2">
            <w:pPr>
              <w:jc w:val="center"/>
              <w:rPr>
                <w:rFonts w:eastAsia="宋体"/>
                <w:sz w:val="18"/>
                <w:szCs w:val="18"/>
              </w:rPr>
            </w:pPr>
            <w:r>
              <w:rPr>
                <w:rFonts w:eastAsia="宋体"/>
                <w:sz w:val="18"/>
                <w:szCs w:val="18"/>
              </w:rPr>
              <w:t>single</w:t>
            </w:r>
          </w:p>
        </w:tc>
        <w:tc>
          <w:tcPr>
            <w:tcW w:w="1418" w:type="dxa"/>
            <w:tcBorders>
              <w:top w:val="nil"/>
              <w:left w:val="nil"/>
              <w:bottom w:val="nil"/>
              <w:right w:val="nil"/>
            </w:tcBorders>
            <w:noWrap/>
            <w:vAlign w:val="bottom"/>
          </w:tcPr>
          <w:p w14:paraId="3E69E0DF">
            <w:pPr>
              <w:jc w:val="center"/>
              <w:rPr>
                <w:rFonts w:eastAsia="宋体"/>
                <w:sz w:val="18"/>
                <w:szCs w:val="18"/>
              </w:rPr>
            </w:pPr>
            <w:r>
              <w:rPr>
                <w:rFonts w:eastAsia="宋体"/>
                <w:sz w:val="18"/>
                <w:szCs w:val="18"/>
              </w:rPr>
              <w:t>10</w:t>
            </w:r>
            <w:r>
              <w:rPr>
                <w:rFonts w:hint="eastAsia" w:eastAsia="宋体"/>
                <w:sz w:val="18"/>
                <w:szCs w:val="18"/>
              </w:rPr>
              <w:t>1</w:t>
            </w:r>
          </w:p>
        </w:tc>
        <w:tc>
          <w:tcPr>
            <w:tcW w:w="1275" w:type="dxa"/>
            <w:tcBorders>
              <w:top w:val="nil"/>
              <w:left w:val="nil"/>
              <w:bottom w:val="nil"/>
              <w:right w:val="nil"/>
            </w:tcBorders>
            <w:noWrap/>
            <w:vAlign w:val="bottom"/>
          </w:tcPr>
          <w:p w14:paraId="7EE4A299">
            <w:pPr>
              <w:rPr>
                <w:rFonts w:eastAsia="宋体"/>
                <w:sz w:val="18"/>
                <w:szCs w:val="18"/>
              </w:rPr>
            </w:pPr>
            <w:r>
              <w:rPr>
                <w:rFonts w:eastAsia="宋体"/>
                <w:sz w:val="18"/>
                <w:szCs w:val="18"/>
              </w:rPr>
              <w:t>5</w:t>
            </w:r>
            <w:r>
              <w:rPr>
                <w:rFonts w:hint="eastAsia" w:eastAsia="宋体"/>
                <w:sz w:val="18"/>
                <w:szCs w:val="18"/>
              </w:rPr>
              <w:t>3</w:t>
            </w:r>
          </w:p>
        </w:tc>
        <w:tc>
          <w:tcPr>
            <w:tcW w:w="798" w:type="dxa"/>
            <w:tcBorders>
              <w:top w:val="nil"/>
              <w:left w:val="nil"/>
              <w:bottom w:val="nil"/>
              <w:right w:val="nil"/>
            </w:tcBorders>
            <w:noWrap/>
            <w:vAlign w:val="bottom"/>
          </w:tcPr>
          <w:p w14:paraId="243ED4C0">
            <w:pPr>
              <w:rPr>
                <w:rFonts w:eastAsia="宋体"/>
                <w:sz w:val="18"/>
                <w:szCs w:val="18"/>
              </w:rPr>
            </w:pPr>
            <w:r>
              <w:rPr>
                <w:rFonts w:eastAsia="宋体"/>
                <w:sz w:val="18"/>
                <w:szCs w:val="18"/>
              </w:rPr>
              <w:t>0.00</w:t>
            </w:r>
            <w:r>
              <w:rPr>
                <w:rFonts w:hint="eastAsia" w:eastAsia="宋体"/>
                <w:sz w:val="18"/>
                <w:szCs w:val="18"/>
              </w:rPr>
              <w:t>3</w:t>
            </w:r>
          </w:p>
        </w:tc>
      </w:tr>
      <w:tr w14:paraId="01D57398">
        <w:trPr>
          <w:gridAfter w:val="1"/>
          <w:wAfter w:w="236" w:type="dxa"/>
          <w:trHeight w:val="280" w:hRule="atLeast"/>
          <w:jc w:val="center"/>
        </w:trPr>
        <w:tc>
          <w:tcPr>
            <w:tcW w:w="1843" w:type="dxa"/>
            <w:tcBorders>
              <w:top w:val="nil"/>
              <w:bottom w:val="nil"/>
              <w:right w:val="nil"/>
            </w:tcBorders>
            <w:noWrap/>
            <w:vAlign w:val="bottom"/>
          </w:tcPr>
          <w:p w14:paraId="262B5DC7">
            <w:pPr>
              <w:jc w:val="center"/>
              <w:rPr>
                <w:rFonts w:eastAsia="Times New Roman"/>
              </w:rPr>
            </w:pPr>
          </w:p>
        </w:tc>
        <w:tc>
          <w:tcPr>
            <w:tcW w:w="1134" w:type="dxa"/>
            <w:tcBorders>
              <w:top w:val="nil"/>
              <w:left w:val="nil"/>
              <w:bottom w:val="nil"/>
              <w:right w:val="nil"/>
            </w:tcBorders>
            <w:noWrap/>
            <w:vAlign w:val="bottom"/>
          </w:tcPr>
          <w:p w14:paraId="68B95D9A">
            <w:pPr>
              <w:jc w:val="center"/>
              <w:rPr>
                <w:rFonts w:eastAsia="宋体"/>
                <w:sz w:val="18"/>
                <w:szCs w:val="18"/>
              </w:rPr>
            </w:pPr>
            <w:r>
              <w:rPr>
                <w:rFonts w:eastAsia="宋体"/>
                <w:sz w:val="18"/>
                <w:szCs w:val="18"/>
              </w:rPr>
              <w:t>multiple</w:t>
            </w:r>
          </w:p>
        </w:tc>
        <w:tc>
          <w:tcPr>
            <w:tcW w:w="1418" w:type="dxa"/>
            <w:tcBorders>
              <w:top w:val="nil"/>
              <w:left w:val="nil"/>
              <w:bottom w:val="nil"/>
              <w:right w:val="nil"/>
            </w:tcBorders>
            <w:noWrap/>
            <w:vAlign w:val="bottom"/>
          </w:tcPr>
          <w:p w14:paraId="2A48D3A2">
            <w:pPr>
              <w:jc w:val="center"/>
              <w:rPr>
                <w:rFonts w:eastAsia="宋体"/>
                <w:sz w:val="18"/>
                <w:szCs w:val="18"/>
              </w:rPr>
            </w:pPr>
            <w:r>
              <w:rPr>
                <w:rFonts w:hint="eastAsia" w:eastAsia="宋体"/>
                <w:sz w:val="18"/>
                <w:szCs w:val="18"/>
              </w:rPr>
              <w:t>50</w:t>
            </w:r>
          </w:p>
        </w:tc>
        <w:tc>
          <w:tcPr>
            <w:tcW w:w="1275" w:type="dxa"/>
            <w:tcBorders>
              <w:top w:val="nil"/>
              <w:left w:val="nil"/>
              <w:bottom w:val="nil"/>
              <w:right w:val="nil"/>
            </w:tcBorders>
            <w:noWrap/>
            <w:vAlign w:val="bottom"/>
          </w:tcPr>
          <w:p w14:paraId="46EBBCE7">
            <w:pPr>
              <w:rPr>
                <w:rFonts w:eastAsia="宋体"/>
                <w:sz w:val="18"/>
                <w:szCs w:val="18"/>
              </w:rPr>
            </w:pPr>
            <w:r>
              <w:rPr>
                <w:rFonts w:hint="eastAsia" w:eastAsia="宋体"/>
                <w:sz w:val="18"/>
                <w:szCs w:val="18"/>
              </w:rPr>
              <w:t>56</w:t>
            </w:r>
          </w:p>
        </w:tc>
        <w:tc>
          <w:tcPr>
            <w:tcW w:w="798" w:type="dxa"/>
            <w:tcBorders>
              <w:top w:val="nil"/>
              <w:left w:val="nil"/>
              <w:bottom w:val="nil"/>
              <w:right w:val="nil"/>
            </w:tcBorders>
            <w:noWrap/>
            <w:vAlign w:val="bottom"/>
          </w:tcPr>
          <w:p w14:paraId="5CBAB598">
            <w:pPr>
              <w:rPr>
                <w:rFonts w:eastAsia="宋体"/>
                <w:sz w:val="18"/>
                <w:szCs w:val="18"/>
              </w:rPr>
            </w:pPr>
          </w:p>
        </w:tc>
      </w:tr>
      <w:tr w14:paraId="149C9E1B">
        <w:trPr>
          <w:gridAfter w:val="1"/>
          <w:wAfter w:w="236" w:type="dxa"/>
          <w:trHeight w:val="280" w:hRule="atLeast"/>
          <w:jc w:val="center"/>
        </w:trPr>
        <w:tc>
          <w:tcPr>
            <w:tcW w:w="1843" w:type="dxa"/>
            <w:tcBorders>
              <w:top w:val="nil"/>
              <w:bottom w:val="nil"/>
              <w:right w:val="nil"/>
            </w:tcBorders>
            <w:noWrap/>
            <w:vAlign w:val="bottom"/>
          </w:tcPr>
          <w:p w14:paraId="74C04CDB">
            <w:pPr>
              <w:rPr>
                <w:rFonts w:eastAsia="宋体"/>
                <w:sz w:val="18"/>
                <w:szCs w:val="18"/>
              </w:rPr>
            </w:pPr>
            <w:r>
              <w:rPr>
                <w:rFonts w:eastAsia="宋体"/>
                <w:sz w:val="18"/>
                <w:szCs w:val="18"/>
              </w:rPr>
              <w:t>Maximal tumor size</w:t>
            </w:r>
          </w:p>
        </w:tc>
        <w:tc>
          <w:tcPr>
            <w:tcW w:w="1134" w:type="dxa"/>
            <w:tcBorders>
              <w:top w:val="nil"/>
              <w:left w:val="nil"/>
              <w:bottom w:val="nil"/>
              <w:right w:val="nil"/>
            </w:tcBorders>
            <w:noWrap/>
            <w:vAlign w:val="bottom"/>
          </w:tcPr>
          <w:p w14:paraId="10516812">
            <w:pPr>
              <w:jc w:val="center"/>
              <w:rPr>
                <w:rFonts w:eastAsia="宋体"/>
                <w:sz w:val="18"/>
                <w:szCs w:val="18"/>
              </w:rPr>
            </w:pPr>
            <w:r>
              <w:rPr>
                <w:rFonts w:eastAsia="宋体"/>
                <w:sz w:val="18"/>
                <w:szCs w:val="18"/>
              </w:rPr>
              <w:t>≤5cm</w:t>
            </w:r>
          </w:p>
        </w:tc>
        <w:tc>
          <w:tcPr>
            <w:tcW w:w="1418" w:type="dxa"/>
            <w:tcBorders>
              <w:top w:val="nil"/>
              <w:left w:val="nil"/>
              <w:bottom w:val="nil"/>
              <w:right w:val="nil"/>
            </w:tcBorders>
            <w:noWrap/>
            <w:vAlign w:val="bottom"/>
          </w:tcPr>
          <w:p w14:paraId="1E124459">
            <w:pPr>
              <w:jc w:val="center"/>
              <w:rPr>
                <w:rFonts w:eastAsia="宋体"/>
                <w:sz w:val="18"/>
                <w:szCs w:val="18"/>
              </w:rPr>
            </w:pPr>
            <w:r>
              <w:rPr>
                <w:rFonts w:eastAsia="宋体"/>
                <w:sz w:val="18"/>
                <w:szCs w:val="18"/>
              </w:rPr>
              <w:t>6</w:t>
            </w:r>
            <w:r>
              <w:rPr>
                <w:rFonts w:hint="eastAsia" w:eastAsia="宋体"/>
                <w:sz w:val="18"/>
                <w:szCs w:val="18"/>
              </w:rPr>
              <w:t>7</w:t>
            </w:r>
          </w:p>
        </w:tc>
        <w:tc>
          <w:tcPr>
            <w:tcW w:w="1275" w:type="dxa"/>
            <w:tcBorders>
              <w:top w:val="nil"/>
              <w:left w:val="nil"/>
              <w:bottom w:val="nil"/>
              <w:right w:val="nil"/>
            </w:tcBorders>
            <w:noWrap/>
            <w:vAlign w:val="bottom"/>
          </w:tcPr>
          <w:p w14:paraId="3DD4BA96">
            <w:pPr>
              <w:rPr>
                <w:rFonts w:eastAsia="宋体"/>
                <w:sz w:val="18"/>
                <w:szCs w:val="18"/>
              </w:rPr>
            </w:pPr>
            <w:r>
              <w:rPr>
                <w:rFonts w:eastAsia="宋体"/>
                <w:sz w:val="18"/>
                <w:szCs w:val="18"/>
              </w:rPr>
              <w:t>4</w:t>
            </w:r>
            <w:r>
              <w:rPr>
                <w:rFonts w:hint="eastAsia" w:eastAsia="宋体"/>
                <w:sz w:val="18"/>
                <w:szCs w:val="18"/>
              </w:rPr>
              <w:t>1</w:t>
            </w:r>
          </w:p>
        </w:tc>
        <w:tc>
          <w:tcPr>
            <w:tcW w:w="798" w:type="dxa"/>
            <w:tcBorders>
              <w:top w:val="nil"/>
              <w:left w:val="nil"/>
              <w:bottom w:val="nil"/>
              <w:right w:val="nil"/>
            </w:tcBorders>
            <w:noWrap/>
            <w:vAlign w:val="bottom"/>
          </w:tcPr>
          <w:p w14:paraId="2506E56F">
            <w:pPr>
              <w:rPr>
                <w:rFonts w:eastAsia="宋体"/>
                <w:sz w:val="18"/>
                <w:szCs w:val="18"/>
              </w:rPr>
            </w:pPr>
            <w:r>
              <w:rPr>
                <w:rFonts w:hint="eastAsia" w:eastAsia="宋体"/>
                <w:sz w:val="18"/>
                <w:szCs w:val="18"/>
              </w:rPr>
              <w:t>0</w:t>
            </w:r>
            <w:r>
              <w:rPr>
                <w:rFonts w:eastAsia="宋体"/>
                <w:sz w:val="18"/>
                <w:szCs w:val="18"/>
              </w:rPr>
              <w:t>.</w:t>
            </w:r>
            <w:r>
              <w:rPr>
                <w:rFonts w:hint="eastAsia" w:eastAsia="宋体"/>
                <w:sz w:val="18"/>
                <w:szCs w:val="18"/>
              </w:rPr>
              <w:t>308</w:t>
            </w:r>
          </w:p>
        </w:tc>
      </w:tr>
      <w:tr w14:paraId="47593260">
        <w:trPr>
          <w:gridAfter w:val="1"/>
          <w:wAfter w:w="236" w:type="dxa"/>
          <w:trHeight w:val="280" w:hRule="atLeast"/>
          <w:jc w:val="center"/>
        </w:trPr>
        <w:tc>
          <w:tcPr>
            <w:tcW w:w="1843" w:type="dxa"/>
            <w:tcBorders>
              <w:top w:val="nil"/>
              <w:bottom w:val="nil"/>
              <w:right w:val="nil"/>
            </w:tcBorders>
            <w:noWrap/>
            <w:vAlign w:val="bottom"/>
          </w:tcPr>
          <w:p w14:paraId="576A2FEC">
            <w:pPr>
              <w:jc w:val="center"/>
              <w:rPr>
                <w:rFonts w:eastAsia="Times New Roman"/>
              </w:rPr>
            </w:pPr>
          </w:p>
        </w:tc>
        <w:tc>
          <w:tcPr>
            <w:tcW w:w="1134" w:type="dxa"/>
            <w:tcBorders>
              <w:top w:val="nil"/>
              <w:left w:val="nil"/>
              <w:bottom w:val="nil"/>
              <w:right w:val="nil"/>
            </w:tcBorders>
            <w:noWrap/>
            <w:vAlign w:val="bottom"/>
          </w:tcPr>
          <w:p w14:paraId="1FBD60D4">
            <w:pPr>
              <w:jc w:val="center"/>
              <w:rPr>
                <w:rFonts w:eastAsia="宋体"/>
                <w:sz w:val="18"/>
                <w:szCs w:val="18"/>
              </w:rPr>
            </w:pPr>
            <w:r>
              <w:rPr>
                <w:rFonts w:eastAsia="宋体"/>
                <w:sz w:val="18"/>
                <w:szCs w:val="18"/>
              </w:rPr>
              <w:t>&gt;5cm</w:t>
            </w:r>
          </w:p>
        </w:tc>
        <w:tc>
          <w:tcPr>
            <w:tcW w:w="1418" w:type="dxa"/>
            <w:tcBorders>
              <w:top w:val="nil"/>
              <w:left w:val="nil"/>
              <w:bottom w:val="nil"/>
              <w:right w:val="nil"/>
            </w:tcBorders>
            <w:noWrap/>
            <w:vAlign w:val="bottom"/>
          </w:tcPr>
          <w:p w14:paraId="3F3874AA">
            <w:pPr>
              <w:jc w:val="center"/>
              <w:rPr>
                <w:rFonts w:eastAsia="宋体"/>
                <w:sz w:val="18"/>
                <w:szCs w:val="18"/>
              </w:rPr>
            </w:pPr>
            <w:r>
              <w:rPr>
                <w:rFonts w:hint="eastAsia" w:eastAsia="宋体"/>
                <w:sz w:val="18"/>
                <w:szCs w:val="18"/>
              </w:rPr>
              <w:t>84</w:t>
            </w:r>
          </w:p>
        </w:tc>
        <w:tc>
          <w:tcPr>
            <w:tcW w:w="1275" w:type="dxa"/>
            <w:tcBorders>
              <w:top w:val="nil"/>
              <w:left w:val="nil"/>
              <w:bottom w:val="nil"/>
              <w:right w:val="nil"/>
            </w:tcBorders>
            <w:noWrap/>
            <w:vAlign w:val="bottom"/>
          </w:tcPr>
          <w:p w14:paraId="73E07AD1">
            <w:pPr>
              <w:rPr>
                <w:rFonts w:eastAsia="宋体"/>
                <w:sz w:val="18"/>
                <w:szCs w:val="18"/>
              </w:rPr>
            </w:pPr>
            <w:r>
              <w:rPr>
                <w:rFonts w:hint="eastAsia" w:eastAsia="宋体"/>
                <w:sz w:val="18"/>
                <w:szCs w:val="18"/>
              </w:rPr>
              <w:t>68</w:t>
            </w:r>
          </w:p>
        </w:tc>
        <w:tc>
          <w:tcPr>
            <w:tcW w:w="798" w:type="dxa"/>
            <w:tcBorders>
              <w:top w:val="nil"/>
              <w:left w:val="nil"/>
              <w:bottom w:val="nil"/>
              <w:right w:val="nil"/>
            </w:tcBorders>
            <w:noWrap/>
            <w:vAlign w:val="bottom"/>
          </w:tcPr>
          <w:p w14:paraId="05D494B2">
            <w:pPr>
              <w:rPr>
                <w:rFonts w:eastAsia="宋体"/>
                <w:sz w:val="18"/>
                <w:szCs w:val="18"/>
              </w:rPr>
            </w:pPr>
          </w:p>
        </w:tc>
      </w:tr>
      <w:tr w14:paraId="60FF6D1B">
        <w:trPr>
          <w:gridAfter w:val="1"/>
          <w:wAfter w:w="236" w:type="dxa"/>
          <w:trHeight w:val="280" w:hRule="atLeast"/>
          <w:jc w:val="center"/>
        </w:trPr>
        <w:tc>
          <w:tcPr>
            <w:tcW w:w="1843" w:type="dxa"/>
            <w:tcBorders>
              <w:top w:val="nil"/>
              <w:bottom w:val="nil"/>
              <w:right w:val="nil"/>
            </w:tcBorders>
            <w:noWrap/>
            <w:vAlign w:val="bottom"/>
          </w:tcPr>
          <w:p w14:paraId="43EE722E">
            <w:pPr>
              <w:rPr>
                <w:rFonts w:eastAsia="宋体"/>
                <w:sz w:val="18"/>
                <w:szCs w:val="18"/>
              </w:rPr>
            </w:pPr>
            <w:r>
              <w:rPr>
                <w:rFonts w:eastAsia="宋体"/>
                <w:sz w:val="18"/>
                <w:szCs w:val="18"/>
              </w:rPr>
              <w:t>Tumor encapsulation</w:t>
            </w:r>
          </w:p>
        </w:tc>
        <w:tc>
          <w:tcPr>
            <w:tcW w:w="1134" w:type="dxa"/>
            <w:tcBorders>
              <w:top w:val="nil"/>
              <w:left w:val="nil"/>
              <w:bottom w:val="nil"/>
              <w:right w:val="nil"/>
            </w:tcBorders>
            <w:noWrap/>
            <w:vAlign w:val="bottom"/>
          </w:tcPr>
          <w:p w14:paraId="2D9F185E">
            <w:pPr>
              <w:jc w:val="center"/>
              <w:rPr>
                <w:rFonts w:eastAsia="宋体"/>
                <w:sz w:val="18"/>
                <w:szCs w:val="18"/>
              </w:rPr>
            </w:pPr>
            <w:r>
              <w:rPr>
                <w:rFonts w:eastAsia="宋体"/>
                <w:sz w:val="18"/>
                <w:szCs w:val="18"/>
              </w:rPr>
              <w:t>present</w:t>
            </w:r>
          </w:p>
        </w:tc>
        <w:tc>
          <w:tcPr>
            <w:tcW w:w="1418" w:type="dxa"/>
            <w:tcBorders>
              <w:top w:val="nil"/>
              <w:left w:val="nil"/>
              <w:bottom w:val="nil"/>
              <w:right w:val="nil"/>
            </w:tcBorders>
            <w:noWrap/>
            <w:vAlign w:val="bottom"/>
          </w:tcPr>
          <w:p w14:paraId="4B7696D4">
            <w:pPr>
              <w:jc w:val="center"/>
              <w:rPr>
                <w:rFonts w:eastAsia="宋体"/>
                <w:sz w:val="18"/>
                <w:szCs w:val="18"/>
              </w:rPr>
            </w:pPr>
            <w:r>
              <w:rPr>
                <w:rFonts w:eastAsia="宋体"/>
                <w:sz w:val="18"/>
                <w:szCs w:val="18"/>
              </w:rPr>
              <w:t>10</w:t>
            </w:r>
            <w:r>
              <w:rPr>
                <w:rFonts w:hint="eastAsia" w:eastAsia="宋体"/>
                <w:sz w:val="18"/>
                <w:szCs w:val="18"/>
              </w:rPr>
              <w:t>7</w:t>
            </w:r>
          </w:p>
        </w:tc>
        <w:tc>
          <w:tcPr>
            <w:tcW w:w="1275" w:type="dxa"/>
            <w:tcBorders>
              <w:top w:val="nil"/>
              <w:left w:val="nil"/>
              <w:bottom w:val="nil"/>
              <w:right w:val="nil"/>
            </w:tcBorders>
            <w:noWrap/>
            <w:vAlign w:val="bottom"/>
          </w:tcPr>
          <w:p w14:paraId="1F852433">
            <w:pPr>
              <w:rPr>
                <w:rFonts w:eastAsia="宋体"/>
                <w:sz w:val="18"/>
                <w:szCs w:val="18"/>
              </w:rPr>
            </w:pPr>
            <w:r>
              <w:rPr>
                <w:rFonts w:hint="eastAsia" w:eastAsia="宋体"/>
                <w:sz w:val="18"/>
                <w:szCs w:val="18"/>
              </w:rPr>
              <w:t>38</w:t>
            </w:r>
          </w:p>
        </w:tc>
        <w:tc>
          <w:tcPr>
            <w:tcW w:w="798" w:type="dxa"/>
            <w:tcBorders>
              <w:top w:val="nil"/>
              <w:left w:val="nil"/>
              <w:bottom w:val="nil"/>
              <w:right w:val="nil"/>
            </w:tcBorders>
            <w:noWrap/>
            <w:vAlign w:val="bottom"/>
          </w:tcPr>
          <w:p w14:paraId="51CA828E">
            <w:pPr>
              <w:rPr>
                <w:rFonts w:eastAsia="宋体"/>
                <w:sz w:val="18"/>
                <w:szCs w:val="18"/>
              </w:rPr>
            </w:pPr>
            <w:r>
              <w:rPr>
                <w:rFonts w:hint="eastAsia" w:eastAsia="宋体"/>
                <w:sz w:val="18"/>
                <w:szCs w:val="18"/>
              </w:rPr>
              <w:t>&lt;</w:t>
            </w:r>
            <w:r>
              <w:rPr>
                <w:rFonts w:eastAsia="宋体"/>
                <w:sz w:val="18"/>
                <w:szCs w:val="18"/>
              </w:rPr>
              <w:t>0.001</w:t>
            </w:r>
          </w:p>
        </w:tc>
      </w:tr>
      <w:tr w14:paraId="71CDAA57">
        <w:trPr>
          <w:gridAfter w:val="1"/>
          <w:wAfter w:w="236" w:type="dxa"/>
          <w:trHeight w:val="280" w:hRule="atLeast"/>
          <w:jc w:val="center"/>
        </w:trPr>
        <w:tc>
          <w:tcPr>
            <w:tcW w:w="1843" w:type="dxa"/>
            <w:tcBorders>
              <w:top w:val="nil"/>
              <w:bottom w:val="nil"/>
              <w:right w:val="nil"/>
            </w:tcBorders>
            <w:noWrap/>
            <w:vAlign w:val="bottom"/>
          </w:tcPr>
          <w:p w14:paraId="420997C0">
            <w:pPr>
              <w:jc w:val="center"/>
              <w:rPr>
                <w:rFonts w:eastAsia="Times New Roman"/>
              </w:rPr>
            </w:pPr>
          </w:p>
        </w:tc>
        <w:tc>
          <w:tcPr>
            <w:tcW w:w="1134" w:type="dxa"/>
            <w:tcBorders>
              <w:top w:val="nil"/>
              <w:left w:val="nil"/>
              <w:bottom w:val="nil"/>
              <w:right w:val="nil"/>
            </w:tcBorders>
            <w:noWrap/>
            <w:vAlign w:val="bottom"/>
          </w:tcPr>
          <w:p w14:paraId="050F6CA8">
            <w:pPr>
              <w:jc w:val="center"/>
              <w:rPr>
                <w:rFonts w:eastAsia="宋体"/>
                <w:sz w:val="18"/>
                <w:szCs w:val="18"/>
              </w:rPr>
            </w:pPr>
            <w:r>
              <w:rPr>
                <w:rFonts w:eastAsia="宋体"/>
                <w:sz w:val="18"/>
                <w:szCs w:val="18"/>
              </w:rPr>
              <w:t>absent</w:t>
            </w:r>
          </w:p>
        </w:tc>
        <w:tc>
          <w:tcPr>
            <w:tcW w:w="1418" w:type="dxa"/>
            <w:tcBorders>
              <w:top w:val="nil"/>
              <w:left w:val="nil"/>
              <w:bottom w:val="nil"/>
              <w:right w:val="nil"/>
            </w:tcBorders>
            <w:noWrap/>
            <w:vAlign w:val="bottom"/>
          </w:tcPr>
          <w:p w14:paraId="3BC81C95">
            <w:pPr>
              <w:jc w:val="center"/>
              <w:rPr>
                <w:rFonts w:eastAsia="宋体"/>
                <w:sz w:val="18"/>
                <w:szCs w:val="18"/>
              </w:rPr>
            </w:pPr>
            <w:r>
              <w:rPr>
                <w:rFonts w:eastAsia="宋体"/>
                <w:sz w:val="18"/>
                <w:szCs w:val="18"/>
              </w:rPr>
              <w:t>44</w:t>
            </w:r>
          </w:p>
        </w:tc>
        <w:tc>
          <w:tcPr>
            <w:tcW w:w="1275" w:type="dxa"/>
            <w:tcBorders>
              <w:top w:val="nil"/>
              <w:left w:val="nil"/>
              <w:bottom w:val="nil"/>
              <w:right w:val="nil"/>
            </w:tcBorders>
            <w:noWrap/>
            <w:vAlign w:val="bottom"/>
          </w:tcPr>
          <w:p w14:paraId="06FD58C6">
            <w:pPr>
              <w:rPr>
                <w:rFonts w:eastAsia="宋体"/>
                <w:sz w:val="18"/>
                <w:szCs w:val="18"/>
              </w:rPr>
            </w:pPr>
            <w:r>
              <w:rPr>
                <w:rFonts w:eastAsia="宋体"/>
                <w:sz w:val="18"/>
                <w:szCs w:val="18"/>
              </w:rPr>
              <w:t>71</w:t>
            </w:r>
          </w:p>
        </w:tc>
        <w:tc>
          <w:tcPr>
            <w:tcW w:w="798" w:type="dxa"/>
            <w:tcBorders>
              <w:top w:val="nil"/>
              <w:left w:val="nil"/>
              <w:bottom w:val="nil"/>
              <w:right w:val="nil"/>
            </w:tcBorders>
            <w:noWrap/>
            <w:vAlign w:val="bottom"/>
          </w:tcPr>
          <w:p w14:paraId="404352D6">
            <w:pPr>
              <w:rPr>
                <w:rFonts w:eastAsia="宋体"/>
                <w:sz w:val="18"/>
                <w:szCs w:val="18"/>
              </w:rPr>
            </w:pPr>
          </w:p>
        </w:tc>
      </w:tr>
      <w:tr w14:paraId="63FF8CD4">
        <w:trPr>
          <w:gridAfter w:val="1"/>
          <w:wAfter w:w="236" w:type="dxa"/>
          <w:trHeight w:val="280" w:hRule="atLeast"/>
          <w:jc w:val="center"/>
        </w:trPr>
        <w:tc>
          <w:tcPr>
            <w:tcW w:w="1843" w:type="dxa"/>
            <w:tcBorders>
              <w:top w:val="nil"/>
              <w:bottom w:val="nil"/>
              <w:right w:val="nil"/>
            </w:tcBorders>
            <w:noWrap/>
            <w:vAlign w:val="bottom"/>
          </w:tcPr>
          <w:p w14:paraId="7A0CBA32">
            <w:pPr>
              <w:rPr>
                <w:rFonts w:eastAsia="宋体"/>
                <w:sz w:val="18"/>
                <w:szCs w:val="18"/>
              </w:rPr>
            </w:pPr>
            <w:r>
              <w:rPr>
                <w:rFonts w:eastAsia="宋体"/>
                <w:sz w:val="18"/>
                <w:szCs w:val="18"/>
              </w:rPr>
              <w:t>Microvascular invasion</w:t>
            </w:r>
          </w:p>
        </w:tc>
        <w:tc>
          <w:tcPr>
            <w:tcW w:w="1134" w:type="dxa"/>
            <w:tcBorders>
              <w:top w:val="nil"/>
              <w:left w:val="nil"/>
              <w:bottom w:val="nil"/>
              <w:right w:val="nil"/>
            </w:tcBorders>
            <w:noWrap/>
            <w:vAlign w:val="bottom"/>
          </w:tcPr>
          <w:p w14:paraId="55501443">
            <w:pPr>
              <w:jc w:val="center"/>
              <w:rPr>
                <w:rFonts w:eastAsia="宋体"/>
                <w:sz w:val="18"/>
                <w:szCs w:val="18"/>
              </w:rPr>
            </w:pPr>
            <w:r>
              <w:rPr>
                <w:rFonts w:eastAsia="宋体"/>
                <w:sz w:val="18"/>
                <w:szCs w:val="18"/>
              </w:rPr>
              <w:t>absent</w:t>
            </w:r>
          </w:p>
        </w:tc>
        <w:tc>
          <w:tcPr>
            <w:tcW w:w="1418" w:type="dxa"/>
            <w:tcBorders>
              <w:top w:val="nil"/>
              <w:left w:val="nil"/>
              <w:bottom w:val="nil"/>
              <w:right w:val="nil"/>
            </w:tcBorders>
            <w:noWrap/>
            <w:vAlign w:val="bottom"/>
          </w:tcPr>
          <w:p w14:paraId="7C26312B">
            <w:pPr>
              <w:jc w:val="center"/>
              <w:rPr>
                <w:rFonts w:eastAsia="宋体"/>
                <w:sz w:val="18"/>
                <w:szCs w:val="18"/>
              </w:rPr>
            </w:pPr>
            <w:r>
              <w:rPr>
                <w:rFonts w:eastAsia="宋体"/>
                <w:sz w:val="18"/>
                <w:szCs w:val="18"/>
              </w:rPr>
              <w:t>1</w:t>
            </w:r>
            <w:r>
              <w:rPr>
                <w:rFonts w:hint="eastAsia" w:eastAsia="宋体"/>
                <w:sz w:val="18"/>
                <w:szCs w:val="18"/>
              </w:rPr>
              <w:t>03</w:t>
            </w:r>
          </w:p>
        </w:tc>
        <w:tc>
          <w:tcPr>
            <w:tcW w:w="1275" w:type="dxa"/>
            <w:tcBorders>
              <w:top w:val="nil"/>
              <w:left w:val="nil"/>
              <w:bottom w:val="nil"/>
              <w:right w:val="nil"/>
            </w:tcBorders>
            <w:noWrap/>
            <w:vAlign w:val="bottom"/>
          </w:tcPr>
          <w:p w14:paraId="60392EDD">
            <w:pPr>
              <w:rPr>
                <w:rFonts w:eastAsia="宋体"/>
                <w:sz w:val="18"/>
                <w:szCs w:val="18"/>
              </w:rPr>
            </w:pPr>
            <w:r>
              <w:rPr>
                <w:rFonts w:hint="eastAsia" w:eastAsia="宋体"/>
                <w:sz w:val="18"/>
                <w:szCs w:val="18"/>
              </w:rPr>
              <w:t>39</w:t>
            </w:r>
          </w:p>
        </w:tc>
        <w:tc>
          <w:tcPr>
            <w:tcW w:w="798" w:type="dxa"/>
            <w:tcBorders>
              <w:top w:val="nil"/>
              <w:left w:val="nil"/>
              <w:bottom w:val="nil"/>
              <w:right w:val="nil"/>
            </w:tcBorders>
            <w:noWrap/>
            <w:vAlign w:val="bottom"/>
          </w:tcPr>
          <w:p w14:paraId="0CC7B1E0">
            <w:pPr>
              <w:rPr>
                <w:rFonts w:eastAsia="宋体"/>
                <w:sz w:val="18"/>
                <w:szCs w:val="18"/>
              </w:rPr>
            </w:pPr>
            <w:r>
              <w:rPr>
                <w:rFonts w:hint="eastAsia" w:eastAsia="宋体"/>
                <w:sz w:val="18"/>
                <w:szCs w:val="18"/>
              </w:rPr>
              <w:t>&lt;</w:t>
            </w:r>
            <w:r>
              <w:rPr>
                <w:rFonts w:eastAsia="宋体"/>
                <w:sz w:val="18"/>
                <w:szCs w:val="18"/>
              </w:rPr>
              <w:t>0.001</w:t>
            </w:r>
          </w:p>
        </w:tc>
      </w:tr>
      <w:tr w14:paraId="1DD20850">
        <w:trPr>
          <w:trHeight w:val="280" w:hRule="atLeast"/>
          <w:jc w:val="center"/>
        </w:trPr>
        <w:tc>
          <w:tcPr>
            <w:tcW w:w="1843" w:type="dxa"/>
            <w:tcBorders>
              <w:top w:val="nil"/>
              <w:bottom w:val="nil"/>
              <w:right w:val="nil"/>
            </w:tcBorders>
            <w:noWrap/>
            <w:vAlign w:val="bottom"/>
          </w:tcPr>
          <w:p w14:paraId="5DCA9288">
            <w:pPr>
              <w:jc w:val="center"/>
              <w:rPr>
                <w:rFonts w:eastAsia="Times New Roman"/>
              </w:rPr>
            </w:pPr>
          </w:p>
        </w:tc>
        <w:tc>
          <w:tcPr>
            <w:tcW w:w="1134" w:type="dxa"/>
            <w:tcBorders>
              <w:top w:val="nil"/>
              <w:left w:val="nil"/>
              <w:bottom w:val="nil"/>
              <w:right w:val="nil"/>
            </w:tcBorders>
            <w:noWrap/>
            <w:vAlign w:val="bottom"/>
          </w:tcPr>
          <w:p w14:paraId="3F644C5D">
            <w:pPr>
              <w:jc w:val="center"/>
              <w:rPr>
                <w:rFonts w:eastAsia="宋体"/>
                <w:sz w:val="18"/>
                <w:szCs w:val="18"/>
              </w:rPr>
            </w:pPr>
            <w:r>
              <w:rPr>
                <w:rFonts w:eastAsia="宋体"/>
                <w:sz w:val="18"/>
                <w:szCs w:val="18"/>
              </w:rPr>
              <w:t>present</w:t>
            </w:r>
          </w:p>
        </w:tc>
        <w:tc>
          <w:tcPr>
            <w:tcW w:w="1418" w:type="dxa"/>
            <w:tcBorders>
              <w:top w:val="nil"/>
              <w:left w:val="nil"/>
              <w:bottom w:val="nil"/>
              <w:right w:val="nil"/>
            </w:tcBorders>
            <w:noWrap/>
            <w:vAlign w:val="bottom"/>
          </w:tcPr>
          <w:p w14:paraId="05D26747">
            <w:pPr>
              <w:jc w:val="center"/>
              <w:rPr>
                <w:rFonts w:eastAsia="宋体"/>
                <w:sz w:val="18"/>
                <w:szCs w:val="18"/>
              </w:rPr>
            </w:pPr>
            <w:r>
              <w:rPr>
                <w:rFonts w:eastAsia="宋体"/>
                <w:sz w:val="18"/>
                <w:szCs w:val="18"/>
              </w:rPr>
              <w:t>4</w:t>
            </w:r>
            <w:r>
              <w:rPr>
                <w:rFonts w:hint="eastAsia" w:eastAsia="宋体"/>
                <w:sz w:val="18"/>
                <w:szCs w:val="18"/>
              </w:rPr>
              <w:t>8</w:t>
            </w:r>
          </w:p>
        </w:tc>
        <w:tc>
          <w:tcPr>
            <w:tcW w:w="1275" w:type="dxa"/>
            <w:tcBorders>
              <w:top w:val="nil"/>
              <w:left w:val="nil"/>
              <w:bottom w:val="nil"/>
              <w:right w:val="nil"/>
            </w:tcBorders>
            <w:noWrap/>
            <w:vAlign w:val="bottom"/>
          </w:tcPr>
          <w:p w14:paraId="73D0B9F3">
            <w:r>
              <w:rPr>
                <w:rFonts w:eastAsia="宋体"/>
                <w:sz w:val="18"/>
                <w:szCs w:val="18"/>
              </w:rPr>
              <w:t>7</w:t>
            </w:r>
            <w:r>
              <w:rPr>
                <w:rFonts w:hint="eastAsia" w:eastAsia="宋体"/>
                <w:sz w:val="18"/>
                <w:szCs w:val="18"/>
              </w:rPr>
              <w:t>0</w:t>
            </w:r>
          </w:p>
        </w:tc>
        <w:tc>
          <w:tcPr>
            <w:tcW w:w="798" w:type="dxa"/>
            <w:tcBorders>
              <w:top w:val="nil"/>
              <w:left w:val="nil"/>
              <w:bottom w:val="nil"/>
              <w:right w:val="nil"/>
            </w:tcBorders>
            <w:noWrap/>
            <w:vAlign w:val="bottom"/>
          </w:tcPr>
          <w:p w14:paraId="297A9118">
            <w:pPr>
              <w:jc w:val="center"/>
              <w:rPr>
                <w:rFonts w:eastAsia="Times New Roman"/>
              </w:rPr>
            </w:pPr>
          </w:p>
        </w:tc>
        <w:tc>
          <w:tcPr>
            <w:tcW w:w="236" w:type="dxa"/>
            <w:tcBorders>
              <w:top w:val="nil"/>
              <w:left w:val="nil"/>
              <w:bottom w:val="nil"/>
              <w:right w:val="nil"/>
            </w:tcBorders>
            <w:noWrap/>
            <w:vAlign w:val="bottom"/>
          </w:tcPr>
          <w:p w14:paraId="5E1D1C42">
            <w:pPr>
              <w:jc w:val="center"/>
              <w:rPr>
                <w:rFonts w:eastAsia="Times New Roman"/>
              </w:rPr>
            </w:pPr>
          </w:p>
        </w:tc>
      </w:tr>
      <w:tr w14:paraId="4ABBC641">
        <w:trPr>
          <w:trHeight w:val="280" w:hRule="atLeast"/>
          <w:jc w:val="center"/>
        </w:trPr>
        <w:tc>
          <w:tcPr>
            <w:tcW w:w="1843" w:type="dxa"/>
            <w:tcBorders>
              <w:top w:val="nil"/>
              <w:bottom w:val="nil"/>
              <w:right w:val="nil"/>
            </w:tcBorders>
            <w:noWrap/>
            <w:vAlign w:val="bottom"/>
          </w:tcPr>
          <w:p w14:paraId="1D95B3F7">
            <w:pPr>
              <w:rPr>
                <w:rFonts w:eastAsia="宋体"/>
                <w:sz w:val="18"/>
                <w:szCs w:val="18"/>
              </w:rPr>
            </w:pPr>
            <w:r>
              <w:rPr>
                <w:rFonts w:eastAsia="宋体"/>
                <w:sz w:val="18"/>
                <w:szCs w:val="18"/>
              </w:rPr>
              <w:t>Tumor differentiation</w:t>
            </w:r>
          </w:p>
        </w:tc>
        <w:tc>
          <w:tcPr>
            <w:tcW w:w="1134" w:type="dxa"/>
            <w:tcBorders>
              <w:top w:val="nil"/>
              <w:left w:val="nil"/>
              <w:bottom w:val="nil"/>
              <w:right w:val="nil"/>
            </w:tcBorders>
            <w:noWrap/>
            <w:vAlign w:val="bottom"/>
          </w:tcPr>
          <w:p w14:paraId="1325C879">
            <w:pPr>
              <w:jc w:val="center"/>
              <w:rPr>
                <w:rFonts w:eastAsia="宋体"/>
                <w:sz w:val="18"/>
                <w:szCs w:val="18"/>
              </w:rPr>
            </w:pPr>
            <w:r>
              <w:rPr>
                <w:rFonts w:eastAsia="宋体"/>
                <w:sz w:val="18"/>
                <w:szCs w:val="18"/>
              </w:rPr>
              <w:t>I-II</w:t>
            </w:r>
          </w:p>
        </w:tc>
        <w:tc>
          <w:tcPr>
            <w:tcW w:w="1418" w:type="dxa"/>
            <w:tcBorders>
              <w:top w:val="nil"/>
              <w:left w:val="nil"/>
              <w:bottom w:val="nil"/>
              <w:right w:val="nil"/>
            </w:tcBorders>
            <w:noWrap/>
            <w:vAlign w:val="bottom"/>
          </w:tcPr>
          <w:p w14:paraId="2B889736">
            <w:pPr>
              <w:jc w:val="center"/>
              <w:rPr>
                <w:rFonts w:eastAsia="宋体"/>
                <w:sz w:val="18"/>
                <w:szCs w:val="18"/>
              </w:rPr>
            </w:pPr>
            <w:r>
              <w:rPr>
                <w:rFonts w:hint="eastAsia" w:eastAsia="宋体"/>
                <w:sz w:val="18"/>
                <w:szCs w:val="18"/>
              </w:rPr>
              <w:t>135</w:t>
            </w:r>
          </w:p>
        </w:tc>
        <w:tc>
          <w:tcPr>
            <w:tcW w:w="1275" w:type="dxa"/>
            <w:tcBorders>
              <w:top w:val="nil"/>
              <w:left w:val="nil"/>
              <w:bottom w:val="nil"/>
              <w:right w:val="nil"/>
            </w:tcBorders>
            <w:noWrap/>
            <w:vAlign w:val="bottom"/>
          </w:tcPr>
          <w:p w14:paraId="321DB082">
            <w:r>
              <w:rPr>
                <w:rFonts w:eastAsia="宋体"/>
                <w:sz w:val="18"/>
                <w:szCs w:val="18"/>
              </w:rPr>
              <w:t>7</w:t>
            </w:r>
            <w:r>
              <w:rPr>
                <w:rFonts w:hint="eastAsia" w:eastAsia="宋体"/>
                <w:sz w:val="18"/>
                <w:szCs w:val="18"/>
              </w:rPr>
              <w:t>1</w:t>
            </w:r>
          </w:p>
        </w:tc>
        <w:tc>
          <w:tcPr>
            <w:tcW w:w="798" w:type="dxa"/>
            <w:tcBorders>
              <w:top w:val="nil"/>
              <w:left w:val="nil"/>
              <w:bottom w:val="nil"/>
              <w:right w:val="nil"/>
            </w:tcBorders>
            <w:noWrap/>
            <w:vAlign w:val="bottom"/>
          </w:tcPr>
          <w:p w14:paraId="3809466A">
            <w:pPr>
              <w:jc w:val="center"/>
              <w:rPr>
                <w:rFonts w:eastAsia="Times New Roman"/>
              </w:rPr>
            </w:pPr>
            <w:r>
              <w:rPr>
                <w:rFonts w:hint="eastAsia" w:eastAsia="宋体"/>
                <w:sz w:val="18"/>
                <w:szCs w:val="18"/>
              </w:rPr>
              <w:t>&lt;</w:t>
            </w:r>
            <w:r>
              <w:rPr>
                <w:rFonts w:eastAsia="宋体"/>
                <w:sz w:val="18"/>
                <w:szCs w:val="18"/>
              </w:rPr>
              <w:t>0.001</w:t>
            </w:r>
          </w:p>
        </w:tc>
        <w:tc>
          <w:tcPr>
            <w:tcW w:w="236" w:type="dxa"/>
            <w:tcBorders>
              <w:top w:val="nil"/>
              <w:left w:val="nil"/>
              <w:bottom w:val="nil"/>
              <w:right w:val="nil"/>
            </w:tcBorders>
            <w:noWrap/>
            <w:vAlign w:val="bottom"/>
          </w:tcPr>
          <w:p w14:paraId="56DF2C85">
            <w:pPr>
              <w:jc w:val="center"/>
              <w:rPr>
                <w:rFonts w:eastAsia="Times New Roman"/>
              </w:rPr>
            </w:pPr>
          </w:p>
        </w:tc>
      </w:tr>
      <w:tr w14:paraId="1E968689">
        <w:trPr>
          <w:trHeight w:val="280" w:hRule="atLeast"/>
          <w:jc w:val="center"/>
        </w:trPr>
        <w:tc>
          <w:tcPr>
            <w:tcW w:w="1843" w:type="dxa"/>
            <w:tcBorders>
              <w:top w:val="nil"/>
              <w:bottom w:val="nil"/>
              <w:right w:val="nil"/>
            </w:tcBorders>
            <w:noWrap/>
            <w:vAlign w:val="bottom"/>
          </w:tcPr>
          <w:p w14:paraId="20B18096">
            <w:pPr>
              <w:jc w:val="center"/>
              <w:rPr>
                <w:rFonts w:eastAsia="Times New Roman"/>
              </w:rPr>
            </w:pPr>
          </w:p>
        </w:tc>
        <w:tc>
          <w:tcPr>
            <w:tcW w:w="1134" w:type="dxa"/>
            <w:tcBorders>
              <w:top w:val="nil"/>
              <w:left w:val="nil"/>
              <w:bottom w:val="nil"/>
              <w:right w:val="nil"/>
            </w:tcBorders>
            <w:noWrap/>
            <w:vAlign w:val="bottom"/>
          </w:tcPr>
          <w:p w14:paraId="549EAD38">
            <w:pPr>
              <w:jc w:val="center"/>
              <w:rPr>
                <w:rFonts w:eastAsia="宋体"/>
                <w:sz w:val="18"/>
                <w:szCs w:val="18"/>
              </w:rPr>
            </w:pPr>
            <w:r>
              <w:rPr>
                <w:rFonts w:eastAsia="宋体"/>
                <w:sz w:val="18"/>
                <w:szCs w:val="18"/>
              </w:rPr>
              <w:t>III-</w:t>
            </w:r>
            <w:r>
              <w:rPr>
                <w:rFonts w:hint="eastAsia" w:ascii="宋体" w:hAnsi="宋体" w:eastAsia="宋体"/>
                <w:sz w:val="18"/>
                <w:szCs w:val="18"/>
              </w:rPr>
              <w:t>Ⅳ</w:t>
            </w:r>
          </w:p>
        </w:tc>
        <w:tc>
          <w:tcPr>
            <w:tcW w:w="1418" w:type="dxa"/>
            <w:tcBorders>
              <w:top w:val="nil"/>
              <w:left w:val="nil"/>
              <w:bottom w:val="nil"/>
              <w:right w:val="nil"/>
            </w:tcBorders>
            <w:noWrap/>
            <w:vAlign w:val="bottom"/>
          </w:tcPr>
          <w:p w14:paraId="6668160F">
            <w:pPr>
              <w:jc w:val="center"/>
              <w:rPr>
                <w:rFonts w:eastAsia="宋体"/>
                <w:sz w:val="18"/>
                <w:szCs w:val="18"/>
              </w:rPr>
            </w:pPr>
            <w:r>
              <w:rPr>
                <w:rFonts w:hint="eastAsia" w:eastAsia="宋体"/>
                <w:sz w:val="18"/>
                <w:szCs w:val="18"/>
              </w:rPr>
              <w:t>16</w:t>
            </w:r>
          </w:p>
        </w:tc>
        <w:tc>
          <w:tcPr>
            <w:tcW w:w="1275" w:type="dxa"/>
            <w:tcBorders>
              <w:top w:val="nil"/>
              <w:left w:val="nil"/>
              <w:bottom w:val="nil"/>
              <w:right w:val="nil"/>
            </w:tcBorders>
            <w:noWrap/>
            <w:vAlign w:val="bottom"/>
          </w:tcPr>
          <w:p w14:paraId="422319B0">
            <w:pPr>
              <w:rPr>
                <w:rFonts w:eastAsia="宋体"/>
                <w:sz w:val="18"/>
                <w:szCs w:val="18"/>
              </w:rPr>
            </w:pPr>
            <w:r>
              <w:rPr>
                <w:rFonts w:hint="eastAsia" w:eastAsia="宋体"/>
                <w:sz w:val="18"/>
                <w:szCs w:val="18"/>
              </w:rPr>
              <w:t>38</w:t>
            </w:r>
          </w:p>
        </w:tc>
        <w:tc>
          <w:tcPr>
            <w:tcW w:w="798" w:type="dxa"/>
            <w:tcBorders>
              <w:top w:val="nil"/>
              <w:left w:val="nil"/>
              <w:bottom w:val="nil"/>
              <w:right w:val="nil"/>
            </w:tcBorders>
            <w:noWrap/>
            <w:vAlign w:val="bottom"/>
          </w:tcPr>
          <w:p w14:paraId="579D3F6A">
            <w:pPr>
              <w:jc w:val="center"/>
              <w:rPr>
                <w:rFonts w:eastAsia="Times New Roman"/>
              </w:rPr>
            </w:pPr>
          </w:p>
        </w:tc>
        <w:tc>
          <w:tcPr>
            <w:tcW w:w="236" w:type="dxa"/>
            <w:tcBorders>
              <w:top w:val="nil"/>
              <w:left w:val="nil"/>
              <w:bottom w:val="nil"/>
              <w:right w:val="nil"/>
            </w:tcBorders>
            <w:noWrap/>
            <w:vAlign w:val="bottom"/>
          </w:tcPr>
          <w:p w14:paraId="4696B47A">
            <w:pPr>
              <w:jc w:val="center"/>
              <w:rPr>
                <w:rFonts w:eastAsia="Times New Roman"/>
              </w:rPr>
            </w:pPr>
          </w:p>
        </w:tc>
      </w:tr>
      <w:tr w14:paraId="6C811641">
        <w:trPr>
          <w:trHeight w:val="280" w:hRule="atLeast"/>
          <w:jc w:val="center"/>
        </w:trPr>
        <w:tc>
          <w:tcPr>
            <w:tcW w:w="1843" w:type="dxa"/>
            <w:tcBorders>
              <w:top w:val="nil"/>
              <w:bottom w:val="nil"/>
              <w:right w:val="nil"/>
            </w:tcBorders>
            <w:noWrap/>
            <w:vAlign w:val="bottom"/>
          </w:tcPr>
          <w:p w14:paraId="0FB403EC">
            <w:pPr>
              <w:rPr>
                <w:rFonts w:eastAsia="宋体"/>
                <w:sz w:val="18"/>
                <w:szCs w:val="18"/>
              </w:rPr>
            </w:pPr>
            <w:r>
              <w:rPr>
                <w:rFonts w:eastAsia="宋体"/>
                <w:sz w:val="18"/>
                <w:szCs w:val="18"/>
              </w:rPr>
              <w:t>TNM stage</w:t>
            </w:r>
          </w:p>
        </w:tc>
        <w:tc>
          <w:tcPr>
            <w:tcW w:w="1134" w:type="dxa"/>
            <w:tcBorders>
              <w:top w:val="nil"/>
              <w:left w:val="nil"/>
              <w:bottom w:val="nil"/>
              <w:right w:val="nil"/>
            </w:tcBorders>
            <w:noWrap/>
            <w:vAlign w:val="bottom"/>
          </w:tcPr>
          <w:p w14:paraId="08073986">
            <w:pPr>
              <w:jc w:val="center"/>
              <w:rPr>
                <w:rFonts w:eastAsia="宋体"/>
                <w:sz w:val="18"/>
                <w:szCs w:val="18"/>
              </w:rPr>
            </w:pPr>
            <w:r>
              <w:rPr>
                <w:rFonts w:eastAsia="宋体"/>
                <w:sz w:val="18"/>
                <w:szCs w:val="18"/>
              </w:rPr>
              <w:t>I-II</w:t>
            </w:r>
          </w:p>
        </w:tc>
        <w:tc>
          <w:tcPr>
            <w:tcW w:w="1418" w:type="dxa"/>
            <w:tcBorders>
              <w:top w:val="nil"/>
              <w:left w:val="nil"/>
              <w:bottom w:val="nil"/>
              <w:right w:val="nil"/>
            </w:tcBorders>
            <w:noWrap/>
            <w:vAlign w:val="bottom"/>
          </w:tcPr>
          <w:p w14:paraId="1836736B">
            <w:pPr>
              <w:jc w:val="center"/>
              <w:rPr>
                <w:rFonts w:eastAsia="宋体"/>
                <w:sz w:val="18"/>
                <w:szCs w:val="18"/>
              </w:rPr>
            </w:pPr>
            <w:r>
              <w:rPr>
                <w:rFonts w:hint="eastAsia" w:eastAsia="宋体"/>
                <w:sz w:val="18"/>
                <w:szCs w:val="18"/>
              </w:rPr>
              <w:t>136</w:t>
            </w:r>
          </w:p>
        </w:tc>
        <w:tc>
          <w:tcPr>
            <w:tcW w:w="1275" w:type="dxa"/>
            <w:tcBorders>
              <w:top w:val="nil"/>
              <w:left w:val="nil"/>
              <w:bottom w:val="nil"/>
              <w:right w:val="nil"/>
            </w:tcBorders>
            <w:noWrap/>
            <w:vAlign w:val="bottom"/>
          </w:tcPr>
          <w:p w14:paraId="7BF68A03">
            <w:r>
              <w:rPr>
                <w:rFonts w:hint="eastAsia" w:eastAsia="宋体"/>
                <w:sz w:val="18"/>
                <w:szCs w:val="18"/>
              </w:rPr>
              <w:t>62</w:t>
            </w:r>
          </w:p>
        </w:tc>
        <w:tc>
          <w:tcPr>
            <w:tcW w:w="798" w:type="dxa"/>
            <w:tcBorders>
              <w:top w:val="nil"/>
              <w:left w:val="nil"/>
              <w:bottom w:val="nil"/>
              <w:right w:val="nil"/>
            </w:tcBorders>
            <w:noWrap/>
            <w:vAlign w:val="bottom"/>
          </w:tcPr>
          <w:p w14:paraId="3C19937F">
            <w:pPr>
              <w:jc w:val="center"/>
              <w:rPr>
                <w:rFonts w:eastAsia="Times New Roman"/>
              </w:rPr>
            </w:pPr>
            <w:r>
              <w:rPr>
                <w:rFonts w:hint="eastAsia" w:eastAsia="宋体"/>
                <w:sz w:val="18"/>
                <w:szCs w:val="18"/>
              </w:rPr>
              <w:t>&lt;</w:t>
            </w:r>
            <w:r>
              <w:rPr>
                <w:rFonts w:eastAsia="宋体"/>
                <w:sz w:val="18"/>
                <w:szCs w:val="18"/>
              </w:rPr>
              <w:t>0.001</w:t>
            </w:r>
          </w:p>
        </w:tc>
        <w:tc>
          <w:tcPr>
            <w:tcW w:w="236" w:type="dxa"/>
            <w:tcBorders>
              <w:top w:val="nil"/>
              <w:left w:val="nil"/>
              <w:bottom w:val="nil"/>
              <w:right w:val="nil"/>
            </w:tcBorders>
            <w:noWrap/>
            <w:vAlign w:val="bottom"/>
          </w:tcPr>
          <w:p w14:paraId="3C3C3319">
            <w:pPr>
              <w:jc w:val="center"/>
              <w:rPr>
                <w:rFonts w:eastAsia="Times New Roman"/>
              </w:rPr>
            </w:pPr>
          </w:p>
        </w:tc>
      </w:tr>
      <w:tr w14:paraId="50E1BF97">
        <w:trPr>
          <w:trHeight w:val="290" w:hRule="atLeast"/>
          <w:jc w:val="center"/>
        </w:trPr>
        <w:tc>
          <w:tcPr>
            <w:tcW w:w="1843" w:type="dxa"/>
            <w:tcBorders>
              <w:top w:val="nil"/>
              <w:bottom w:val="single" w:color="auto" w:sz="8" w:space="0"/>
              <w:right w:val="nil"/>
            </w:tcBorders>
            <w:noWrap/>
            <w:vAlign w:val="bottom"/>
          </w:tcPr>
          <w:p w14:paraId="2F3FA317">
            <w:pPr>
              <w:rPr>
                <w:rFonts w:eastAsia="宋体"/>
                <w:sz w:val="18"/>
                <w:szCs w:val="18"/>
              </w:rPr>
            </w:pPr>
            <w:r>
              <w:rPr>
                <w:rFonts w:eastAsia="宋体"/>
                <w:sz w:val="18"/>
                <w:szCs w:val="18"/>
              </w:rPr>
              <w:t>　</w:t>
            </w:r>
          </w:p>
        </w:tc>
        <w:tc>
          <w:tcPr>
            <w:tcW w:w="1134" w:type="dxa"/>
            <w:tcBorders>
              <w:top w:val="nil"/>
              <w:left w:val="nil"/>
              <w:bottom w:val="single" w:color="auto" w:sz="8" w:space="0"/>
              <w:right w:val="nil"/>
            </w:tcBorders>
            <w:noWrap/>
            <w:vAlign w:val="bottom"/>
          </w:tcPr>
          <w:p w14:paraId="37607D5A">
            <w:pPr>
              <w:jc w:val="center"/>
              <w:rPr>
                <w:rFonts w:eastAsia="宋体"/>
                <w:sz w:val="18"/>
                <w:szCs w:val="18"/>
              </w:rPr>
            </w:pPr>
            <w:r>
              <w:rPr>
                <w:rFonts w:eastAsia="宋体"/>
                <w:sz w:val="18"/>
                <w:szCs w:val="18"/>
              </w:rPr>
              <w:t>III-</w:t>
            </w:r>
            <w:r>
              <w:rPr>
                <w:rFonts w:hint="eastAsia" w:ascii="宋体" w:hAnsi="宋体" w:eastAsia="宋体"/>
                <w:sz w:val="18"/>
                <w:szCs w:val="18"/>
              </w:rPr>
              <w:t>Ⅳ</w:t>
            </w:r>
          </w:p>
        </w:tc>
        <w:tc>
          <w:tcPr>
            <w:tcW w:w="1418" w:type="dxa"/>
            <w:tcBorders>
              <w:top w:val="nil"/>
              <w:left w:val="nil"/>
              <w:bottom w:val="single" w:color="auto" w:sz="8" w:space="0"/>
              <w:right w:val="nil"/>
            </w:tcBorders>
            <w:noWrap/>
            <w:vAlign w:val="bottom"/>
          </w:tcPr>
          <w:p w14:paraId="0BB5B0ED">
            <w:pPr>
              <w:jc w:val="center"/>
              <w:rPr>
                <w:rFonts w:eastAsia="宋体"/>
                <w:sz w:val="18"/>
                <w:szCs w:val="18"/>
              </w:rPr>
            </w:pPr>
            <w:r>
              <w:rPr>
                <w:rFonts w:hint="eastAsia" w:eastAsia="宋体"/>
                <w:sz w:val="18"/>
                <w:szCs w:val="18"/>
              </w:rPr>
              <w:t>15</w:t>
            </w:r>
            <w:r>
              <w:rPr>
                <w:rFonts w:eastAsia="宋体"/>
                <w:sz w:val="18"/>
                <w:szCs w:val="18"/>
              </w:rPr>
              <w:t>　</w:t>
            </w:r>
          </w:p>
        </w:tc>
        <w:tc>
          <w:tcPr>
            <w:tcW w:w="1275" w:type="dxa"/>
            <w:tcBorders>
              <w:top w:val="nil"/>
              <w:left w:val="nil"/>
              <w:bottom w:val="single" w:color="auto" w:sz="8" w:space="0"/>
              <w:right w:val="nil"/>
            </w:tcBorders>
            <w:noWrap/>
            <w:vAlign w:val="bottom"/>
          </w:tcPr>
          <w:p w14:paraId="545135A9">
            <w:pPr>
              <w:rPr>
                <w:rFonts w:eastAsia="宋体"/>
                <w:sz w:val="18"/>
                <w:szCs w:val="18"/>
              </w:rPr>
            </w:pPr>
            <w:r>
              <w:rPr>
                <w:rFonts w:eastAsia="宋体"/>
                <w:sz w:val="18"/>
                <w:szCs w:val="18"/>
              </w:rPr>
              <w:t>4</w:t>
            </w:r>
            <w:r>
              <w:rPr>
                <w:rFonts w:hint="eastAsia" w:eastAsia="宋体"/>
                <w:sz w:val="18"/>
                <w:szCs w:val="18"/>
              </w:rPr>
              <w:t>7</w:t>
            </w:r>
            <w:r>
              <w:rPr>
                <w:rFonts w:eastAsia="宋体"/>
                <w:sz w:val="18"/>
                <w:szCs w:val="18"/>
              </w:rPr>
              <w:t>　</w:t>
            </w:r>
          </w:p>
        </w:tc>
        <w:tc>
          <w:tcPr>
            <w:tcW w:w="798" w:type="dxa"/>
            <w:tcBorders>
              <w:top w:val="nil"/>
              <w:left w:val="nil"/>
              <w:bottom w:val="single" w:color="auto" w:sz="8" w:space="0"/>
              <w:right w:val="nil"/>
            </w:tcBorders>
            <w:noWrap/>
            <w:vAlign w:val="bottom"/>
          </w:tcPr>
          <w:p w14:paraId="4A846BC3">
            <w:pPr>
              <w:jc w:val="center"/>
              <w:rPr>
                <w:rFonts w:eastAsia="宋体"/>
                <w:sz w:val="18"/>
                <w:szCs w:val="18"/>
              </w:rPr>
            </w:pPr>
            <w:r>
              <w:rPr>
                <w:rFonts w:eastAsia="宋体"/>
                <w:sz w:val="18"/>
                <w:szCs w:val="18"/>
              </w:rPr>
              <w:t>　</w:t>
            </w:r>
          </w:p>
        </w:tc>
        <w:tc>
          <w:tcPr>
            <w:tcW w:w="236" w:type="dxa"/>
            <w:tcBorders>
              <w:top w:val="nil"/>
              <w:left w:val="nil"/>
              <w:bottom w:val="single" w:color="auto" w:sz="8" w:space="0"/>
              <w:right w:val="nil"/>
            </w:tcBorders>
            <w:noWrap/>
            <w:vAlign w:val="bottom"/>
          </w:tcPr>
          <w:p w14:paraId="5526E9BC">
            <w:pPr>
              <w:rPr>
                <w:rFonts w:eastAsia="宋体"/>
                <w:sz w:val="18"/>
                <w:szCs w:val="18"/>
              </w:rPr>
            </w:pPr>
            <w:r>
              <w:rPr>
                <w:rFonts w:eastAsia="宋体"/>
                <w:sz w:val="18"/>
                <w:szCs w:val="18"/>
              </w:rPr>
              <w:t>　</w:t>
            </w:r>
          </w:p>
        </w:tc>
      </w:tr>
    </w:tbl>
    <w:p w14:paraId="7F7FEC14">
      <w:r>
        <w:br w:type="page"/>
      </w:r>
    </w:p>
    <w:p w14:paraId="6990AE81">
      <w:pPr>
        <w:spacing w:line="360" w:lineRule="auto"/>
        <w:jc w:val="both"/>
        <w:rPr>
          <w:b/>
          <w:bCs/>
          <w:color w:val="000000"/>
          <w:sz w:val="24"/>
          <w:szCs w:val="24"/>
        </w:rPr>
      </w:pPr>
      <w:bookmarkStart w:id="0" w:name="OLE_LINK84"/>
      <w:r>
        <w:rPr>
          <w:b/>
          <w:bCs/>
          <w:color w:val="000000"/>
          <w:sz w:val="24"/>
          <w:szCs w:val="24"/>
        </w:rPr>
        <w:t xml:space="preserve">Supplementary Table 3. </w:t>
      </w:r>
      <w:r>
        <w:rPr>
          <w:rFonts w:hint="eastAsia"/>
          <w:b/>
          <w:bCs/>
          <w:color w:val="000000"/>
          <w:sz w:val="24"/>
          <w:szCs w:val="24"/>
        </w:rPr>
        <w:t xml:space="preserve">Univariate and multivariate analysis of factors associated with survival and recurrence in </w:t>
      </w:r>
      <w:r>
        <w:rPr>
          <w:b/>
          <w:bCs/>
          <w:color w:val="000000"/>
          <w:sz w:val="24"/>
          <w:szCs w:val="24"/>
        </w:rPr>
        <w:t>an</w:t>
      </w:r>
      <w:r>
        <w:rPr>
          <w:rFonts w:hint="eastAsia"/>
          <w:b/>
          <w:bCs/>
          <w:color w:val="000000"/>
          <w:sz w:val="24"/>
          <w:szCs w:val="24"/>
        </w:rPr>
        <w:t xml:space="preserve"> independent cohorts of human HCC</w:t>
      </w:r>
      <w:r>
        <w:rPr>
          <w:b/>
          <w:bCs/>
          <w:color w:val="000000"/>
          <w:sz w:val="24"/>
          <w:szCs w:val="24"/>
        </w:rPr>
        <w:t>.</w:t>
      </w:r>
    </w:p>
    <w:tbl>
      <w:tblPr>
        <w:tblStyle w:val="19"/>
        <w:tblW w:w="8530" w:type="dxa"/>
        <w:jc w:val="center"/>
        <w:tblLayout w:type="autofit"/>
        <w:tblCellMar>
          <w:top w:w="0" w:type="dxa"/>
          <w:left w:w="108" w:type="dxa"/>
          <w:bottom w:w="0" w:type="dxa"/>
          <w:right w:w="108" w:type="dxa"/>
        </w:tblCellMar>
      </w:tblPr>
      <w:tblGrid>
        <w:gridCol w:w="3261"/>
        <w:gridCol w:w="1940"/>
        <w:gridCol w:w="723"/>
        <w:gridCol w:w="222"/>
        <w:gridCol w:w="1661"/>
        <w:gridCol w:w="723"/>
      </w:tblGrid>
      <w:tr w14:paraId="587A6C48">
        <w:trPr>
          <w:jc w:val="center"/>
        </w:trPr>
        <w:tc>
          <w:tcPr>
            <w:tcW w:w="3261" w:type="dxa"/>
            <w:vMerge w:val="restart"/>
            <w:tcBorders>
              <w:top w:val="single" w:color="auto" w:sz="4" w:space="0"/>
              <w:left w:val="nil"/>
              <w:bottom w:val="single" w:color="auto" w:sz="4" w:space="0"/>
              <w:right w:val="nil"/>
            </w:tcBorders>
            <w:noWrap/>
            <w:vAlign w:val="bottom"/>
          </w:tcPr>
          <w:p w14:paraId="6E8372A3">
            <w:pPr>
              <w:suppressLineNumbers/>
              <w:snapToGrid w:val="0"/>
              <w:rPr>
                <w:sz w:val="18"/>
                <w:szCs w:val="18"/>
              </w:rPr>
            </w:pPr>
            <w:r>
              <w:rPr>
                <w:sz w:val="18"/>
                <w:szCs w:val="18"/>
              </w:rPr>
              <w:t>Clinical Variables</w:t>
            </w:r>
          </w:p>
        </w:tc>
        <w:tc>
          <w:tcPr>
            <w:tcW w:w="2663" w:type="dxa"/>
            <w:gridSpan w:val="2"/>
            <w:tcBorders>
              <w:top w:val="single" w:color="auto" w:sz="4" w:space="0"/>
              <w:left w:val="nil"/>
              <w:bottom w:val="nil"/>
              <w:right w:val="nil"/>
            </w:tcBorders>
            <w:vAlign w:val="bottom"/>
          </w:tcPr>
          <w:p w14:paraId="43D1C702">
            <w:pPr>
              <w:suppressLineNumbers/>
              <w:snapToGrid w:val="0"/>
              <w:jc w:val="center"/>
              <w:rPr>
                <w:sz w:val="18"/>
                <w:szCs w:val="18"/>
              </w:rPr>
            </w:pPr>
            <w:r>
              <w:rPr>
                <w:sz w:val="18"/>
                <w:szCs w:val="18"/>
              </w:rPr>
              <w:t>Time To Recurrence</w:t>
            </w:r>
          </w:p>
        </w:tc>
        <w:tc>
          <w:tcPr>
            <w:tcW w:w="0" w:type="auto"/>
            <w:tcBorders>
              <w:top w:val="single" w:color="auto" w:sz="4" w:space="0"/>
              <w:left w:val="nil"/>
              <w:bottom w:val="nil"/>
              <w:right w:val="nil"/>
            </w:tcBorders>
            <w:noWrap/>
            <w:vAlign w:val="bottom"/>
          </w:tcPr>
          <w:p w14:paraId="61CC71DD">
            <w:pPr>
              <w:suppressLineNumbers/>
              <w:snapToGrid w:val="0"/>
              <w:jc w:val="center"/>
              <w:rPr>
                <w:sz w:val="18"/>
                <w:szCs w:val="18"/>
              </w:rPr>
            </w:pPr>
          </w:p>
        </w:tc>
        <w:tc>
          <w:tcPr>
            <w:tcW w:w="2384" w:type="dxa"/>
            <w:gridSpan w:val="2"/>
            <w:tcBorders>
              <w:top w:val="single" w:color="auto" w:sz="4" w:space="0"/>
              <w:left w:val="nil"/>
              <w:bottom w:val="nil"/>
              <w:right w:val="nil"/>
            </w:tcBorders>
            <w:vAlign w:val="bottom"/>
          </w:tcPr>
          <w:p w14:paraId="7B3918D4">
            <w:pPr>
              <w:suppressLineNumbers/>
              <w:snapToGrid w:val="0"/>
              <w:jc w:val="center"/>
              <w:rPr>
                <w:sz w:val="18"/>
                <w:szCs w:val="18"/>
              </w:rPr>
            </w:pPr>
            <w:r>
              <w:rPr>
                <w:sz w:val="18"/>
                <w:szCs w:val="18"/>
              </w:rPr>
              <w:t>Overall Survival</w:t>
            </w:r>
          </w:p>
        </w:tc>
      </w:tr>
      <w:tr w14:paraId="33DED289">
        <w:trPr>
          <w:jc w:val="center"/>
        </w:trPr>
        <w:tc>
          <w:tcPr>
            <w:tcW w:w="3261" w:type="dxa"/>
            <w:vMerge w:val="continue"/>
            <w:tcBorders>
              <w:top w:val="single" w:color="auto" w:sz="4" w:space="0"/>
              <w:left w:val="nil"/>
              <w:bottom w:val="single" w:color="auto" w:sz="4" w:space="0"/>
              <w:right w:val="nil"/>
            </w:tcBorders>
            <w:vAlign w:val="center"/>
          </w:tcPr>
          <w:p w14:paraId="6B98FC51">
            <w:pPr>
              <w:snapToGrid w:val="0"/>
              <w:rPr>
                <w:sz w:val="18"/>
                <w:szCs w:val="18"/>
              </w:rPr>
            </w:pPr>
          </w:p>
        </w:tc>
        <w:tc>
          <w:tcPr>
            <w:tcW w:w="1940" w:type="dxa"/>
            <w:tcBorders>
              <w:top w:val="nil"/>
              <w:left w:val="nil"/>
              <w:bottom w:val="single" w:color="auto" w:sz="4" w:space="0"/>
              <w:right w:val="nil"/>
            </w:tcBorders>
            <w:vAlign w:val="bottom"/>
          </w:tcPr>
          <w:p w14:paraId="67149A6C">
            <w:pPr>
              <w:suppressLineNumbers/>
              <w:snapToGrid w:val="0"/>
              <w:jc w:val="center"/>
              <w:rPr>
                <w:sz w:val="18"/>
                <w:szCs w:val="18"/>
              </w:rPr>
            </w:pPr>
            <w:r>
              <w:rPr>
                <w:sz w:val="18"/>
                <w:szCs w:val="18"/>
              </w:rPr>
              <w:t>HR (95% CI)</w:t>
            </w:r>
          </w:p>
        </w:tc>
        <w:tc>
          <w:tcPr>
            <w:tcW w:w="0" w:type="auto"/>
            <w:tcBorders>
              <w:top w:val="nil"/>
              <w:left w:val="nil"/>
              <w:bottom w:val="single" w:color="auto" w:sz="4" w:space="0"/>
              <w:right w:val="nil"/>
            </w:tcBorders>
            <w:vAlign w:val="bottom"/>
          </w:tcPr>
          <w:p w14:paraId="1C7509C3">
            <w:pPr>
              <w:suppressLineNumbers/>
              <w:snapToGrid w:val="0"/>
              <w:jc w:val="center"/>
              <w:rPr>
                <w:sz w:val="18"/>
                <w:szCs w:val="18"/>
              </w:rPr>
            </w:pPr>
            <w:r>
              <w:rPr>
                <w:sz w:val="18"/>
                <w:szCs w:val="18"/>
              </w:rPr>
              <w:t>P value</w:t>
            </w:r>
          </w:p>
        </w:tc>
        <w:tc>
          <w:tcPr>
            <w:tcW w:w="0" w:type="auto"/>
            <w:tcBorders>
              <w:top w:val="nil"/>
              <w:left w:val="nil"/>
              <w:bottom w:val="single" w:color="auto" w:sz="4" w:space="0"/>
              <w:right w:val="nil"/>
            </w:tcBorders>
            <w:noWrap/>
            <w:vAlign w:val="bottom"/>
          </w:tcPr>
          <w:p w14:paraId="5104403A">
            <w:pPr>
              <w:suppressLineNumbers/>
              <w:snapToGrid w:val="0"/>
              <w:jc w:val="center"/>
              <w:rPr>
                <w:sz w:val="18"/>
                <w:szCs w:val="18"/>
              </w:rPr>
            </w:pPr>
          </w:p>
        </w:tc>
        <w:tc>
          <w:tcPr>
            <w:tcW w:w="0" w:type="auto"/>
            <w:tcBorders>
              <w:top w:val="nil"/>
              <w:left w:val="nil"/>
              <w:bottom w:val="single" w:color="auto" w:sz="4" w:space="0"/>
              <w:right w:val="nil"/>
            </w:tcBorders>
            <w:vAlign w:val="bottom"/>
          </w:tcPr>
          <w:p w14:paraId="2B20C85D">
            <w:pPr>
              <w:suppressLineNumbers/>
              <w:snapToGrid w:val="0"/>
              <w:jc w:val="center"/>
              <w:rPr>
                <w:sz w:val="18"/>
                <w:szCs w:val="18"/>
              </w:rPr>
            </w:pPr>
            <w:r>
              <w:t>HR</w:t>
            </w:r>
            <w:r>
              <w:rPr>
                <w:sz w:val="18"/>
                <w:szCs w:val="18"/>
              </w:rPr>
              <w:t xml:space="preserve"> (95% CI)</w:t>
            </w:r>
          </w:p>
        </w:tc>
        <w:tc>
          <w:tcPr>
            <w:tcW w:w="723" w:type="dxa"/>
            <w:tcBorders>
              <w:top w:val="nil"/>
              <w:left w:val="nil"/>
              <w:bottom w:val="single" w:color="auto" w:sz="4" w:space="0"/>
              <w:right w:val="nil"/>
            </w:tcBorders>
            <w:vAlign w:val="bottom"/>
          </w:tcPr>
          <w:p w14:paraId="23B362B7">
            <w:pPr>
              <w:suppressLineNumbers/>
              <w:snapToGrid w:val="0"/>
              <w:jc w:val="center"/>
              <w:rPr>
                <w:sz w:val="18"/>
                <w:szCs w:val="18"/>
              </w:rPr>
            </w:pPr>
            <w:r>
              <w:rPr>
                <w:sz w:val="18"/>
                <w:szCs w:val="18"/>
              </w:rPr>
              <w:t>P value</w:t>
            </w:r>
          </w:p>
        </w:tc>
      </w:tr>
      <w:tr w14:paraId="3A2D9848">
        <w:trPr>
          <w:jc w:val="center"/>
        </w:trPr>
        <w:tc>
          <w:tcPr>
            <w:tcW w:w="3261" w:type="dxa"/>
            <w:noWrap/>
            <w:vAlign w:val="bottom"/>
          </w:tcPr>
          <w:p w14:paraId="063F9343">
            <w:pPr>
              <w:suppressLineNumbers/>
              <w:snapToGrid w:val="0"/>
              <w:rPr>
                <w:sz w:val="18"/>
                <w:szCs w:val="18"/>
              </w:rPr>
            </w:pPr>
            <w:r>
              <w:rPr>
                <w:sz w:val="18"/>
                <w:szCs w:val="18"/>
              </w:rPr>
              <w:t>uPAR expression (negative versus positive)</w:t>
            </w:r>
          </w:p>
        </w:tc>
        <w:tc>
          <w:tcPr>
            <w:tcW w:w="1940" w:type="dxa"/>
            <w:noWrap/>
          </w:tcPr>
          <w:p w14:paraId="50011B60">
            <w:pPr>
              <w:suppressLineNumbers/>
              <w:snapToGrid w:val="0"/>
              <w:spacing w:line="360" w:lineRule="auto"/>
              <w:jc w:val="center"/>
              <w:rPr>
                <w:sz w:val="18"/>
                <w:szCs w:val="18"/>
              </w:rPr>
            </w:pPr>
            <w:r>
              <w:rPr>
                <w:sz w:val="18"/>
                <w:szCs w:val="18"/>
              </w:rPr>
              <w:t>0.</w:t>
            </w:r>
            <w:r>
              <w:rPr>
                <w:rFonts w:hint="eastAsia"/>
                <w:sz w:val="18"/>
                <w:szCs w:val="18"/>
              </w:rPr>
              <w:t>366</w:t>
            </w:r>
            <w:r>
              <w:rPr>
                <w:sz w:val="18"/>
                <w:szCs w:val="18"/>
              </w:rPr>
              <w:t>(0.</w:t>
            </w:r>
            <w:r>
              <w:rPr>
                <w:rFonts w:hint="eastAsia"/>
                <w:sz w:val="18"/>
                <w:szCs w:val="18"/>
              </w:rPr>
              <w:t>269</w:t>
            </w:r>
            <w:r>
              <w:rPr>
                <w:sz w:val="18"/>
                <w:szCs w:val="18"/>
              </w:rPr>
              <w:t>-0.</w:t>
            </w:r>
            <w:r>
              <w:rPr>
                <w:rFonts w:hint="eastAsia"/>
                <w:sz w:val="18"/>
                <w:szCs w:val="18"/>
              </w:rPr>
              <w:t>497</w:t>
            </w:r>
            <w:r>
              <w:rPr>
                <w:sz w:val="18"/>
                <w:szCs w:val="18"/>
              </w:rPr>
              <w:t>)</w:t>
            </w:r>
          </w:p>
        </w:tc>
        <w:tc>
          <w:tcPr>
            <w:tcW w:w="0" w:type="auto"/>
            <w:noWrap/>
          </w:tcPr>
          <w:p w14:paraId="558407E4">
            <w:pPr>
              <w:suppressLineNumbers/>
              <w:snapToGrid w:val="0"/>
              <w:spacing w:line="360" w:lineRule="auto"/>
              <w:jc w:val="center"/>
              <w:rPr>
                <w:sz w:val="18"/>
                <w:szCs w:val="18"/>
              </w:rPr>
            </w:pPr>
            <w:r>
              <w:rPr>
                <w:sz w:val="18"/>
                <w:szCs w:val="18"/>
              </w:rPr>
              <w:t>&lt;0.001</w:t>
            </w:r>
          </w:p>
        </w:tc>
        <w:tc>
          <w:tcPr>
            <w:tcW w:w="0" w:type="auto"/>
            <w:noWrap/>
          </w:tcPr>
          <w:p w14:paraId="452FA3BF">
            <w:pPr>
              <w:suppressLineNumbers/>
              <w:snapToGrid w:val="0"/>
              <w:jc w:val="center"/>
              <w:rPr>
                <w:sz w:val="18"/>
                <w:szCs w:val="18"/>
              </w:rPr>
            </w:pPr>
          </w:p>
        </w:tc>
        <w:tc>
          <w:tcPr>
            <w:tcW w:w="0" w:type="auto"/>
            <w:noWrap/>
          </w:tcPr>
          <w:p w14:paraId="4FA9C222">
            <w:pPr>
              <w:suppressLineNumbers/>
              <w:snapToGrid w:val="0"/>
              <w:spacing w:line="360" w:lineRule="auto"/>
              <w:jc w:val="center"/>
              <w:rPr>
                <w:sz w:val="18"/>
                <w:szCs w:val="18"/>
              </w:rPr>
            </w:pPr>
            <w:r>
              <w:rPr>
                <w:sz w:val="18"/>
                <w:szCs w:val="18"/>
              </w:rPr>
              <w:t>0.</w:t>
            </w:r>
            <w:r>
              <w:rPr>
                <w:rFonts w:hint="eastAsia"/>
                <w:sz w:val="18"/>
                <w:szCs w:val="18"/>
              </w:rPr>
              <w:t>358</w:t>
            </w:r>
            <w:r>
              <w:rPr>
                <w:sz w:val="18"/>
                <w:szCs w:val="18"/>
              </w:rPr>
              <w:t>(0.</w:t>
            </w:r>
            <w:r>
              <w:rPr>
                <w:rFonts w:hint="eastAsia"/>
                <w:sz w:val="18"/>
                <w:szCs w:val="18"/>
              </w:rPr>
              <w:t>262</w:t>
            </w:r>
            <w:r>
              <w:rPr>
                <w:sz w:val="18"/>
                <w:szCs w:val="18"/>
              </w:rPr>
              <w:t>-0.</w:t>
            </w:r>
            <w:r>
              <w:rPr>
                <w:rFonts w:hint="eastAsia"/>
                <w:sz w:val="18"/>
                <w:szCs w:val="18"/>
              </w:rPr>
              <w:t>489</w:t>
            </w:r>
            <w:r>
              <w:rPr>
                <w:sz w:val="18"/>
                <w:szCs w:val="18"/>
              </w:rPr>
              <w:t>)</w:t>
            </w:r>
          </w:p>
        </w:tc>
        <w:tc>
          <w:tcPr>
            <w:tcW w:w="723" w:type="dxa"/>
            <w:noWrap/>
          </w:tcPr>
          <w:p w14:paraId="3E8973D5">
            <w:pPr>
              <w:suppressLineNumbers/>
              <w:snapToGrid w:val="0"/>
              <w:spacing w:line="360" w:lineRule="auto"/>
              <w:jc w:val="center"/>
              <w:rPr>
                <w:sz w:val="18"/>
                <w:szCs w:val="18"/>
              </w:rPr>
            </w:pPr>
            <w:r>
              <w:rPr>
                <w:sz w:val="18"/>
                <w:szCs w:val="18"/>
              </w:rPr>
              <w:t>&lt;0.001</w:t>
            </w:r>
          </w:p>
        </w:tc>
      </w:tr>
      <w:tr w14:paraId="6B51F055">
        <w:trPr>
          <w:jc w:val="center"/>
        </w:trPr>
        <w:tc>
          <w:tcPr>
            <w:tcW w:w="3261" w:type="dxa"/>
            <w:noWrap/>
            <w:vAlign w:val="bottom"/>
          </w:tcPr>
          <w:p w14:paraId="0237DD33">
            <w:pPr>
              <w:suppressLineNumbers/>
              <w:snapToGrid w:val="0"/>
              <w:rPr>
                <w:b/>
                <w:sz w:val="18"/>
                <w:szCs w:val="18"/>
              </w:rPr>
            </w:pPr>
            <w:r>
              <w:rPr>
                <w:b/>
                <w:sz w:val="18"/>
                <w:szCs w:val="18"/>
              </w:rPr>
              <w:t>Multivariate analysis</w:t>
            </w:r>
          </w:p>
        </w:tc>
        <w:tc>
          <w:tcPr>
            <w:tcW w:w="1940" w:type="dxa"/>
            <w:noWrap/>
            <w:vAlign w:val="bottom"/>
          </w:tcPr>
          <w:p w14:paraId="342D953E">
            <w:pPr>
              <w:suppressLineNumbers/>
              <w:snapToGrid w:val="0"/>
              <w:jc w:val="center"/>
              <w:rPr>
                <w:sz w:val="18"/>
                <w:szCs w:val="18"/>
              </w:rPr>
            </w:pPr>
          </w:p>
        </w:tc>
        <w:tc>
          <w:tcPr>
            <w:tcW w:w="0" w:type="auto"/>
            <w:noWrap/>
            <w:vAlign w:val="bottom"/>
          </w:tcPr>
          <w:p w14:paraId="53C32957">
            <w:pPr>
              <w:suppressLineNumbers/>
              <w:snapToGrid w:val="0"/>
              <w:jc w:val="center"/>
              <w:rPr>
                <w:sz w:val="18"/>
                <w:szCs w:val="18"/>
              </w:rPr>
            </w:pPr>
          </w:p>
        </w:tc>
        <w:tc>
          <w:tcPr>
            <w:tcW w:w="0" w:type="auto"/>
            <w:noWrap/>
            <w:vAlign w:val="bottom"/>
          </w:tcPr>
          <w:p w14:paraId="0115D9D5">
            <w:pPr>
              <w:suppressLineNumbers/>
              <w:snapToGrid w:val="0"/>
              <w:jc w:val="center"/>
              <w:rPr>
                <w:sz w:val="18"/>
                <w:szCs w:val="18"/>
              </w:rPr>
            </w:pPr>
          </w:p>
        </w:tc>
        <w:tc>
          <w:tcPr>
            <w:tcW w:w="0" w:type="auto"/>
            <w:noWrap/>
            <w:vAlign w:val="bottom"/>
          </w:tcPr>
          <w:p w14:paraId="3E527115">
            <w:pPr>
              <w:suppressLineNumbers/>
              <w:snapToGrid w:val="0"/>
              <w:jc w:val="center"/>
              <w:rPr>
                <w:sz w:val="18"/>
                <w:szCs w:val="18"/>
              </w:rPr>
            </w:pPr>
          </w:p>
        </w:tc>
        <w:tc>
          <w:tcPr>
            <w:tcW w:w="723" w:type="dxa"/>
            <w:noWrap/>
            <w:vAlign w:val="bottom"/>
          </w:tcPr>
          <w:p w14:paraId="7BC90F03">
            <w:pPr>
              <w:suppressLineNumbers/>
              <w:snapToGrid w:val="0"/>
              <w:jc w:val="center"/>
              <w:rPr>
                <w:sz w:val="18"/>
                <w:szCs w:val="18"/>
              </w:rPr>
            </w:pPr>
          </w:p>
        </w:tc>
      </w:tr>
      <w:tr w14:paraId="23E8BD51">
        <w:trPr>
          <w:jc w:val="center"/>
        </w:trPr>
        <w:tc>
          <w:tcPr>
            <w:tcW w:w="3261" w:type="dxa"/>
            <w:noWrap/>
            <w:vAlign w:val="bottom"/>
          </w:tcPr>
          <w:p w14:paraId="417DCBAA">
            <w:pPr>
              <w:suppressLineNumbers/>
              <w:snapToGrid w:val="0"/>
              <w:rPr>
                <w:sz w:val="18"/>
                <w:szCs w:val="18"/>
              </w:rPr>
            </w:pPr>
            <w:r>
              <w:rPr>
                <w:sz w:val="18"/>
                <w:szCs w:val="18"/>
              </w:rPr>
              <w:t>Tumor number (multiple versus single)</w:t>
            </w:r>
          </w:p>
        </w:tc>
        <w:tc>
          <w:tcPr>
            <w:tcW w:w="1940" w:type="dxa"/>
            <w:noWrap/>
            <w:vAlign w:val="center"/>
          </w:tcPr>
          <w:p w14:paraId="11FB0A0F">
            <w:pPr>
              <w:suppressLineNumbers/>
              <w:snapToGrid w:val="0"/>
              <w:spacing w:line="360" w:lineRule="auto"/>
              <w:jc w:val="center"/>
              <w:rPr>
                <w:sz w:val="18"/>
                <w:szCs w:val="18"/>
              </w:rPr>
            </w:pPr>
            <w:r>
              <w:rPr>
                <w:rFonts w:hint="eastAsia"/>
                <w:sz w:val="18"/>
                <w:szCs w:val="18"/>
              </w:rPr>
              <w:t>1.476</w:t>
            </w:r>
            <w:r>
              <w:rPr>
                <w:sz w:val="18"/>
                <w:szCs w:val="18"/>
              </w:rPr>
              <w:t>(0.</w:t>
            </w:r>
            <w:r>
              <w:rPr>
                <w:rFonts w:hint="eastAsia"/>
                <w:sz w:val="18"/>
                <w:szCs w:val="18"/>
              </w:rPr>
              <w:t>940</w:t>
            </w:r>
            <w:r>
              <w:rPr>
                <w:sz w:val="18"/>
                <w:szCs w:val="18"/>
              </w:rPr>
              <w:t>-</w:t>
            </w:r>
            <w:r>
              <w:rPr>
                <w:rFonts w:hint="eastAsia"/>
                <w:sz w:val="18"/>
                <w:szCs w:val="18"/>
              </w:rPr>
              <w:t>2.317</w:t>
            </w:r>
            <w:r>
              <w:rPr>
                <w:sz w:val="18"/>
                <w:szCs w:val="18"/>
              </w:rPr>
              <w:t>)</w:t>
            </w:r>
          </w:p>
        </w:tc>
        <w:tc>
          <w:tcPr>
            <w:tcW w:w="0" w:type="auto"/>
            <w:noWrap/>
            <w:vAlign w:val="center"/>
          </w:tcPr>
          <w:p w14:paraId="66BD97FF">
            <w:pPr>
              <w:suppressLineNumbers/>
              <w:snapToGrid w:val="0"/>
              <w:spacing w:line="360" w:lineRule="auto"/>
              <w:jc w:val="center"/>
              <w:rPr>
                <w:sz w:val="18"/>
                <w:szCs w:val="18"/>
              </w:rPr>
            </w:pPr>
            <w:r>
              <w:rPr>
                <w:sz w:val="18"/>
                <w:szCs w:val="18"/>
              </w:rPr>
              <w:t>0.</w:t>
            </w:r>
            <w:r>
              <w:rPr>
                <w:rFonts w:hint="eastAsia"/>
                <w:sz w:val="18"/>
                <w:szCs w:val="18"/>
              </w:rPr>
              <w:t>091</w:t>
            </w:r>
          </w:p>
        </w:tc>
        <w:tc>
          <w:tcPr>
            <w:tcW w:w="0" w:type="auto"/>
            <w:noWrap/>
            <w:vAlign w:val="center"/>
          </w:tcPr>
          <w:p w14:paraId="127CF478">
            <w:pPr>
              <w:suppressLineNumbers/>
              <w:snapToGrid w:val="0"/>
              <w:jc w:val="center"/>
              <w:rPr>
                <w:sz w:val="18"/>
                <w:szCs w:val="18"/>
              </w:rPr>
            </w:pPr>
          </w:p>
        </w:tc>
        <w:tc>
          <w:tcPr>
            <w:tcW w:w="0" w:type="auto"/>
            <w:noWrap/>
            <w:vAlign w:val="center"/>
          </w:tcPr>
          <w:p w14:paraId="5EBB6979">
            <w:pPr>
              <w:suppressLineNumbers/>
              <w:snapToGrid w:val="0"/>
              <w:spacing w:line="360" w:lineRule="auto"/>
              <w:jc w:val="center"/>
              <w:rPr>
                <w:sz w:val="18"/>
                <w:szCs w:val="18"/>
              </w:rPr>
            </w:pPr>
            <w:r>
              <w:rPr>
                <w:rFonts w:hint="eastAsia"/>
                <w:sz w:val="18"/>
                <w:szCs w:val="18"/>
              </w:rPr>
              <w:t>1.600</w:t>
            </w:r>
            <w:r>
              <w:rPr>
                <w:sz w:val="18"/>
                <w:szCs w:val="18"/>
              </w:rPr>
              <w:t>(1.007</w:t>
            </w:r>
            <w:r>
              <w:rPr>
                <w:rFonts w:hint="eastAsia"/>
                <w:sz w:val="18"/>
                <w:szCs w:val="18"/>
              </w:rPr>
              <w:t>-</w:t>
            </w:r>
            <w:r>
              <w:rPr>
                <w:sz w:val="18"/>
                <w:szCs w:val="18"/>
              </w:rPr>
              <w:t>2.543)</w:t>
            </w:r>
          </w:p>
        </w:tc>
        <w:tc>
          <w:tcPr>
            <w:tcW w:w="723" w:type="dxa"/>
            <w:noWrap/>
            <w:vAlign w:val="center"/>
          </w:tcPr>
          <w:p w14:paraId="56CA248B">
            <w:pPr>
              <w:suppressLineNumbers/>
              <w:snapToGrid w:val="0"/>
              <w:spacing w:line="360" w:lineRule="auto"/>
              <w:jc w:val="center"/>
              <w:rPr>
                <w:sz w:val="18"/>
                <w:szCs w:val="18"/>
              </w:rPr>
            </w:pPr>
            <w:r>
              <w:rPr>
                <w:sz w:val="18"/>
                <w:szCs w:val="18"/>
              </w:rPr>
              <w:t>0.</w:t>
            </w:r>
            <w:r>
              <w:rPr>
                <w:rFonts w:hint="eastAsia"/>
                <w:sz w:val="18"/>
                <w:szCs w:val="18"/>
              </w:rPr>
              <w:t>047</w:t>
            </w:r>
          </w:p>
        </w:tc>
      </w:tr>
      <w:tr w14:paraId="6BE6669C">
        <w:trPr>
          <w:jc w:val="center"/>
        </w:trPr>
        <w:tc>
          <w:tcPr>
            <w:tcW w:w="3261" w:type="dxa"/>
            <w:noWrap/>
            <w:vAlign w:val="bottom"/>
          </w:tcPr>
          <w:p w14:paraId="32B39794">
            <w:pPr>
              <w:suppressLineNumbers/>
              <w:snapToGrid w:val="0"/>
              <w:rPr>
                <w:sz w:val="18"/>
                <w:szCs w:val="18"/>
              </w:rPr>
            </w:pPr>
            <w:r>
              <w:rPr>
                <w:sz w:val="18"/>
                <w:szCs w:val="18"/>
              </w:rPr>
              <w:t>Maximal tumor size (&gt;5cm versus</w:t>
            </w:r>
            <w:r>
              <w:rPr>
                <w:rFonts w:hint="eastAsia"/>
                <w:sz w:val="18"/>
                <w:szCs w:val="18"/>
              </w:rPr>
              <w:t xml:space="preserve"> </w:t>
            </w:r>
            <w:r>
              <w:rPr>
                <w:sz w:val="18"/>
                <w:szCs w:val="18"/>
              </w:rPr>
              <w:t>≤5)</w:t>
            </w:r>
          </w:p>
        </w:tc>
        <w:tc>
          <w:tcPr>
            <w:tcW w:w="1940" w:type="dxa"/>
            <w:noWrap/>
            <w:vAlign w:val="center"/>
          </w:tcPr>
          <w:p w14:paraId="2ECAE9B9">
            <w:pPr>
              <w:suppressLineNumbers/>
              <w:snapToGrid w:val="0"/>
              <w:spacing w:line="360" w:lineRule="auto"/>
              <w:jc w:val="center"/>
              <w:rPr>
                <w:sz w:val="18"/>
                <w:szCs w:val="18"/>
              </w:rPr>
            </w:pPr>
            <w:r>
              <w:rPr>
                <w:rFonts w:hint="eastAsia"/>
                <w:sz w:val="18"/>
                <w:szCs w:val="18"/>
              </w:rPr>
              <w:t>1.412</w:t>
            </w:r>
            <w:r>
              <w:rPr>
                <w:sz w:val="18"/>
                <w:szCs w:val="18"/>
              </w:rPr>
              <w:t>(0.</w:t>
            </w:r>
            <w:r>
              <w:rPr>
                <w:rFonts w:hint="eastAsia"/>
                <w:sz w:val="18"/>
                <w:szCs w:val="18"/>
              </w:rPr>
              <w:t>959</w:t>
            </w:r>
            <w:r>
              <w:rPr>
                <w:sz w:val="18"/>
                <w:szCs w:val="18"/>
              </w:rPr>
              <w:t>-</w:t>
            </w:r>
            <w:r>
              <w:rPr>
                <w:rFonts w:hint="eastAsia"/>
                <w:sz w:val="18"/>
                <w:szCs w:val="18"/>
              </w:rPr>
              <w:t>2.080</w:t>
            </w:r>
            <w:r>
              <w:rPr>
                <w:sz w:val="18"/>
                <w:szCs w:val="18"/>
              </w:rPr>
              <w:t>)</w:t>
            </w:r>
          </w:p>
        </w:tc>
        <w:tc>
          <w:tcPr>
            <w:tcW w:w="0" w:type="auto"/>
            <w:noWrap/>
            <w:vAlign w:val="center"/>
          </w:tcPr>
          <w:p w14:paraId="397539B2">
            <w:pPr>
              <w:suppressLineNumbers/>
              <w:snapToGrid w:val="0"/>
              <w:spacing w:line="360" w:lineRule="auto"/>
              <w:jc w:val="center"/>
              <w:rPr>
                <w:sz w:val="18"/>
                <w:szCs w:val="18"/>
              </w:rPr>
            </w:pPr>
            <w:r>
              <w:rPr>
                <w:sz w:val="18"/>
                <w:szCs w:val="18"/>
              </w:rPr>
              <w:t>0.</w:t>
            </w:r>
            <w:r>
              <w:rPr>
                <w:rFonts w:hint="eastAsia"/>
                <w:sz w:val="18"/>
                <w:szCs w:val="18"/>
              </w:rPr>
              <w:t>081</w:t>
            </w:r>
          </w:p>
        </w:tc>
        <w:tc>
          <w:tcPr>
            <w:tcW w:w="0" w:type="auto"/>
            <w:noWrap/>
            <w:vAlign w:val="center"/>
          </w:tcPr>
          <w:p w14:paraId="6133332F">
            <w:pPr>
              <w:suppressLineNumbers/>
              <w:snapToGrid w:val="0"/>
              <w:jc w:val="center"/>
              <w:rPr>
                <w:sz w:val="18"/>
                <w:szCs w:val="18"/>
              </w:rPr>
            </w:pPr>
          </w:p>
        </w:tc>
        <w:tc>
          <w:tcPr>
            <w:tcW w:w="0" w:type="auto"/>
            <w:noWrap/>
            <w:vAlign w:val="center"/>
          </w:tcPr>
          <w:p w14:paraId="043F83E5">
            <w:pPr>
              <w:suppressLineNumbers/>
              <w:snapToGrid w:val="0"/>
              <w:spacing w:line="360" w:lineRule="auto"/>
              <w:jc w:val="center"/>
              <w:rPr>
                <w:sz w:val="18"/>
                <w:szCs w:val="18"/>
              </w:rPr>
            </w:pPr>
            <w:r>
              <w:rPr>
                <w:sz w:val="18"/>
                <w:szCs w:val="18"/>
              </w:rPr>
              <w:t>1.463(0</w:t>
            </w:r>
            <w:r>
              <w:rPr>
                <w:rFonts w:hint="eastAsia"/>
              </w:rPr>
              <w:t xml:space="preserve"> </w:t>
            </w:r>
            <w:r>
              <w:rPr>
                <w:sz w:val="18"/>
                <w:szCs w:val="18"/>
              </w:rPr>
              <w:t>.980</w:t>
            </w:r>
            <w:r>
              <w:rPr>
                <w:rFonts w:hint="eastAsia"/>
                <w:sz w:val="18"/>
                <w:szCs w:val="18"/>
              </w:rPr>
              <w:t>-</w:t>
            </w:r>
            <w:r>
              <w:rPr>
                <w:sz w:val="18"/>
                <w:szCs w:val="18"/>
              </w:rPr>
              <w:t>2.185)</w:t>
            </w:r>
          </w:p>
        </w:tc>
        <w:tc>
          <w:tcPr>
            <w:tcW w:w="723" w:type="dxa"/>
            <w:noWrap/>
            <w:vAlign w:val="center"/>
          </w:tcPr>
          <w:p w14:paraId="13B3984C">
            <w:pPr>
              <w:suppressLineNumbers/>
              <w:snapToGrid w:val="0"/>
              <w:spacing w:line="360" w:lineRule="auto"/>
              <w:jc w:val="center"/>
              <w:rPr>
                <w:sz w:val="18"/>
                <w:szCs w:val="18"/>
              </w:rPr>
            </w:pPr>
            <w:r>
              <w:rPr>
                <w:sz w:val="18"/>
                <w:szCs w:val="18"/>
              </w:rPr>
              <w:t>0.</w:t>
            </w:r>
            <w:r>
              <w:rPr>
                <w:rFonts w:hint="eastAsia"/>
                <w:sz w:val="18"/>
                <w:szCs w:val="18"/>
              </w:rPr>
              <w:t>063</w:t>
            </w:r>
          </w:p>
        </w:tc>
      </w:tr>
      <w:tr w14:paraId="61128B77">
        <w:trPr>
          <w:jc w:val="center"/>
        </w:trPr>
        <w:tc>
          <w:tcPr>
            <w:tcW w:w="3261" w:type="dxa"/>
            <w:noWrap/>
            <w:vAlign w:val="bottom"/>
          </w:tcPr>
          <w:p w14:paraId="00FB680F">
            <w:pPr>
              <w:suppressLineNumbers/>
              <w:snapToGrid w:val="0"/>
              <w:rPr>
                <w:sz w:val="18"/>
                <w:szCs w:val="18"/>
              </w:rPr>
            </w:pPr>
            <w:r>
              <w:rPr>
                <w:sz w:val="18"/>
                <w:szCs w:val="18"/>
              </w:rPr>
              <w:t>Tumor encapsulation (absent versus present)</w:t>
            </w:r>
          </w:p>
        </w:tc>
        <w:tc>
          <w:tcPr>
            <w:tcW w:w="1940" w:type="dxa"/>
            <w:noWrap/>
            <w:vAlign w:val="center"/>
          </w:tcPr>
          <w:p w14:paraId="47D3C4D1">
            <w:pPr>
              <w:suppressLineNumbers/>
              <w:snapToGrid w:val="0"/>
              <w:spacing w:line="360" w:lineRule="auto"/>
              <w:jc w:val="center"/>
              <w:rPr>
                <w:sz w:val="18"/>
                <w:szCs w:val="18"/>
              </w:rPr>
            </w:pPr>
            <w:r>
              <w:rPr>
                <w:rFonts w:hint="eastAsia"/>
                <w:sz w:val="18"/>
                <w:szCs w:val="18"/>
              </w:rPr>
              <w:t>1.172</w:t>
            </w:r>
            <w:r>
              <w:rPr>
                <w:sz w:val="18"/>
                <w:szCs w:val="18"/>
              </w:rPr>
              <w:t>(0.</w:t>
            </w:r>
            <w:r>
              <w:rPr>
                <w:rFonts w:hint="eastAsia"/>
                <w:sz w:val="18"/>
                <w:szCs w:val="18"/>
              </w:rPr>
              <w:t>738</w:t>
            </w:r>
            <w:r>
              <w:rPr>
                <w:sz w:val="18"/>
                <w:szCs w:val="18"/>
              </w:rPr>
              <w:t>-1.</w:t>
            </w:r>
            <w:r>
              <w:rPr>
                <w:rFonts w:hint="eastAsia"/>
                <w:sz w:val="18"/>
                <w:szCs w:val="18"/>
              </w:rPr>
              <w:t>863</w:t>
            </w:r>
            <w:r>
              <w:rPr>
                <w:sz w:val="18"/>
                <w:szCs w:val="18"/>
              </w:rPr>
              <w:t>)</w:t>
            </w:r>
          </w:p>
        </w:tc>
        <w:tc>
          <w:tcPr>
            <w:tcW w:w="0" w:type="auto"/>
            <w:noWrap/>
            <w:vAlign w:val="center"/>
          </w:tcPr>
          <w:p w14:paraId="223256B4">
            <w:pPr>
              <w:suppressLineNumbers/>
              <w:snapToGrid w:val="0"/>
              <w:spacing w:line="360" w:lineRule="auto"/>
              <w:jc w:val="center"/>
              <w:rPr>
                <w:sz w:val="18"/>
                <w:szCs w:val="18"/>
              </w:rPr>
            </w:pPr>
            <w:r>
              <w:rPr>
                <w:sz w:val="18"/>
                <w:szCs w:val="18"/>
              </w:rPr>
              <w:t>0.</w:t>
            </w:r>
            <w:r>
              <w:rPr>
                <w:rFonts w:hint="eastAsia"/>
                <w:sz w:val="18"/>
                <w:szCs w:val="18"/>
              </w:rPr>
              <w:t>501</w:t>
            </w:r>
          </w:p>
        </w:tc>
        <w:tc>
          <w:tcPr>
            <w:tcW w:w="0" w:type="auto"/>
            <w:noWrap/>
            <w:vAlign w:val="center"/>
          </w:tcPr>
          <w:p w14:paraId="0034EEFE">
            <w:pPr>
              <w:suppressLineNumbers/>
              <w:snapToGrid w:val="0"/>
              <w:jc w:val="center"/>
              <w:rPr>
                <w:sz w:val="18"/>
                <w:szCs w:val="18"/>
              </w:rPr>
            </w:pPr>
          </w:p>
        </w:tc>
        <w:tc>
          <w:tcPr>
            <w:tcW w:w="0" w:type="auto"/>
            <w:noWrap/>
            <w:vAlign w:val="center"/>
          </w:tcPr>
          <w:p w14:paraId="09C13136">
            <w:pPr>
              <w:suppressLineNumbers/>
              <w:snapToGrid w:val="0"/>
              <w:spacing w:line="360" w:lineRule="auto"/>
              <w:jc w:val="center"/>
              <w:rPr>
                <w:sz w:val="18"/>
                <w:szCs w:val="18"/>
              </w:rPr>
            </w:pPr>
            <w:r>
              <w:rPr>
                <w:sz w:val="18"/>
                <w:szCs w:val="18"/>
              </w:rPr>
              <w:t>1.104 (0.</w:t>
            </w:r>
            <w:r>
              <w:rPr>
                <w:rFonts w:hint="eastAsia"/>
                <w:sz w:val="18"/>
                <w:szCs w:val="18"/>
              </w:rPr>
              <w:t>688</w:t>
            </w:r>
            <w:r>
              <w:rPr>
                <w:sz w:val="18"/>
                <w:szCs w:val="18"/>
              </w:rPr>
              <w:t>-1.</w:t>
            </w:r>
            <w:r>
              <w:rPr>
                <w:rFonts w:hint="eastAsia"/>
                <w:sz w:val="18"/>
                <w:szCs w:val="18"/>
              </w:rPr>
              <w:t>772</w:t>
            </w:r>
            <w:r>
              <w:rPr>
                <w:sz w:val="18"/>
                <w:szCs w:val="18"/>
              </w:rPr>
              <w:t>)</w:t>
            </w:r>
          </w:p>
        </w:tc>
        <w:tc>
          <w:tcPr>
            <w:tcW w:w="723" w:type="dxa"/>
            <w:noWrap/>
            <w:vAlign w:val="center"/>
          </w:tcPr>
          <w:p w14:paraId="53899B2A">
            <w:pPr>
              <w:suppressLineNumbers/>
              <w:snapToGrid w:val="0"/>
              <w:spacing w:line="360" w:lineRule="auto"/>
              <w:jc w:val="center"/>
              <w:rPr>
                <w:sz w:val="18"/>
                <w:szCs w:val="18"/>
              </w:rPr>
            </w:pPr>
            <w:r>
              <w:rPr>
                <w:sz w:val="18"/>
                <w:szCs w:val="18"/>
              </w:rPr>
              <w:t>0.</w:t>
            </w:r>
            <w:r>
              <w:rPr>
                <w:rFonts w:hint="eastAsia"/>
                <w:sz w:val="18"/>
                <w:szCs w:val="18"/>
              </w:rPr>
              <w:t>682</w:t>
            </w:r>
          </w:p>
        </w:tc>
      </w:tr>
      <w:tr w14:paraId="23586CDE">
        <w:trPr>
          <w:jc w:val="center"/>
        </w:trPr>
        <w:tc>
          <w:tcPr>
            <w:tcW w:w="3261" w:type="dxa"/>
            <w:noWrap/>
            <w:vAlign w:val="bottom"/>
          </w:tcPr>
          <w:p w14:paraId="1F7D3065">
            <w:pPr>
              <w:suppressLineNumbers/>
              <w:snapToGrid w:val="0"/>
              <w:rPr>
                <w:sz w:val="18"/>
                <w:szCs w:val="18"/>
              </w:rPr>
            </w:pPr>
            <w:r>
              <w:rPr>
                <w:sz w:val="18"/>
                <w:szCs w:val="18"/>
              </w:rPr>
              <w:t>Microvascular invasion (present versus absent)</w:t>
            </w:r>
          </w:p>
        </w:tc>
        <w:tc>
          <w:tcPr>
            <w:tcW w:w="1940" w:type="dxa"/>
            <w:noWrap/>
            <w:vAlign w:val="center"/>
          </w:tcPr>
          <w:p w14:paraId="20B65634">
            <w:pPr>
              <w:suppressLineNumbers/>
              <w:snapToGrid w:val="0"/>
              <w:spacing w:line="360" w:lineRule="auto"/>
              <w:jc w:val="center"/>
              <w:rPr>
                <w:sz w:val="18"/>
                <w:szCs w:val="18"/>
              </w:rPr>
            </w:pPr>
            <w:r>
              <w:rPr>
                <w:rFonts w:hint="eastAsia"/>
                <w:sz w:val="18"/>
                <w:szCs w:val="18"/>
              </w:rPr>
              <w:t>1.725</w:t>
            </w:r>
            <w:r>
              <w:rPr>
                <w:sz w:val="18"/>
                <w:szCs w:val="18"/>
              </w:rPr>
              <w:t>(</w:t>
            </w:r>
            <w:r>
              <w:rPr>
                <w:rFonts w:hint="eastAsia"/>
                <w:sz w:val="18"/>
                <w:szCs w:val="18"/>
              </w:rPr>
              <w:t>1.123</w:t>
            </w:r>
            <w:r>
              <w:rPr>
                <w:sz w:val="18"/>
                <w:szCs w:val="18"/>
              </w:rPr>
              <w:t>-</w:t>
            </w:r>
            <w:r>
              <w:rPr>
                <w:rFonts w:hint="eastAsia"/>
                <w:sz w:val="18"/>
                <w:szCs w:val="18"/>
              </w:rPr>
              <w:t>2.649</w:t>
            </w:r>
            <w:r>
              <w:rPr>
                <w:sz w:val="18"/>
                <w:szCs w:val="18"/>
              </w:rPr>
              <w:t>)</w:t>
            </w:r>
          </w:p>
        </w:tc>
        <w:tc>
          <w:tcPr>
            <w:tcW w:w="0" w:type="auto"/>
            <w:noWrap/>
            <w:vAlign w:val="center"/>
          </w:tcPr>
          <w:p w14:paraId="0E15D59F">
            <w:pPr>
              <w:suppressLineNumbers/>
              <w:snapToGrid w:val="0"/>
              <w:spacing w:line="360" w:lineRule="auto"/>
              <w:jc w:val="center"/>
              <w:rPr>
                <w:sz w:val="18"/>
                <w:szCs w:val="18"/>
              </w:rPr>
            </w:pPr>
            <w:r>
              <w:rPr>
                <w:sz w:val="18"/>
                <w:szCs w:val="18"/>
              </w:rPr>
              <w:t>0.</w:t>
            </w:r>
            <w:r>
              <w:rPr>
                <w:rFonts w:hint="eastAsia"/>
                <w:sz w:val="18"/>
                <w:szCs w:val="18"/>
              </w:rPr>
              <w:t>013</w:t>
            </w:r>
          </w:p>
        </w:tc>
        <w:tc>
          <w:tcPr>
            <w:tcW w:w="0" w:type="auto"/>
            <w:noWrap/>
            <w:vAlign w:val="center"/>
          </w:tcPr>
          <w:p w14:paraId="76B0E83C">
            <w:pPr>
              <w:suppressLineNumbers/>
              <w:snapToGrid w:val="0"/>
              <w:jc w:val="center"/>
              <w:rPr>
                <w:sz w:val="18"/>
                <w:szCs w:val="18"/>
              </w:rPr>
            </w:pPr>
          </w:p>
        </w:tc>
        <w:tc>
          <w:tcPr>
            <w:tcW w:w="0" w:type="auto"/>
            <w:noWrap/>
            <w:vAlign w:val="center"/>
          </w:tcPr>
          <w:p w14:paraId="7BCA3DD4">
            <w:pPr>
              <w:suppressLineNumbers/>
              <w:snapToGrid w:val="0"/>
              <w:spacing w:line="360" w:lineRule="auto"/>
              <w:jc w:val="center"/>
              <w:rPr>
                <w:sz w:val="18"/>
                <w:szCs w:val="18"/>
              </w:rPr>
            </w:pPr>
            <w:r>
              <w:rPr>
                <w:rFonts w:hint="eastAsia"/>
                <w:sz w:val="18"/>
                <w:szCs w:val="18"/>
              </w:rPr>
              <w:t>1.914</w:t>
            </w:r>
            <w:r>
              <w:rPr>
                <w:sz w:val="18"/>
                <w:szCs w:val="18"/>
              </w:rPr>
              <w:t>(</w:t>
            </w:r>
            <w:r>
              <w:rPr>
                <w:rFonts w:hint="eastAsia"/>
                <w:sz w:val="18"/>
                <w:szCs w:val="18"/>
              </w:rPr>
              <w:t>1.239</w:t>
            </w:r>
            <w:r>
              <w:rPr>
                <w:sz w:val="18"/>
                <w:szCs w:val="18"/>
              </w:rPr>
              <w:t>-</w:t>
            </w:r>
            <w:r>
              <w:rPr>
                <w:rFonts w:hint="eastAsia"/>
                <w:sz w:val="18"/>
                <w:szCs w:val="18"/>
              </w:rPr>
              <w:t>2.956</w:t>
            </w:r>
            <w:r>
              <w:rPr>
                <w:sz w:val="18"/>
                <w:szCs w:val="18"/>
              </w:rPr>
              <w:t>)</w:t>
            </w:r>
          </w:p>
        </w:tc>
        <w:tc>
          <w:tcPr>
            <w:tcW w:w="723" w:type="dxa"/>
            <w:noWrap/>
            <w:vAlign w:val="center"/>
          </w:tcPr>
          <w:p w14:paraId="18B2EDC5">
            <w:pPr>
              <w:suppressLineNumbers/>
              <w:snapToGrid w:val="0"/>
              <w:spacing w:line="360" w:lineRule="auto"/>
              <w:jc w:val="center"/>
              <w:rPr>
                <w:sz w:val="18"/>
                <w:szCs w:val="18"/>
              </w:rPr>
            </w:pPr>
            <w:r>
              <w:rPr>
                <w:rFonts w:hint="eastAsia"/>
                <w:sz w:val="18"/>
                <w:szCs w:val="18"/>
              </w:rPr>
              <w:t>0.003</w:t>
            </w:r>
          </w:p>
        </w:tc>
      </w:tr>
      <w:tr w14:paraId="41EC1FC8">
        <w:trPr>
          <w:jc w:val="center"/>
        </w:trPr>
        <w:tc>
          <w:tcPr>
            <w:tcW w:w="3261" w:type="dxa"/>
            <w:noWrap/>
            <w:vAlign w:val="bottom"/>
          </w:tcPr>
          <w:p w14:paraId="1255535F">
            <w:pPr>
              <w:suppressLineNumbers/>
              <w:snapToGrid w:val="0"/>
              <w:rPr>
                <w:sz w:val="18"/>
                <w:szCs w:val="18"/>
              </w:rPr>
            </w:pPr>
            <w:r>
              <w:rPr>
                <w:sz w:val="18"/>
                <w:szCs w:val="18"/>
              </w:rPr>
              <w:t>Tumor differentiation (III-Ⅳ</w:t>
            </w:r>
            <w:r>
              <w:rPr>
                <w:rFonts w:hint="eastAsia"/>
                <w:sz w:val="18"/>
                <w:szCs w:val="18"/>
              </w:rPr>
              <w:t xml:space="preserve"> </w:t>
            </w:r>
            <w:r>
              <w:rPr>
                <w:sz w:val="18"/>
                <w:szCs w:val="18"/>
              </w:rPr>
              <w:t>versus I-II)</w:t>
            </w:r>
          </w:p>
        </w:tc>
        <w:tc>
          <w:tcPr>
            <w:tcW w:w="1940" w:type="dxa"/>
            <w:noWrap/>
            <w:vAlign w:val="center"/>
          </w:tcPr>
          <w:p w14:paraId="6E6C2B5E">
            <w:pPr>
              <w:suppressLineNumbers/>
              <w:snapToGrid w:val="0"/>
              <w:spacing w:line="360" w:lineRule="auto"/>
              <w:jc w:val="center"/>
              <w:rPr>
                <w:sz w:val="18"/>
                <w:szCs w:val="18"/>
              </w:rPr>
            </w:pPr>
            <w:r>
              <w:rPr>
                <w:rFonts w:hint="eastAsia"/>
                <w:sz w:val="18"/>
                <w:szCs w:val="18"/>
              </w:rPr>
              <w:t>1.484</w:t>
            </w:r>
            <w:r>
              <w:rPr>
                <w:sz w:val="18"/>
                <w:szCs w:val="18"/>
              </w:rPr>
              <w:t>(</w:t>
            </w:r>
            <w:r>
              <w:rPr>
                <w:rFonts w:hint="eastAsia"/>
                <w:sz w:val="18"/>
                <w:szCs w:val="18"/>
              </w:rPr>
              <w:t>1.011-2.178</w:t>
            </w:r>
            <w:r>
              <w:rPr>
                <w:sz w:val="18"/>
                <w:szCs w:val="18"/>
              </w:rPr>
              <w:t>)</w:t>
            </w:r>
          </w:p>
        </w:tc>
        <w:tc>
          <w:tcPr>
            <w:tcW w:w="0" w:type="auto"/>
            <w:noWrap/>
            <w:vAlign w:val="center"/>
          </w:tcPr>
          <w:p w14:paraId="46C89668">
            <w:pPr>
              <w:suppressLineNumbers/>
              <w:snapToGrid w:val="0"/>
              <w:spacing w:line="360" w:lineRule="auto"/>
              <w:jc w:val="center"/>
              <w:rPr>
                <w:sz w:val="18"/>
                <w:szCs w:val="18"/>
              </w:rPr>
            </w:pPr>
            <w:r>
              <w:rPr>
                <w:bCs/>
                <w:sz w:val="18"/>
                <w:szCs w:val="18"/>
              </w:rPr>
              <w:t>0.0</w:t>
            </w:r>
            <w:r>
              <w:rPr>
                <w:rFonts w:hint="eastAsia"/>
                <w:bCs/>
                <w:sz w:val="18"/>
                <w:szCs w:val="18"/>
              </w:rPr>
              <w:t>44</w:t>
            </w:r>
          </w:p>
        </w:tc>
        <w:tc>
          <w:tcPr>
            <w:tcW w:w="0" w:type="auto"/>
            <w:noWrap/>
            <w:vAlign w:val="center"/>
          </w:tcPr>
          <w:p w14:paraId="183EE4C8">
            <w:pPr>
              <w:suppressLineNumbers/>
              <w:snapToGrid w:val="0"/>
              <w:jc w:val="center"/>
              <w:rPr>
                <w:sz w:val="18"/>
                <w:szCs w:val="18"/>
              </w:rPr>
            </w:pPr>
          </w:p>
        </w:tc>
        <w:tc>
          <w:tcPr>
            <w:tcW w:w="0" w:type="auto"/>
            <w:noWrap/>
            <w:vAlign w:val="center"/>
          </w:tcPr>
          <w:p w14:paraId="3FDB8DB2">
            <w:pPr>
              <w:suppressLineNumbers/>
              <w:snapToGrid w:val="0"/>
              <w:spacing w:line="360" w:lineRule="auto"/>
              <w:jc w:val="center"/>
              <w:rPr>
                <w:sz w:val="18"/>
                <w:szCs w:val="18"/>
              </w:rPr>
            </w:pPr>
            <w:r>
              <w:rPr>
                <w:rFonts w:hint="eastAsia"/>
                <w:sz w:val="18"/>
                <w:szCs w:val="18"/>
              </w:rPr>
              <w:t>1.574</w:t>
            </w:r>
            <w:r>
              <w:rPr>
                <w:sz w:val="18"/>
                <w:szCs w:val="18"/>
              </w:rPr>
              <w:t>(</w:t>
            </w:r>
            <w:r>
              <w:rPr>
                <w:rFonts w:hint="eastAsia"/>
                <w:sz w:val="18"/>
                <w:szCs w:val="18"/>
              </w:rPr>
              <w:t>1.071</w:t>
            </w:r>
            <w:r>
              <w:rPr>
                <w:sz w:val="18"/>
                <w:szCs w:val="18"/>
              </w:rPr>
              <w:t>-</w:t>
            </w:r>
            <w:r>
              <w:rPr>
                <w:rFonts w:hint="eastAsia"/>
                <w:sz w:val="18"/>
                <w:szCs w:val="18"/>
              </w:rPr>
              <w:t>2.311</w:t>
            </w:r>
            <w:r>
              <w:rPr>
                <w:sz w:val="18"/>
                <w:szCs w:val="18"/>
              </w:rPr>
              <w:t>)</w:t>
            </w:r>
          </w:p>
        </w:tc>
        <w:tc>
          <w:tcPr>
            <w:tcW w:w="723" w:type="dxa"/>
            <w:noWrap/>
            <w:vAlign w:val="center"/>
          </w:tcPr>
          <w:p w14:paraId="64D7B29D">
            <w:pPr>
              <w:suppressLineNumbers/>
              <w:snapToGrid w:val="0"/>
              <w:spacing w:line="360" w:lineRule="auto"/>
              <w:jc w:val="center"/>
              <w:rPr>
                <w:sz w:val="18"/>
                <w:szCs w:val="18"/>
              </w:rPr>
            </w:pPr>
            <w:r>
              <w:rPr>
                <w:bCs/>
                <w:sz w:val="18"/>
                <w:szCs w:val="18"/>
              </w:rPr>
              <w:t>0.0</w:t>
            </w:r>
            <w:r>
              <w:rPr>
                <w:rFonts w:hint="eastAsia"/>
                <w:bCs/>
                <w:sz w:val="18"/>
                <w:szCs w:val="18"/>
              </w:rPr>
              <w:t>21</w:t>
            </w:r>
          </w:p>
        </w:tc>
      </w:tr>
      <w:tr w14:paraId="37C08733">
        <w:trPr>
          <w:jc w:val="center"/>
        </w:trPr>
        <w:tc>
          <w:tcPr>
            <w:tcW w:w="3261" w:type="dxa"/>
            <w:noWrap/>
            <w:vAlign w:val="bottom"/>
          </w:tcPr>
          <w:p w14:paraId="1A8C00F8">
            <w:pPr>
              <w:suppressLineNumbers/>
              <w:snapToGrid w:val="0"/>
              <w:rPr>
                <w:sz w:val="18"/>
                <w:szCs w:val="18"/>
              </w:rPr>
            </w:pPr>
            <w:r>
              <w:rPr>
                <w:sz w:val="18"/>
                <w:szCs w:val="18"/>
              </w:rPr>
              <w:t>TNM stage (III versus I-II)</w:t>
            </w:r>
          </w:p>
        </w:tc>
        <w:tc>
          <w:tcPr>
            <w:tcW w:w="1940" w:type="dxa"/>
            <w:noWrap/>
            <w:vAlign w:val="center"/>
          </w:tcPr>
          <w:p w14:paraId="080DDE3F">
            <w:pPr>
              <w:suppressLineNumbers/>
              <w:snapToGrid w:val="0"/>
              <w:spacing w:line="360" w:lineRule="auto"/>
              <w:jc w:val="center"/>
              <w:rPr>
                <w:bCs/>
                <w:sz w:val="18"/>
                <w:szCs w:val="18"/>
              </w:rPr>
            </w:pPr>
            <w:r>
              <w:rPr>
                <w:rFonts w:hint="eastAsia"/>
                <w:sz w:val="18"/>
                <w:szCs w:val="18"/>
              </w:rPr>
              <w:t>2.996</w:t>
            </w:r>
            <w:r>
              <w:rPr>
                <w:sz w:val="18"/>
                <w:szCs w:val="18"/>
              </w:rPr>
              <w:t>(</w:t>
            </w:r>
            <w:r>
              <w:rPr>
                <w:rFonts w:hint="eastAsia"/>
                <w:sz w:val="18"/>
                <w:szCs w:val="18"/>
              </w:rPr>
              <w:t>1.816</w:t>
            </w:r>
            <w:r>
              <w:rPr>
                <w:sz w:val="18"/>
                <w:szCs w:val="18"/>
              </w:rPr>
              <w:t>-</w:t>
            </w:r>
            <w:r>
              <w:rPr>
                <w:rFonts w:hint="eastAsia"/>
                <w:sz w:val="18"/>
                <w:szCs w:val="18"/>
              </w:rPr>
              <w:t>4.944</w:t>
            </w:r>
            <w:r>
              <w:rPr>
                <w:sz w:val="18"/>
                <w:szCs w:val="18"/>
              </w:rPr>
              <w:t>)</w:t>
            </w:r>
          </w:p>
        </w:tc>
        <w:tc>
          <w:tcPr>
            <w:tcW w:w="0" w:type="auto"/>
            <w:noWrap/>
            <w:vAlign w:val="center"/>
          </w:tcPr>
          <w:p w14:paraId="1713DA8D">
            <w:pPr>
              <w:suppressLineNumbers/>
              <w:snapToGrid w:val="0"/>
              <w:spacing w:line="360" w:lineRule="auto"/>
              <w:jc w:val="center"/>
              <w:rPr>
                <w:bCs/>
                <w:sz w:val="18"/>
                <w:szCs w:val="18"/>
              </w:rPr>
            </w:pPr>
            <w:r>
              <w:rPr>
                <w:bCs/>
                <w:sz w:val="18"/>
                <w:szCs w:val="18"/>
              </w:rPr>
              <w:t>&lt;0.001</w:t>
            </w:r>
          </w:p>
        </w:tc>
        <w:tc>
          <w:tcPr>
            <w:tcW w:w="0" w:type="auto"/>
            <w:noWrap/>
            <w:vAlign w:val="center"/>
          </w:tcPr>
          <w:p w14:paraId="6FB40785">
            <w:pPr>
              <w:suppressLineNumbers/>
              <w:snapToGrid w:val="0"/>
              <w:jc w:val="center"/>
              <w:rPr>
                <w:sz w:val="18"/>
                <w:szCs w:val="18"/>
              </w:rPr>
            </w:pPr>
          </w:p>
        </w:tc>
        <w:tc>
          <w:tcPr>
            <w:tcW w:w="0" w:type="auto"/>
            <w:noWrap/>
            <w:vAlign w:val="center"/>
          </w:tcPr>
          <w:p w14:paraId="68917146">
            <w:pPr>
              <w:suppressLineNumbers/>
              <w:snapToGrid w:val="0"/>
              <w:spacing w:line="360" w:lineRule="auto"/>
              <w:jc w:val="center"/>
              <w:rPr>
                <w:bCs/>
                <w:sz w:val="18"/>
                <w:szCs w:val="18"/>
              </w:rPr>
            </w:pPr>
            <w:r>
              <w:rPr>
                <w:rFonts w:hint="eastAsia"/>
                <w:sz w:val="18"/>
                <w:szCs w:val="18"/>
              </w:rPr>
              <w:t>2.962</w:t>
            </w:r>
            <w:r>
              <w:rPr>
                <w:sz w:val="18"/>
                <w:szCs w:val="18"/>
              </w:rPr>
              <w:t>(</w:t>
            </w:r>
            <w:r>
              <w:rPr>
                <w:rFonts w:hint="eastAsia"/>
                <w:sz w:val="18"/>
                <w:szCs w:val="18"/>
              </w:rPr>
              <w:t>1.774</w:t>
            </w:r>
            <w:r>
              <w:rPr>
                <w:sz w:val="18"/>
                <w:szCs w:val="18"/>
              </w:rPr>
              <w:t>-</w:t>
            </w:r>
            <w:r>
              <w:rPr>
                <w:rFonts w:hint="eastAsia"/>
                <w:sz w:val="18"/>
                <w:szCs w:val="18"/>
              </w:rPr>
              <w:t>4.945</w:t>
            </w:r>
            <w:r>
              <w:rPr>
                <w:sz w:val="18"/>
                <w:szCs w:val="18"/>
              </w:rPr>
              <w:t>)</w:t>
            </w:r>
          </w:p>
        </w:tc>
        <w:tc>
          <w:tcPr>
            <w:tcW w:w="723" w:type="dxa"/>
            <w:noWrap/>
            <w:vAlign w:val="center"/>
          </w:tcPr>
          <w:p w14:paraId="2EB3834A">
            <w:pPr>
              <w:suppressLineNumbers/>
              <w:snapToGrid w:val="0"/>
              <w:spacing w:line="360" w:lineRule="auto"/>
              <w:jc w:val="center"/>
              <w:rPr>
                <w:bCs/>
                <w:sz w:val="18"/>
                <w:szCs w:val="18"/>
              </w:rPr>
            </w:pPr>
            <w:r>
              <w:rPr>
                <w:bCs/>
                <w:sz w:val="18"/>
                <w:szCs w:val="18"/>
              </w:rPr>
              <w:t>&lt;0.001</w:t>
            </w:r>
          </w:p>
        </w:tc>
      </w:tr>
      <w:tr w14:paraId="46AFAC1F">
        <w:trPr>
          <w:jc w:val="center"/>
        </w:trPr>
        <w:tc>
          <w:tcPr>
            <w:tcW w:w="3261" w:type="dxa"/>
            <w:tcBorders>
              <w:top w:val="nil"/>
              <w:left w:val="nil"/>
              <w:bottom w:val="single" w:color="auto" w:sz="4" w:space="0"/>
              <w:right w:val="nil"/>
            </w:tcBorders>
            <w:noWrap/>
            <w:vAlign w:val="bottom"/>
          </w:tcPr>
          <w:p w14:paraId="700F76C8">
            <w:pPr>
              <w:suppressLineNumbers/>
              <w:snapToGrid w:val="0"/>
              <w:rPr>
                <w:sz w:val="18"/>
                <w:szCs w:val="18"/>
              </w:rPr>
            </w:pPr>
            <w:r>
              <w:rPr>
                <w:sz w:val="18"/>
                <w:szCs w:val="18"/>
              </w:rPr>
              <w:t>uPAR expression (negative versus positive)</w:t>
            </w:r>
          </w:p>
        </w:tc>
        <w:tc>
          <w:tcPr>
            <w:tcW w:w="1940" w:type="dxa"/>
            <w:tcBorders>
              <w:top w:val="nil"/>
              <w:left w:val="nil"/>
              <w:bottom w:val="single" w:color="auto" w:sz="4" w:space="0"/>
              <w:right w:val="nil"/>
            </w:tcBorders>
            <w:noWrap/>
            <w:vAlign w:val="center"/>
          </w:tcPr>
          <w:p w14:paraId="1C4CCCE5">
            <w:pPr>
              <w:suppressLineNumbers/>
              <w:snapToGrid w:val="0"/>
              <w:spacing w:line="360" w:lineRule="auto"/>
              <w:jc w:val="center"/>
              <w:rPr>
                <w:bCs/>
                <w:sz w:val="18"/>
                <w:szCs w:val="18"/>
              </w:rPr>
            </w:pPr>
            <w:r>
              <w:rPr>
                <w:sz w:val="18"/>
                <w:szCs w:val="18"/>
              </w:rPr>
              <w:t>0.</w:t>
            </w:r>
            <w:r>
              <w:rPr>
                <w:rFonts w:hint="eastAsia"/>
                <w:sz w:val="18"/>
                <w:szCs w:val="18"/>
              </w:rPr>
              <w:t>546</w:t>
            </w:r>
            <w:r>
              <w:rPr>
                <w:sz w:val="18"/>
                <w:szCs w:val="18"/>
              </w:rPr>
              <w:t>(0.</w:t>
            </w:r>
            <w:r>
              <w:rPr>
                <w:rFonts w:hint="eastAsia"/>
                <w:sz w:val="18"/>
                <w:szCs w:val="18"/>
              </w:rPr>
              <w:t>393</w:t>
            </w:r>
            <w:r>
              <w:rPr>
                <w:sz w:val="18"/>
                <w:szCs w:val="18"/>
              </w:rPr>
              <w:t>-</w:t>
            </w:r>
            <w:r>
              <w:rPr>
                <w:rFonts w:hint="eastAsia"/>
                <w:sz w:val="18"/>
                <w:szCs w:val="18"/>
              </w:rPr>
              <w:t>0.761)</w:t>
            </w:r>
          </w:p>
        </w:tc>
        <w:tc>
          <w:tcPr>
            <w:tcW w:w="723" w:type="dxa"/>
            <w:tcBorders>
              <w:top w:val="nil"/>
              <w:left w:val="nil"/>
              <w:bottom w:val="single" w:color="auto" w:sz="4" w:space="0"/>
              <w:right w:val="nil"/>
            </w:tcBorders>
            <w:noWrap/>
            <w:vAlign w:val="center"/>
          </w:tcPr>
          <w:p w14:paraId="495D38CB">
            <w:pPr>
              <w:suppressLineNumbers/>
              <w:snapToGrid w:val="0"/>
              <w:spacing w:line="360" w:lineRule="auto"/>
              <w:jc w:val="center"/>
              <w:rPr>
                <w:bCs/>
                <w:sz w:val="18"/>
                <w:szCs w:val="18"/>
              </w:rPr>
            </w:pPr>
            <w:r>
              <w:rPr>
                <w:bCs/>
                <w:sz w:val="18"/>
                <w:szCs w:val="18"/>
              </w:rPr>
              <w:t>&lt;0.001</w:t>
            </w:r>
          </w:p>
        </w:tc>
        <w:tc>
          <w:tcPr>
            <w:tcW w:w="222" w:type="dxa"/>
            <w:tcBorders>
              <w:top w:val="nil"/>
              <w:left w:val="nil"/>
              <w:bottom w:val="single" w:color="auto" w:sz="4" w:space="0"/>
              <w:right w:val="nil"/>
            </w:tcBorders>
            <w:noWrap/>
            <w:vAlign w:val="center"/>
          </w:tcPr>
          <w:p w14:paraId="1858A827">
            <w:pPr>
              <w:suppressLineNumbers/>
              <w:snapToGrid w:val="0"/>
              <w:jc w:val="center"/>
              <w:rPr>
                <w:sz w:val="18"/>
                <w:szCs w:val="18"/>
              </w:rPr>
            </w:pPr>
          </w:p>
        </w:tc>
        <w:tc>
          <w:tcPr>
            <w:tcW w:w="1661" w:type="dxa"/>
            <w:tcBorders>
              <w:top w:val="nil"/>
              <w:left w:val="nil"/>
              <w:bottom w:val="single" w:color="auto" w:sz="4" w:space="0"/>
              <w:right w:val="nil"/>
            </w:tcBorders>
            <w:noWrap/>
            <w:vAlign w:val="center"/>
          </w:tcPr>
          <w:p w14:paraId="1C37A2EE">
            <w:pPr>
              <w:suppressLineNumbers/>
              <w:snapToGrid w:val="0"/>
              <w:spacing w:line="360" w:lineRule="auto"/>
              <w:jc w:val="center"/>
              <w:rPr>
                <w:bCs/>
                <w:sz w:val="18"/>
                <w:szCs w:val="18"/>
              </w:rPr>
            </w:pPr>
            <w:r>
              <w:rPr>
                <w:sz w:val="18"/>
                <w:szCs w:val="18"/>
              </w:rPr>
              <w:t>0.</w:t>
            </w:r>
            <w:r>
              <w:rPr>
                <w:rFonts w:hint="eastAsia"/>
                <w:sz w:val="18"/>
                <w:szCs w:val="18"/>
              </w:rPr>
              <w:t>543</w:t>
            </w:r>
            <w:r>
              <w:rPr>
                <w:sz w:val="18"/>
                <w:szCs w:val="18"/>
              </w:rPr>
              <w:t>(0.</w:t>
            </w:r>
            <w:r>
              <w:rPr>
                <w:rFonts w:hint="eastAsia"/>
                <w:sz w:val="18"/>
                <w:szCs w:val="18"/>
              </w:rPr>
              <w:t>387</w:t>
            </w:r>
            <w:r>
              <w:rPr>
                <w:sz w:val="18"/>
                <w:szCs w:val="18"/>
              </w:rPr>
              <w:t>-</w:t>
            </w:r>
            <w:r>
              <w:rPr>
                <w:rFonts w:hint="eastAsia"/>
                <w:sz w:val="18"/>
                <w:szCs w:val="18"/>
              </w:rPr>
              <w:t>0.761</w:t>
            </w:r>
            <w:r>
              <w:rPr>
                <w:sz w:val="18"/>
                <w:szCs w:val="18"/>
              </w:rPr>
              <w:t>)</w:t>
            </w:r>
          </w:p>
        </w:tc>
        <w:tc>
          <w:tcPr>
            <w:tcW w:w="723" w:type="dxa"/>
            <w:tcBorders>
              <w:top w:val="nil"/>
              <w:left w:val="nil"/>
              <w:bottom w:val="single" w:color="auto" w:sz="4" w:space="0"/>
              <w:right w:val="nil"/>
            </w:tcBorders>
            <w:noWrap/>
            <w:vAlign w:val="center"/>
          </w:tcPr>
          <w:p w14:paraId="1D72583C">
            <w:pPr>
              <w:suppressLineNumbers/>
              <w:snapToGrid w:val="0"/>
              <w:spacing w:line="360" w:lineRule="auto"/>
              <w:jc w:val="center"/>
              <w:rPr>
                <w:bCs/>
                <w:sz w:val="18"/>
                <w:szCs w:val="18"/>
              </w:rPr>
            </w:pPr>
            <w:r>
              <w:rPr>
                <w:bCs/>
                <w:sz w:val="18"/>
                <w:szCs w:val="18"/>
              </w:rPr>
              <w:t>&lt;0.001</w:t>
            </w:r>
          </w:p>
        </w:tc>
      </w:tr>
      <w:bookmarkEnd w:id="0"/>
    </w:tbl>
    <w:p w14:paraId="0D66DAAF">
      <w:pPr>
        <w:rPr>
          <w:b/>
          <w:bCs/>
          <w:color w:val="000000"/>
          <w:sz w:val="24"/>
          <w:szCs w:val="24"/>
        </w:rPr>
      </w:pPr>
      <w:r>
        <w:rPr>
          <w:b/>
          <w:bCs/>
          <w:color w:val="000000"/>
          <w:sz w:val="24"/>
          <w:szCs w:val="24"/>
        </w:rPr>
        <w:br w:type="page"/>
      </w:r>
    </w:p>
    <w:p w14:paraId="3DE021AC">
      <w:pPr>
        <w:spacing w:line="360" w:lineRule="auto"/>
        <w:jc w:val="both"/>
        <w:rPr>
          <w:b/>
          <w:bCs/>
          <w:color w:val="000000"/>
          <w:sz w:val="24"/>
          <w:szCs w:val="24"/>
        </w:rPr>
      </w:pPr>
      <w:r>
        <w:rPr>
          <w:b/>
          <w:bCs/>
          <w:color w:val="000000"/>
          <w:sz w:val="24"/>
          <w:szCs w:val="24"/>
        </w:rPr>
        <w:t>Supplementary Table 4. Primer sequences used in the study.</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5239"/>
        <w:gridCol w:w="940"/>
      </w:tblGrid>
      <w:tr w14:paraId="58E9553A">
        <w:tc>
          <w:tcPr>
            <w:tcW w:w="2127" w:type="dxa"/>
            <w:tcBorders>
              <w:top w:val="single" w:color="auto" w:sz="4" w:space="0"/>
              <w:left w:val="nil"/>
              <w:bottom w:val="single" w:color="auto" w:sz="4" w:space="0"/>
              <w:right w:val="nil"/>
            </w:tcBorders>
          </w:tcPr>
          <w:p w14:paraId="5A78A2DE">
            <w:pPr>
              <w:jc w:val="both"/>
              <w:rPr>
                <w:b/>
                <w:bCs/>
                <w:sz w:val="21"/>
                <w:szCs w:val="21"/>
              </w:rPr>
            </w:pPr>
            <w:r>
              <w:rPr>
                <w:b/>
                <w:bCs/>
                <w:sz w:val="21"/>
                <w:szCs w:val="21"/>
              </w:rPr>
              <w:t>Primer name</w:t>
            </w:r>
          </w:p>
        </w:tc>
        <w:tc>
          <w:tcPr>
            <w:tcW w:w="5239" w:type="dxa"/>
            <w:tcBorders>
              <w:top w:val="single" w:color="auto" w:sz="4" w:space="0"/>
              <w:left w:val="nil"/>
              <w:bottom w:val="single" w:color="auto" w:sz="4" w:space="0"/>
              <w:right w:val="nil"/>
            </w:tcBorders>
          </w:tcPr>
          <w:p w14:paraId="610D0141">
            <w:pPr>
              <w:jc w:val="both"/>
              <w:rPr>
                <w:b/>
                <w:bCs/>
                <w:sz w:val="21"/>
                <w:szCs w:val="21"/>
              </w:rPr>
            </w:pPr>
            <w:r>
              <w:rPr>
                <w:b/>
                <w:bCs/>
                <w:sz w:val="21"/>
                <w:szCs w:val="21"/>
              </w:rPr>
              <w:t>Primer sequences</w:t>
            </w:r>
          </w:p>
        </w:tc>
        <w:tc>
          <w:tcPr>
            <w:tcW w:w="940" w:type="dxa"/>
            <w:tcBorders>
              <w:top w:val="single" w:color="auto" w:sz="4" w:space="0"/>
              <w:left w:val="nil"/>
              <w:bottom w:val="single" w:color="auto" w:sz="4" w:space="0"/>
              <w:right w:val="nil"/>
            </w:tcBorders>
          </w:tcPr>
          <w:p w14:paraId="4AF5F5F3">
            <w:pPr>
              <w:jc w:val="both"/>
              <w:rPr>
                <w:b/>
                <w:bCs/>
                <w:sz w:val="21"/>
                <w:szCs w:val="21"/>
              </w:rPr>
            </w:pPr>
            <w:r>
              <w:rPr>
                <w:b/>
                <w:bCs/>
                <w:sz w:val="21"/>
                <w:szCs w:val="21"/>
              </w:rPr>
              <w:t>Enzyme</w:t>
            </w:r>
          </w:p>
        </w:tc>
      </w:tr>
      <w:tr w14:paraId="2187E5EC">
        <w:tc>
          <w:tcPr>
            <w:tcW w:w="8306" w:type="dxa"/>
            <w:gridSpan w:val="3"/>
            <w:tcBorders>
              <w:top w:val="single" w:color="auto" w:sz="4" w:space="0"/>
              <w:left w:val="nil"/>
              <w:bottom w:val="nil"/>
              <w:right w:val="nil"/>
            </w:tcBorders>
          </w:tcPr>
          <w:p w14:paraId="0A7765C5">
            <w:pPr>
              <w:jc w:val="both"/>
              <w:rPr>
                <w:b/>
                <w:bCs/>
                <w:sz w:val="21"/>
                <w:szCs w:val="21"/>
              </w:rPr>
            </w:pPr>
            <w:r>
              <w:rPr>
                <w:b/>
                <w:bCs/>
                <w:sz w:val="21"/>
                <w:szCs w:val="21"/>
              </w:rPr>
              <w:t>Primers for PLAU promoter construct</w:t>
            </w:r>
          </w:p>
        </w:tc>
      </w:tr>
      <w:tr w14:paraId="11C68963">
        <w:tc>
          <w:tcPr>
            <w:tcW w:w="2127" w:type="dxa"/>
            <w:tcBorders>
              <w:top w:val="nil"/>
              <w:left w:val="nil"/>
              <w:bottom w:val="nil"/>
              <w:right w:val="nil"/>
            </w:tcBorders>
          </w:tcPr>
          <w:p w14:paraId="758C60C7">
            <w:pPr>
              <w:jc w:val="both"/>
              <w:rPr>
                <w:sz w:val="21"/>
                <w:szCs w:val="21"/>
              </w:rPr>
            </w:pPr>
            <w:r>
              <w:rPr>
                <w:sz w:val="21"/>
                <w:szCs w:val="21"/>
              </w:rPr>
              <w:t>-1333/+114 sense</w:t>
            </w:r>
          </w:p>
        </w:tc>
        <w:tc>
          <w:tcPr>
            <w:tcW w:w="5239" w:type="dxa"/>
            <w:tcBorders>
              <w:top w:val="nil"/>
              <w:left w:val="nil"/>
              <w:bottom w:val="nil"/>
              <w:right w:val="nil"/>
            </w:tcBorders>
          </w:tcPr>
          <w:p w14:paraId="2569AE87">
            <w:pPr>
              <w:jc w:val="both"/>
              <w:rPr>
                <w:sz w:val="21"/>
                <w:szCs w:val="21"/>
              </w:rPr>
            </w:pPr>
            <w:r>
              <w:rPr>
                <w:sz w:val="21"/>
                <w:szCs w:val="21"/>
              </w:rPr>
              <w:t>5’-ATAT</w:t>
            </w:r>
            <w:r>
              <w:rPr>
                <w:rFonts w:eastAsia="宋体"/>
                <w:color w:val="000000"/>
                <w:sz w:val="21"/>
                <w:szCs w:val="21"/>
                <w:u w:val="single"/>
              </w:rPr>
              <w:t>GGTACC</w:t>
            </w:r>
            <w:r>
              <w:rPr>
                <w:sz w:val="21"/>
                <w:szCs w:val="21"/>
              </w:rPr>
              <w:t>CAGCCTGGACAACATGGT-3’</w:t>
            </w:r>
          </w:p>
        </w:tc>
        <w:tc>
          <w:tcPr>
            <w:tcW w:w="940" w:type="dxa"/>
            <w:tcBorders>
              <w:top w:val="nil"/>
              <w:left w:val="nil"/>
              <w:bottom w:val="nil"/>
              <w:right w:val="nil"/>
            </w:tcBorders>
          </w:tcPr>
          <w:p w14:paraId="62592AA9">
            <w:pPr>
              <w:rPr>
                <w:sz w:val="21"/>
                <w:szCs w:val="21"/>
              </w:rPr>
            </w:pPr>
            <w:r>
              <w:rPr>
                <w:rFonts w:eastAsia="宋体"/>
                <w:color w:val="000000"/>
                <w:sz w:val="21"/>
                <w:szCs w:val="21"/>
              </w:rPr>
              <w:t>KpnI</w:t>
            </w:r>
          </w:p>
        </w:tc>
      </w:tr>
      <w:tr w14:paraId="28DBDE77">
        <w:tc>
          <w:tcPr>
            <w:tcW w:w="2127" w:type="dxa"/>
            <w:tcBorders>
              <w:top w:val="nil"/>
              <w:left w:val="nil"/>
              <w:bottom w:val="nil"/>
              <w:right w:val="nil"/>
            </w:tcBorders>
          </w:tcPr>
          <w:p w14:paraId="08915556">
            <w:pPr>
              <w:jc w:val="both"/>
              <w:rPr>
                <w:sz w:val="21"/>
                <w:szCs w:val="21"/>
              </w:rPr>
            </w:pPr>
            <w:r>
              <w:rPr>
                <w:sz w:val="21"/>
                <w:szCs w:val="21"/>
              </w:rPr>
              <w:t>-462/+114 sense</w:t>
            </w:r>
          </w:p>
        </w:tc>
        <w:tc>
          <w:tcPr>
            <w:tcW w:w="5239" w:type="dxa"/>
            <w:tcBorders>
              <w:top w:val="nil"/>
              <w:left w:val="nil"/>
              <w:bottom w:val="nil"/>
              <w:right w:val="nil"/>
            </w:tcBorders>
          </w:tcPr>
          <w:p w14:paraId="4A838AD3">
            <w:pPr>
              <w:jc w:val="both"/>
              <w:rPr>
                <w:sz w:val="21"/>
                <w:szCs w:val="21"/>
              </w:rPr>
            </w:pPr>
            <w:r>
              <w:rPr>
                <w:sz w:val="21"/>
                <w:szCs w:val="21"/>
              </w:rPr>
              <w:t>5’-ATAT</w:t>
            </w:r>
            <w:r>
              <w:rPr>
                <w:rFonts w:eastAsia="宋体"/>
                <w:color w:val="000000"/>
                <w:sz w:val="21"/>
                <w:szCs w:val="21"/>
                <w:u w:val="single"/>
              </w:rPr>
              <w:t>GGTACC</w:t>
            </w:r>
            <w:r>
              <w:rPr>
                <w:sz w:val="21"/>
                <w:szCs w:val="21"/>
              </w:rPr>
              <w:t>GAACAAGGATCAGAAGAC-3’</w:t>
            </w:r>
          </w:p>
        </w:tc>
        <w:tc>
          <w:tcPr>
            <w:tcW w:w="940" w:type="dxa"/>
            <w:tcBorders>
              <w:top w:val="nil"/>
              <w:left w:val="nil"/>
              <w:bottom w:val="nil"/>
              <w:right w:val="nil"/>
            </w:tcBorders>
          </w:tcPr>
          <w:p w14:paraId="33719E8A">
            <w:pPr>
              <w:jc w:val="both"/>
              <w:rPr>
                <w:sz w:val="21"/>
                <w:szCs w:val="21"/>
              </w:rPr>
            </w:pPr>
            <w:r>
              <w:rPr>
                <w:rFonts w:eastAsia="宋体"/>
                <w:color w:val="000000"/>
                <w:sz w:val="21"/>
                <w:szCs w:val="21"/>
              </w:rPr>
              <w:t>KpnI</w:t>
            </w:r>
          </w:p>
        </w:tc>
      </w:tr>
      <w:tr w14:paraId="3032A09A">
        <w:tc>
          <w:tcPr>
            <w:tcW w:w="2127" w:type="dxa"/>
            <w:tcBorders>
              <w:top w:val="nil"/>
              <w:left w:val="nil"/>
              <w:bottom w:val="nil"/>
              <w:right w:val="nil"/>
            </w:tcBorders>
          </w:tcPr>
          <w:p w14:paraId="15F235E7">
            <w:pPr>
              <w:jc w:val="both"/>
              <w:rPr>
                <w:sz w:val="21"/>
                <w:szCs w:val="21"/>
              </w:rPr>
            </w:pPr>
            <w:r>
              <w:rPr>
                <w:sz w:val="21"/>
                <w:szCs w:val="21"/>
              </w:rPr>
              <w:t>-196/+114 sense</w:t>
            </w:r>
          </w:p>
        </w:tc>
        <w:tc>
          <w:tcPr>
            <w:tcW w:w="5239" w:type="dxa"/>
            <w:tcBorders>
              <w:top w:val="nil"/>
              <w:left w:val="nil"/>
              <w:bottom w:val="nil"/>
              <w:right w:val="nil"/>
            </w:tcBorders>
          </w:tcPr>
          <w:p w14:paraId="080A9B04">
            <w:pPr>
              <w:jc w:val="both"/>
              <w:rPr>
                <w:sz w:val="21"/>
                <w:szCs w:val="21"/>
              </w:rPr>
            </w:pPr>
            <w:r>
              <w:rPr>
                <w:sz w:val="21"/>
                <w:szCs w:val="21"/>
              </w:rPr>
              <w:t>5’-ATAT</w:t>
            </w:r>
            <w:r>
              <w:rPr>
                <w:rFonts w:eastAsia="宋体"/>
                <w:color w:val="000000"/>
                <w:sz w:val="21"/>
                <w:szCs w:val="21"/>
                <w:u w:val="single"/>
              </w:rPr>
              <w:t>GGTACC</w:t>
            </w:r>
            <w:r>
              <w:rPr>
                <w:sz w:val="21"/>
                <w:szCs w:val="21"/>
              </w:rPr>
              <w:t>TCACAAGGTCAGGAGATC-3’</w:t>
            </w:r>
          </w:p>
        </w:tc>
        <w:tc>
          <w:tcPr>
            <w:tcW w:w="940" w:type="dxa"/>
            <w:tcBorders>
              <w:top w:val="nil"/>
              <w:left w:val="nil"/>
              <w:bottom w:val="nil"/>
              <w:right w:val="nil"/>
            </w:tcBorders>
          </w:tcPr>
          <w:p w14:paraId="19E98F7E">
            <w:pPr>
              <w:jc w:val="both"/>
              <w:rPr>
                <w:sz w:val="21"/>
                <w:szCs w:val="21"/>
              </w:rPr>
            </w:pPr>
            <w:r>
              <w:rPr>
                <w:rFonts w:eastAsia="宋体"/>
                <w:color w:val="000000"/>
                <w:sz w:val="21"/>
                <w:szCs w:val="21"/>
              </w:rPr>
              <w:t>KpnI</w:t>
            </w:r>
          </w:p>
        </w:tc>
      </w:tr>
      <w:tr w14:paraId="6098B5DF">
        <w:tc>
          <w:tcPr>
            <w:tcW w:w="2127" w:type="dxa"/>
            <w:tcBorders>
              <w:top w:val="nil"/>
              <w:left w:val="nil"/>
              <w:bottom w:val="nil"/>
              <w:right w:val="nil"/>
            </w:tcBorders>
          </w:tcPr>
          <w:p w14:paraId="214806E5">
            <w:pPr>
              <w:jc w:val="both"/>
              <w:rPr>
                <w:sz w:val="21"/>
                <w:szCs w:val="21"/>
              </w:rPr>
            </w:pPr>
            <w:r>
              <w:rPr>
                <w:sz w:val="21"/>
                <w:szCs w:val="21"/>
              </w:rPr>
              <w:t>-39/+114 sense</w:t>
            </w:r>
          </w:p>
        </w:tc>
        <w:tc>
          <w:tcPr>
            <w:tcW w:w="5239" w:type="dxa"/>
            <w:tcBorders>
              <w:top w:val="nil"/>
              <w:left w:val="nil"/>
              <w:bottom w:val="nil"/>
              <w:right w:val="nil"/>
            </w:tcBorders>
          </w:tcPr>
          <w:p w14:paraId="633D3596">
            <w:pPr>
              <w:jc w:val="both"/>
              <w:rPr>
                <w:sz w:val="21"/>
                <w:szCs w:val="21"/>
              </w:rPr>
            </w:pPr>
            <w:r>
              <w:rPr>
                <w:sz w:val="21"/>
                <w:szCs w:val="21"/>
              </w:rPr>
              <w:t>5’-ATAT</w:t>
            </w:r>
            <w:r>
              <w:rPr>
                <w:rFonts w:eastAsia="宋体"/>
                <w:color w:val="000000"/>
                <w:sz w:val="21"/>
                <w:szCs w:val="21"/>
                <w:u w:val="single"/>
              </w:rPr>
              <w:t>GGTACC</w:t>
            </w:r>
            <w:r>
              <w:rPr>
                <w:sz w:val="21"/>
                <w:szCs w:val="21"/>
              </w:rPr>
              <w:t>CTTGCAGTGAGCCGAGAT-3’</w:t>
            </w:r>
          </w:p>
        </w:tc>
        <w:tc>
          <w:tcPr>
            <w:tcW w:w="940" w:type="dxa"/>
            <w:tcBorders>
              <w:top w:val="nil"/>
              <w:left w:val="nil"/>
              <w:bottom w:val="nil"/>
              <w:right w:val="nil"/>
            </w:tcBorders>
          </w:tcPr>
          <w:p w14:paraId="3E3DB6C0">
            <w:pPr>
              <w:jc w:val="both"/>
              <w:rPr>
                <w:rFonts w:eastAsia="宋体"/>
                <w:color w:val="000000"/>
                <w:sz w:val="21"/>
                <w:szCs w:val="21"/>
              </w:rPr>
            </w:pPr>
            <w:r>
              <w:rPr>
                <w:rFonts w:eastAsia="宋体"/>
                <w:color w:val="000000"/>
                <w:sz w:val="21"/>
                <w:szCs w:val="21"/>
              </w:rPr>
              <w:t>KpnI</w:t>
            </w:r>
          </w:p>
        </w:tc>
      </w:tr>
      <w:tr w14:paraId="6CF8310B">
        <w:tc>
          <w:tcPr>
            <w:tcW w:w="2127" w:type="dxa"/>
            <w:tcBorders>
              <w:top w:val="nil"/>
              <w:left w:val="nil"/>
              <w:bottom w:val="nil"/>
              <w:right w:val="nil"/>
            </w:tcBorders>
          </w:tcPr>
          <w:p w14:paraId="5D8608D9">
            <w:pPr>
              <w:rPr>
                <w:sz w:val="21"/>
                <w:szCs w:val="21"/>
              </w:rPr>
            </w:pPr>
            <w:r>
              <w:rPr>
                <w:rFonts w:eastAsia="宋体"/>
                <w:color w:val="000000"/>
                <w:sz w:val="21"/>
                <w:szCs w:val="21"/>
              </w:rPr>
              <w:t>Antisense:</w:t>
            </w:r>
          </w:p>
        </w:tc>
        <w:tc>
          <w:tcPr>
            <w:tcW w:w="5239" w:type="dxa"/>
            <w:tcBorders>
              <w:top w:val="nil"/>
              <w:left w:val="nil"/>
              <w:bottom w:val="nil"/>
              <w:right w:val="nil"/>
            </w:tcBorders>
          </w:tcPr>
          <w:p w14:paraId="7A0E48B1">
            <w:pPr>
              <w:rPr>
                <w:sz w:val="21"/>
                <w:szCs w:val="21"/>
              </w:rPr>
            </w:pPr>
            <w:r>
              <w:rPr>
                <w:sz w:val="21"/>
                <w:szCs w:val="21"/>
              </w:rPr>
              <w:t>5’-ATAT</w:t>
            </w:r>
            <w:r>
              <w:rPr>
                <w:rFonts w:eastAsia="宋体"/>
                <w:color w:val="000000"/>
                <w:sz w:val="21"/>
                <w:szCs w:val="21"/>
                <w:u w:val="single"/>
              </w:rPr>
              <w:t>ACGCGT</w:t>
            </w:r>
            <w:r>
              <w:rPr>
                <w:sz w:val="21"/>
                <w:szCs w:val="21"/>
              </w:rPr>
              <w:t>AGGTGGGAGGACCCCTTG-3’</w:t>
            </w:r>
          </w:p>
        </w:tc>
        <w:tc>
          <w:tcPr>
            <w:tcW w:w="940" w:type="dxa"/>
            <w:tcBorders>
              <w:top w:val="nil"/>
              <w:left w:val="nil"/>
              <w:bottom w:val="nil"/>
              <w:right w:val="nil"/>
            </w:tcBorders>
          </w:tcPr>
          <w:p w14:paraId="1107A2AB">
            <w:pPr>
              <w:rPr>
                <w:sz w:val="21"/>
                <w:szCs w:val="21"/>
              </w:rPr>
            </w:pPr>
            <w:r>
              <w:rPr>
                <w:rFonts w:eastAsia="宋体"/>
                <w:color w:val="000000"/>
                <w:sz w:val="21"/>
                <w:szCs w:val="21"/>
              </w:rPr>
              <w:t>MluI</w:t>
            </w:r>
          </w:p>
        </w:tc>
      </w:tr>
      <w:tr w14:paraId="712855F8">
        <w:tc>
          <w:tcPr>
            <w:tcW w:w="8306" w:type="dxa"/>
            <w:gridSpan w:val="3"/>
            <w:tcBorders>
              <w:top w:val="nil"/>
              <w:left w:val="nil"/>
              <w:bottom w:val="nil"/>
              <w:right w:val="nil"/>
            </w:tcBorders>
          </w:tcPr>
          <w:p w14:paraId="087E524F">
            <w:pPr>
              <w:jc w:val="both"/>
              <w:rPr>
                <w:b/>
                <w:bCs/>
                <w:sz w:val="21"/>
                <w:szCs w:val="21"/>
              </w:rPr>
            </w:pPr>
            <w:r>
              <w:rPr>
                <w:b/>
                <w:bCs/>
                <w:sz w:val="21"/>
                <w:szCs w:val="21"/>
              </w:rPr>
              <w:t>Primers for PLAU promoter site-directed mutagenesis</w:t>
            </w:r>
          </w:p>
        </w:tc>
      </w:tr>
      <w:tr w14:paraId="59F88D58">
        <w:tc>
          <w:tcPr>
            <w:tcW w:w="2127" w:type="dxa"/>
            <w:tcBorders>
              <w:top w:val="nil"/>
              <w:left w:val="nil"/>
              <w:bottom w:val="nil"/>
              <w:right w:val="nil"/>
            </w:tcBorders>
          </w:tcPr>
          <w:p w14:paraId="337710EB">
            <w:pPr>
              <w:jc w:val="both"/>
              <w:rPr>
                <w:sz w:val="21"/>
                <w:szCs w:val="21"/>
              </w:rPr>
            </w:pPr>
            <w:r>
              <w:rPr>
                <w:sz w:val="21"/>
                <w:szCs w:val="21"/>
              </w:rPr>
              <w:t>binding site 3 mutation sense</w:t>
            </w:r>
          </w:p>
        </w:tc>
        <w:tc>
          <w:tcPr>
            <w:tcW w:w="6179" w:type="dxa"/>
            <w:gridSpan w:val="2"/>
            <w:tcBorders>
              <w:top w:val="nil"/>
              <w:left w:val="nil"/>
              <w:bottom w:val="nil"/>
              <w:right w:val="nil"/>
            </w:tcBorders>
          </w:tcPr>
          <w:p w14:paraId="79D0CA94">
            <w:pPr>
              <w:jc w:val="both"/>
              <w:rPr>
                <w:sz w:val="21"/>
                <w:szCs w:val="21"/>
              </w:rPr>
            </w:pPr>
            <w:r>
              <w:rPr>
                <w:sz w:val="21"/>
                <w:szCs w:val="21"/>
              </w:rPr>
              <w:t>5’-GAGCGAGACTCactaTCAAAAAAAAA-3’</w:t>
            </w:r>
          </w:p>
        </w:tc>
      </w:tr>
      <w:tr w14:paraId="1E7AD459">
        <w:tc>
          <w:tcPr>
            <w:tcW w:w="2127" w:type="dxa"/>
            <w:tcBorders>
              <w:top w:val="nil"/>
              <w:left w:val="nil"/>
              <w:bottom w:val="nil"/>
              <w:right w:val="nil"/>
            </w:tcBorders>
          </w:tcPr>
          <w:p w14:paraId="2F53534B">
            <w:pPr>
              <w:jc w:val="both"/>
              <w:rPr>
                <w:sz w:val="21"/>
                <w:szCs w:val="21"/>
              </w:rPr>
            </w:pPr>
            <w:r>
              <w:rPr>
                <w:sz w:val="21"/>
                <w:szCs w:val="21"/>
              </w:rPr>
              <w:t>binding site 3 mutation antisense</w:t>
            </w:r>
          </w:p>
        </w:tc>
        <w:tc>
          <w:tcPr>
            <w:tcW w:w="6179" w:type="dxa"/>
            <w:gridSpan w:val="2"/>
            <w:tcBorders>
              <w:top w:val="nil"/>
              <w:left w:val="nil"/>
              <w:bottom w:val="nil"/>
              <w:right w:val="nil"/>
            </w:tcBorders>
          </w:tcPr>
          <w:p w14:paraId="2AAF346C">
            <w:pPr>
              <w:jc w:val="both"/>
              <w:rPr>
                <w:sz w:val="21"/>
                <w:szCs w:val="21"/>
              </w:rPr>
            </w:pPr>
            <w:r>
              <w:rPr>
                <w:sz w:val="21"/>
                <w:szCs w:val="21"/>
              </w:rPr>
              <w:t>5’-TTTTTTTTTGAtagtGAGTCTCGTC-3’</w:t>
            </w:r>
          </w:p>
        </w:tc>
      </w:tr>
      <w:tr w14:paraId="02145210">
        <w:tc>
          <w:tcPr>
            <w:tcW w:w="2127" w:type="dxa"/>
            <w:tcBorders>
              <w:top w:val="nil"/>
              <w:left w:val="nil"/>
              <w:bottom w:val="nil"/>
              <w:right w:val="nil"/>
            </w:tcBorders>
          </w:tcPr>
          <w:p w14:paraId="69312E40">
            <w:pPr>
              <w:jc w:val="both"/>
              <w:rPr>
                <w:sz w:val="21"/>
                <w:szCs w:val="21"/>
              </w:rPr>
            </w:pPr>
            <w:r>
              <w:rPr>
                <w:sz w:val="21"/>
                <w:szCs w:val="21"/>
              </w:rPr>
              <w:t>binding site 2 mutation sense</w:t>
            </w:r>
          </w:p>
        </w:tc>
        <w:tc>
          <w:tcPr>
            <w:tcW w:w="6179" w:type="dxa"/>
            <w:gridSpan w:val="2"/>
            <w:tcBorders>
              <w:top w:val="nil"/>
              <w:left w:val="nil"/>
              <w:bottom w:val="nil"/>
              <w:right w:val="nil"/>
            </w:tcBorders>
          </w:tcPr>
          <w:p w14:paraId="1EC837E0">
            <w:pPr>
              <w:jc w:val="both"/>
              <w:rPr>
                <w:sz w:val="21"/>
                <w:szCs w:val="21"/>
              </w:rPr>
            </w:pPr>
            <w:r>
              <w:rPr>
                <w:sz w:val="21"/>
                <w:szCs w:val="21"/>
              </w:rPr>
              <w:t>5’-</w:t>
            </w:r>
            <w:r>
              <w:t xml:space="preserve"> </w:t>
            </w:r>
            <w:r>
              <w:rPr>
                <w:sz w:val="21"/>
                <w:szCs w:val="21"/>
              </w:rPr>
              <w:t>CACGGTGGCTCgataCTGTAATCCCA-3’</w:t>
            </w:r>
          </w:p>
        </w:tc>
      </w:tr>
      <w:tr w14:paraId="2C930322">
        <w:tc>
          <w:tcPr>
            <w:tcW w:w="2127" w:type="dxa"/>
            <w:tcBorders>
              <w:top w:val="nil"/>
              <w:left w:val="nil"/>
              <w:bottom w:val="nil"/>
              <w:right w:val="nil"/>
            </w:tcBorders>
          </w:tcPr>
          <w:p w14:paraId="609CE070">
            <w:pPr>
              <w:jc w:val="both"/>
              <w:rPr>
                <w:sz w:val="21"/>
                <w:szCs w:val="21"/>
              </w:rPr>
            </w:pPr>
            <w:r>
              <w:rPr>
                <w:sz w:val="21"/>
                <w:szCs w:val="21"/>
              </w:rPr>
              <w:t>binding site 2 mutation antisense</w:t>
            </w:r>
          </w:p>
        </w:tc>
        <w:tc>
          <w:tcPr>
            <w:tcW w:w="6179" w:type="dxa"/>
            <w:gridSpan w:val="2"/>
            <w:tcBorders>
              <w:top w:val="nil"/>
              <w:left w:val="nil"/>
              <w:bottom w:val="nil"/>
              <w:right w:val="nil"/>
            </w:tcBorders>
          </w:tcPr>
          <w:p w14:paraId="7D5B2478">
            <w:pPr>
              <w:jc w:val="both"/>
              <w:rPr>
                <w:sz w:val="21"/>
                <w:szCs w:val="21"/>
              </w:rPr>
            </w:pPr>
            <w:r>
              <w:rPr>
                <w:sz w:val="21"/>
                <w:szCs w:val="21"/>
              </w:rPr>
              <w:t>5’-TGGGATTACAGtatcGAGCCACCGTG-3’</w:t>
            </w:r>
          </w:p>
        </w:tc>
      </w:tr>
      <w:tr w14:paraId="0126F852">
        <w:tc>
          <w:tcPr>
            <w:tcW w:w="2127" w:type="dxa"/>
            <w:tcBorders>
              <w:top w:val="nil"/>
              <w:left w:val="nil"/>
              <w:bottom w:val="nil"/>
              <w:right w:val="nil"/>
            </w:tcBorders>
          </w:tcPr>
          <w:p w14:paraId="1EEC0CA4">
            <w:pPr>
              <w:jc w:val="both"/>
              <w:rPr>
                <w:sz w:val="21"/>
                <w:szCs w:val="21"/>
              </w:rPr>
            </w:pPr>
            <w:r>
              <w:rPr>
                <w:sz w:val="21"/>
                <w:szCs w:val="21"/>
              </w:rPr>
              <w:t>binding site 1 mutation sense</w:t>
            </w:r>
          </w:p>
        </w:tc>
        <w:tc>
          <w:tcPr>
            <w:tcW w:w="6179" w:type="dxa"/>
            <w:gridSpan w:val="2"/>
            <w:tcBorders>
              <w:top w:val="nil"/>
              <w:left w:val="nil"/>
              <w:bottom w:val="nil"/>
              <w:right w:val="nil"/>
            </w:tcBorders>
          </w:tcPr>
          <w:p w14:paraId="60ADA886">
            <w:pPr>
              <w:jc w:val="both"/>
              <w:rPr>
                <w:sz w:val="21"/>
                <w:szCs w:val="21"/>
              </w:rPr>
            </w:pPr>
            <w:r>
              <w:rPr>
                <w:sz w:val="21"/>
                <w:szCs w:val="21"/>
              </w:rPr>
              <w:t>5’-GCAGGAGAATGtatcGAACCCGGGAGG -3’</w:t>
            </w:r>
          </w:p>
        </w:tc>
      </w:tr>
      <w:tr w14:paraId="074E8488">
        <w:tc>
          <w:tcPr>
            <w:tcW w:w="2127" w:type="dxa"/>
            <w:tcBorders>
              <w:top w:val="nil"/>
              <w:left w:val="nil"/>
              <w:bottom w:val="nil"/>
              <w:right w:val="nil"/>
            </w:tcBorders>
          </w:tcPr>
          <w:p w14:paraId="4F111AE2">
            <w:pPr>
              <w:jc w:val="both"/>
              <w:rPr>
                <w:sz w:val="21"/>
                <w:szCs w:val="21"/>
              </w:rPr>
            </w:pPr>
            <w:r>
              <w:rPr>
                <w:sz w:val="21"/>
                <w:szCs w:val="21"/>
              </w:rPr>
              <w:t>binding site 1 mutation antisense</w:t>
            </w:r>
          </w:p>
        </w:tc>
        <w:tc>
          <w:tcPr>
            <w:tcW w:w="6179" w:type="dxa"/>
            <w:gridSpan w:val="2"/>
            <w:tcBorders>
              <w:top w:val="nil"/>
              <w:left w:val="nil"/>
              <w:bottom w:val="nil"/>
              <w:right w:val="nil"/>
            </w:tcBorders>
          </w:tcPr>
          <w:p w14:paraId="5E4139AD">
            <w:pPr>
              <w:jc w:val="both"/>
              <w:rPr>
                <w:sz w:val="21"/>
                <w:szCs w:val="21"/>
              </w:rPr>
            </w:pPr>
            <w:r>
              <w:rPr>
                <w:sz w:val="21"/>
                <w:szCs w:val="21"/>
              </w:rPr>
              <w:t>5’-CCTCCCGGGTTCgataCATTCTCCTGC -3’</w:t>
            </w:r>
          </w:p>
        </w:tc>
      </w:tr>
      <w:tr w14:paraId="1089692A">
        <w:tc>
          <w:tcPr>
            <w:tcW w:w="8306" w:type="dxa"/>
            <w:gridSpan w:val="3"/>
            <w:tcBorders>
              <w:top w:val="nil"/>
              <w:left w:val="nil"/>
              <w:bottom w:val="nil"/>
              <w:right w:val="nil"/>
            </w:tcBorders>
          </w:tcPr>
          <w:p w14:paraId="6A3F1159">
            <w:pPr>
              <w:jc w:val="both"/>
              <w:rPr>
                <w:b/>
                <w:bCs/>
                <w:sz w:val="21"/>
                <w:szCs w:val="21"/>
              </w:rPr>
            </w:pPr>
            <w:r>
              <w:rPr>
                <w:b/>
                <w:bCs/>
                <w:sz w:val="21"/>
                <w:szCs w:val="21"/>
              </w:rPr>
              <w:t>Primers for real-time PCR</w:t>
            </w:r>
          </w:p>
        </w:tc>
      </w:tr>
      <w:tr w14:paraId="649C8DE7">
        <w:tc>
          <w:tcPr>
            <w:tcW w:w="2127" w:type="dxa"/>
            <w:tcBorders>
              <w:top w:val="nil"/>
              <w:left w:val="nil"/>
              <w:bottom w:val="nil"/>
              <w:right w:val="nil"/>
            </w:tcBorders>
          </w:tcPr>
          <w:p w14:paraId="02941DF8">
            <w:pPr>
              <w:jc w:val="both"/>
              <w:rPr>
                <w:sz w:val="21"/>
                <w:szCs w:val="21"/>
              </w:rPr>
            </w:pPr>
            <w:r>
              <w:rPr>
                <w:sz w:val="21"/>
                <w:szCs w:val="21"/>
              </w:rPr>
              <w:t>Mice PLAU sense</w:t>
            </w:r>
          </w:p>
        </w:tc>
        <w:tc>
          <w:tcPr>
            <w:tcW w:w="6179" w:type="dxa"/>
            <w:gridSpan w:val="2"/>
            <w:tcBorders>
              <w:top w:val="nil"/>
              <w:left w:val="nil"/>
              <w:bottom w:val="nil"/>
              <w:right w:val="nil"/>
            </w:tcBorders>
          </w:tcPr>
          <w:p w14:paraId="074E5EEE">
            <w:pPr>
              <w:jc w:val="both"/>
              <w:rPr>
                <w:sz w:val="21"/>
                <w:szCs w:val="21"/>
              </w:rPr>
            </w:pPr>
            <w:r>
              <w:rPr>
                <w:rFonts w:ascii="Times New Roman Regular" w:hAnsi="Times New Roman Regular" w:eastAsia="宋体" w:cs="Times New Roman Regular"/>
                <w:color w:val="000000"/>
              </w:rPr>
              <w:t>5’-</w:t>
            </w:r>
            <w:r>
              <w:rPr>
                <w:sz w:val="21"/>
                <w:szCs w:val="21"/>
              </w:rPr>
              <w:t>GCGCCTTGGTGGTGAAAAAC</w:t>
            </w:r>
            <w:r>
              <w:rPr>
                <w:rFonts w:ascii="Times New Roman Regular" w:hAnsi="Times New Roman Regular" w:eastAsia="宋体" w:cs="Times New Roman Regular"/>
                <w:color w:val="000000"/>
              </w:rPr>
              <w:t>-3’</w:t>
            </w:r>
          </w:p>
        </w:tc>
      </w:tr>
      <w:tr w14:paraId="7A6C1580">
        <w:tc>
          <w:tcPr>
            <w:tcW w:w="2127" w:type="dxa"/>
            <w:tcBorders>
              <w:top w:val="nil"/>
              <w:left w:val="nil"/>
              <w:bottom w:val="nil"/>
              <w:right w:val="nil"/>
            </w:tcBorders>
          </w:tcPr>
          <w:p w14:paraId="64FCC5A7">
            <w:pPr>
              <w:jc w:val="both"/>
              <w:rPr>
                <w:sz w:val="21"/>
                <w:szCs w:val="21"/>
              </w:rPr>
            </w:pPr>
            <w:r>
              <w:rPr>
                <w:sz w:val="21"/>
                <w:szCs w:val="21"/>
              </w:rPr>
              <w:t>Mice PLAU antisense</w:t>
            </w:r>
          </w:p>
        </w:tc>
        <w:tc>
          <w:tcPr>
            <w:tcW w:w="6179" w:type="dxa"/>
            <w:gridSpan w:val="2"/>
            <w:tcBorders>
              <w:top w:val="nil"/>
              <w:left w:val="nil"/>
              <w:bottom w:val="nil"/>
              <w:right w:val="nil"/>
            </w:tcBorders>
          </w:tcPr>
          <w:p w14:paraId="5037740E">
            <w:pPr>
              <w:jc w:val="both"/>
              <w:rPr>
                <w:sz w:val="21"/>
                <w:szCs w:val="21"/>
              </w:rPr>
            </w:pPr>
            <w:r>
              <w:rPr>
                <w:rFonts w:ascii="Times New Roman Regular" w:hAnsi="Times New Roman Regular" w:eastAsia="宋体" w:cs="Times New Roman Regular"/>
                <w:color w:val="000000"/>
              </w:rPr>
              <w:t>5’-</w:t>
            </w:r>
            <w:r>
              <w:rPr>
                <w:sz w:val="21"/>
                <w:szCs w:val="21"/>
              </w:rPr>
              <w:t>TTGTAGGACACGCATACACCT</w:t>
            </w:r>
            <w:r>
              <w:rPr>
                <w:rFonts w:ascii="Times New Roman Regular" w:hAnsi="Times New Roman Regular" w:eastAsia="宋体" w:cs="Times New Roman Regular"/>
                <w:color w:val="000000"/>
              </w:rPr>
              <w:t>-3’</w:t>
            </w:r>
          </w:p>
        </w:tc>
      </w:tr>
      <w:tr w14:paraId="6EE2C23F">
        <w:tc>
          <w:tcPr>
            <w:tcW w:w="2127" w:type="dxa"/>
            <w:tcBorders>
              <w:top w:val="nil"/>
              <w:left w:val="nil"/>
              <w:bottom w:val="nil"/>
              <w:right w:val="nil"/>
            </w:tcBorders>
          </w:tcPr>
          <w:p w14:paraId="1F81B63B">
            <w:pPr>
              <w:jc w:val="both"/>
              <w:rPr>
                <w:sz w:val="21"/>
                <w:szCs w:val="21"/>
              </w:rPr>
            </w:pPr>
            <w:r>
              <w:rPr>
                <w:rFonts w:ascii="Times New Roman Regular" w:hAnsi="Times New Roman Regular" w:eastAsia="宋体" w:cs="Times New Roman Regular"/>
                <w:color w:val="000000"/>
              </w:rPr>
              <w:t>β-actin sense</w:t>
            </w:r>
          </w:p>
        </w:tc>
        <w:tc>
          <w:tcPr>
            <w:tcW w:w="6179" w:type="dxa"/>
            <w:gridSpan w:val="2"/>
            <w:tcBorders>
              <w:top w:val="nil"/>
              <w:left w:val="nil"/>
              <w:bottom w:val="nil"/>
              <w:right w:val="nil"/>
            </w:tcBorders>
          </w:tcPr>
          <w:p w14:paraId="4E38AA1C">
            <w:pPr>
              <w:jc w:val="both"/>
              <w:rPr>
                <w:sz w:val="21"/>
                <w:szCs w:val="21"/>
              </w:rPr>
            </w:pPr>
            <w:r>
              <w:rPr>
                <w:rFonts w:ascii="Times New Roman Regular" w:hAnsi="Times New Roman Regular" w:eastAsia="宋体" w:cs="Times New Roman Regular"/>
                <w:color w:val="000000"/>
              </w:rPr>
              <w:t>5’-CATGTACGTTGCTATCCAGGC-3’</w:t>
            </w:r>
          </w:p>
        </w:tc>
      </w:tr>
      <w:tr w14:paraId="1C3C49B3">
        <w:tc>
          <w:tcPr>
            <w:tcW w:w="2127" w:type="dxa"/>
            <w:tcBorders>
              <w:top w:val="nil"/>
              <w:left w:val="nil"/>
              <w:bottom w:val="single" w:color="auto" w:sz="4" w:space="0"/>
              <w:right w:val="nil"/>
            </w:tcBorders>
          </w:tcPr>
          <w:p w14:paraId="0C42CF12">
            <w:pPr>
              <w:jc w:val="both"/>
              <w:rPr>
                <w:sz w:val="21"/>
                <w:szCs w:val="21"/>
              </w:rPr>
            </w:pPr>
            <w:r>
              <w:rPr>
                <w:rFonts w:ascii="Times New Roman Regular" w:hAnsi="Times New Roman Regular" w:eastAsia="宋体" w:cs="Times New Roman Regular"/>
                <w:color w:val="000000"/>
              </w:rPr>
              <w:t>β-actin antisense</w:t>
            </w:r>
          </w:p>
        </w:tc>
        <w:tc>
          <w:tcPr>
            <w:tcW w:w="6179" w:type="dxa"/>
            <w:gridSpan w:val="2"/>
            <w:tcBorders>
              <w:top w:val="nil"/>
              <w:left w:val="nil"/>
              <w:bottom w:val="single" w:color="auto" w:sz="4" w:space="0"/>
              <w:right w:val="nil"/>
            </w:tcBorders>
          </w:tcPr>
          <w:p w14:paraId="7A0E9378">
            <w:pPr>
              <w:jc w:val="both"/>
              <w:rPr>
                <w:sz w:val="21"/>
                <w:szCs w:val="21"/>
              </w:rPr>
            </w:pPr>
            <w:r>
              <w:rPr>
                <w:rFonts w:ascii="Times New Roman Regular" w:hAnsi="Times New Roman Regular" w:eastAsia="宋体" w:cs="Times New Roman Regular"/>
                <w:color w:val="000000"/>
              </w:rPr>
              <w:t>5’-CTCCTTAATGTCACGCACGAT-3’</w:t>
            </w:r>
          </w:p>
        </w:tc>
      </w:tr>
    </w:tbl>
    <w:p w14:paraId="4FE4091B">
      <w:pPr>
        <w:spacing w:line="360" w:lineRule="auto"/>
        <w:jc w:val="both"/>
      </w:pPr>
    </w:p>
    <w:p w14:paraId="3DD195A9">
      <w:r>
        <w:rPr>
          <w:b/>
          <w:bCs/>
          <w:color w:val="000000"/>
          <w:sz w:val="24"/>
          <w:szCs w:val="24"/>
        </w:rPr>
        <w:br w:type="page"/>
      </w:r>
    </w:p>
    <w:p w14:paraId="2C6736B5">
      <w:pPr>
        <w:spacing w:line="360" w:lineRule="auto"/>
        <w:jc w:val="both"/>
        <w:rPr>
          <w:b/>
          <w:bCs/>
          <w:sz w:val="24"/>
          <w:szCs w:val="24"/>
        </w:rPr>
      </w:pPr>
      <w:bookmarkStart w:id="1" w:name="OLE_LINK93"/>
      <w:r>
        <w:rPr>
          <w:b/>
          <w:bCs/>
          <w:sz w:val="24"/>
          <w:szCs w:val="24"/>
        </w:rPr>
        <w:t>Reference</w:t>
      </w:r>
    </w:p>
    <w:p w14:paraId="555D27D1">
      <w:pPr>
        <w:pStyle w:val="45"/>
        <w:ind w:left="720" w:hanging="720"/>
        <w:rPr>
          <w:bCs/>
        </w:rPr>
      </w:pPr>
      <w:r>
        <w:rPr>
          <w:bCs/>
        </w:rPr>
        <w:fldChar w:fldCharType="begin"/>
      </w:r>
      <w:r>
        <w:rPr>
          <w:bCs/>
        </w:rPr>
        <w:instrText xml:space="preserve"> ADDIN EN.REFLIST </w:instrText>
      </w:r>
      <w:r>
        <w:rPr>
          <w:bCs/>
        </w:rPr>
        <w:fldChar w:fldCharType="separate"/>
      </w:r>
      <w:r>
        <w:rPr>
          <w:bCs/>
        </w:rPr>
        <w:t>1.</w:t>
      </w:r>
      <w:r>
        <w:rPr>
          <w:bCs/>
        </w:rPr>
        <w:tab/>
      </w:r>
      <w:r>
        <w:rPr>
          <w:bCs/>
        </w:rPr>
        <w:t xml:space="preserve">Liu Y, Xun Z, Ma K, Liang S, Li X, Zhou S, Sun L, Liu Y, Du Y, Guo X, Cui T, Zhou H, Wang J, Yin D, Song R, Zhang S, Cai W, Meng F, Guo H, Zhang B, Yang D, Bao R, Hu Q, Wang J, Ye Y, Liu L. Identification of a tumour immune barrier in the HCC microenvironment that determines the efficacy of immunotherapy. </w:t>
      </w:r>
      <w:r>
        <w:rPr>
          <w:bCs/>
          <w:i/>
          <w:iCs/>
        </w:rPr>
        <w:t>J Hepatol</w:t>
      </w:r>
      <w:r>
        <w:rPr>
          <w:bCs/>
        </w:rPr>
        <w:t>. 2023, 770-782.</w:t>
      </w:r>
      <w:r>
        <w:rPr>
          <w:bCs/>
        </w:rPr>
        <w:fldChar w:fldCharType="end"/>
      </w:r>
    </w:p>
    <w:p w14:paraId="7DA7CD12">
      <w:pPr>
        <w:pStyle w:val="45"/>
        <w:ind w:left="720" w:hanging="720"/>
        <w:rPr>
          <w:bCs/>
        </w:rPr>
      </w:pPr>
      <w:r>
        <w:rPr>
          <w:bCs/>
        </w:rPr>
        <w:t>2.</w:t>
      </w:r>
      <w:r>
        <w:rPr>
          <w:bCs/>
        </w:rPr>
        <w:tab/>
      </w:r>
      <w:r>
        <w:rPr>
          <w:bCs/>
        </w:rPr>
        <w:t xml:space="preserve">Liu Z, Liu L, Weng S, Xu H, Xing Z, Ren Y, Ge X, Wang L, Guo C, Li L, et al: BEST: a web application for comprehensive biomarker exploration on large-scale data in solid tumors. </w:t>
      </w:r>
      <w:r>
        <w:rPr>
          <w:bCs/>
          <w:i/>
        </w:rPr>
        <w:t xml:space="preserve">Journal of Big Data </w:t>
      </w:r>
      <w:r>
        <w:rPr>
          <w:bCs/>
        </w:rPr>
        <w:t>2023, 10:165.</w:t>
      </w:r>
    </w:p>
    <w:p w14:paraId="29731F9B">
      <w:pPr>
        <w:pStyle w:val="45"/>
        <w:ind w:left="720" w:hanging="720"/>
        <w:rPr>
          <w:bCs/>
        </w:rPr>
      </w:pPr>
      <w:r>
        <w:rPr>
          <w:bCs/>
        </w:rPr>
        <w:t>3.</w:t>
      </w:r>
      <w:r>
        <w:rPr>
          <w:bCs/>
        </w:rPr>
        <w:tab/>
      </w:r>
      <w:r>
        <w:rPr>
          <w:bCs/>
        </w:rPr>
        <w:t xml:space="preserve">Chen J, Du F, Dang Y, Li X, Qian M, Feng W, Qiao C, Fan D, Nie Y, Wu K, Xia L: Fibroblast Growth Factor 19-Mediated Up-regulation of SYR-Related High-Mobility Group Box 18 Promotes Hepatocellular Carcinoma Metastasis by Transactivating Fibroblast Growth Factor Receptor 4 and Fms-Related Tyrosine Kinase 4. </w:t>
      </w:r>
      <w:r>
        <w:rPr>
          <w:bCs/>
          <w:i/>
        </w:rPr>
        <w:t xml:space="preserve">Hepatology </w:t>
      </w:r>
      <w:r>
        <w:rPr>
          <w:bCs/>
        </w:rPr>
        <w:t>2020, 71:1712-1731.</w:t>
      </w:r>
    </w:p>
    <w:p w14:paraId="3094AFA8">
      <w:pPr>
        <w:pStyle w:val="45"/>
        <w:ind w:left="720" w:hanging="720"/>
      </w:pPr>
      <w:r>
        <w:rPr>
          <w:bCs/>
        </w:rPr>
        <w:t>4.</w:t>
      </w:r>
      <w:r>
        <w:rPr>
          <w:bCs/>
        </w:rPr>
        <w:tab/>
      </w:r>
      <w:r>
        <w:rPr>
          <w:bCs/>
        </w:rPr>
        <w:t xml:space="preserve">Ji X, Chen X, Zhang B, Xie M, Zhang T, Luo X, Liu D, Feng Y, Wang Y, Sun M, et al: T-box transcription factor 19 promotes hepatocellular carcinoma metastasis through upregulating EGFR and RAC1. </w:t>
      </w:r>
      <w:r>
        <w:rPr>
          <w:bCs/>
          <w:i/>
        </w:rPr>
        <w:t xml:space="preserve">Oncogene </w:t>
      </w:r>
      <w:r>
        <w:rPr>
          <w:bCs/>
        </w:rPr>
        <w:t>2022, 41:2225-2238.</w:t>
      </w:r>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黑体">
    <w:altName w:val="汉仪中黑KW"/>
    <w:panose1 w:val="00000000000000000000"/>
    <w:charset w:val="00"/>
    <w:family w:val="auto"/>
    <w:pitch w:val="default"/>
    <w:sig w:usb0="00000000" w:usb1="00000000" w:usb2="00000000" w:usb3="00000000" w:csb0="00000000" w:csb1="00000000"/>
  </w:font>
  <w:font w:name="Times New Roman Bold">
    <w:panose1 w:val="02020503050405090304"/>
    <w:charset w:val="00"/>
    <w:family w:val="auto"/>
    <w:pitch w:val="default"/>
    <w:sig w:usb0="E0000AFF" w:usb1="00007843" w:usb2="00000001" w:usb3="00000000" w:csb0="400001BF" w:csb1="DFF70000"/>
  </w:font>
  <w:font w:name="AdvP8C43">
    <w:altName w:val="苹方-简"/>
    <w:panose1 w:val="020B0604020202020204"/>
    <w:charset w:val="00"/>
    <w:family w:val="auto"/>
    <w:pitch w:val="default"/>
    <w:sig w:usb0="00000000" w:usb1="00000000" w:usb2="00000010" w:usb3="00000000" w:csb0="00040000" w:csb1="00000000"/>
  </w:font>
  <w:font w:name="苹方-简">
    <w:panose1 w:val="020B0400000000000000"/>
    <w:charset w:val="86"/>
    <w:family w:val="auto"/>
    <w:pitch w:val="default"/>
    <w:sig w:usb0="A00002FF" w:usb1="7ACFFDFB" w:usb2="00000017" w:usb3="00000000" w:csb0="00040001" w:csb1="00000000"/>
  </w:font>
  <w:font w:name="DengXian">
    <w:altName w:val="汉仪中等线KW"/>
    <w:panose1 w:val="02010600030101010101"/>
    <w:charset w:val="86"/>
    <w:family w:val="auto"/>
    <w:pitch w:val="default"/>
    <w:sig w:usb0="00000000" w:usb1="00000000" w:usb2="00000016" w:usb3="00000000" w:csb0="0004000F" w:csb1="00000000"/>
  </w:font>
  <w:font w:name="Times New Roman Regular">
    <w:panose1 w:val="02020503050405090304"/>
    <w:charset w:val="00"/>
    <w:family w:val="auto"/>
    <w:pitch w:val="default"/>
    <w:sig w:usb0="E0000AFF" w:usb1="00007843" w:usb2="00000001" w:usb3="00000000" w:csb0="400001BF" w:csb1="DFF7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等线 Light">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bordersDoNotSurroundHeader w:val="1"/>
  <w:bordersDoNotSurroundFooter w:val="1"/>
  <w:documentProtection w:enforcement="0"/>
  <w:defaultTabStop w:val="420"/>
  <w:drawingGridHorizontalSpacing w:val="1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Translational Medicine&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vp9vxxp1e9wt8ete05vxv51zpvvxrp5drdx&quot;&gt;My EndNote Library&lt;record-ids&gt;&lt;item&gt;66&lt;/item&gt;&lt;item&gt;192&lt;/item&gt;&lt;item&gt;2206&lt;/item&gt;&lt;/record-ids&gt;&lt;/item&gt;&lt;/Libraries&gt;"/>
  </w:docVars>
  <w:rsids>
    <w:rsidRoot w:val="0022612B"/>
    <w:rsid w:val="00000D0A"/>
    <w:rsid w:val="00005529"/>
    <w:rsid w:val="000222C7"/>
    <w:rsid w:val="00050A10"/>
    <w:rsid w:val="0005197E"/>
    <w:rsid w:val="00051A3E"/>
    <w:rsid w:val="00074B06"/>
    <w:rsid w:val="00095624"/>
    <w:rsid w:val="000A09D8"/>
    <w:rsid w:val="000A1562"/>
    <w:rsid w:val="000A6643"/>
    <w:rsid w:val="000A712F"/>
    <w:rsid w:val="000C60F8"/>
    <w:rsid w:val="000D1D75"/>
    <w:rsid w:val="000D314A"/>
    <w:rsid w:val="000D4FCF"/>
    <w:rsid w:val="000D51B7"/>
    <w:rsid w:val="000D5D48"/>
    <w:rsid w:val="000F2568"/>
    <w:rsid w:val="0010075E"/>
    <w:rsid w:val="0010406D"/>
    <w:rsid w:val="00106540"/>
    <w:rsid w:val="00110946"/>
    <w:rsid w:val="00126A5E"/>
    <w:rsid w:val="0013649C"/>
    <w:rsid w:val="00137B06"/>
    <w:rsid w:val="001458C7"/>
    <w:rsid w:val="001623A4"/>
    <w:rsid w:val="00177BED"/>
    <w:rsid w:val="001B2B75"/>
    <w:rsid w:val="001C12C5"/>
    <w:rsid w:val="001C2C8D"/>
    <w:rsid w:val="001C72EF"/>
    <w:rsid w:val="001D07B4"/>
    <w:rsid w:val="001D3354"/>
    <w:rsid w:val="001E2740"/>
    <w:rsid w:val="001E3AEA"/>
    <w:rsid w:val="001E6E90"/>
    <w:rsid w:val="001F1B9A"/>
    <w:rsid w:val="001F4167"/>
    <w:rsid w:val="002246AF"/>
    <w:rsid w:val="00225885"/>
    <w:rsid w:val="00225BC0"/>
    <w:rsid w:val="0022612B"/>
    <w:rsid w:val="0024010E"/>
    <w:rsid w:val="00243772"/>
    <w:rsid w:val="00246E96"/>
    <w:rsid w:val="0025522D"/>
    <w:rsid w:val="002643B0"/>
    <w:rsid w:val="00267BA6"/>
    <w:rsid w:val="00274B1A"/>
    <w:rsid w:val="00274E2E"/>
    <w:rsid w:val="00276A9D"/>
    <w:rsid w:val="00280DE2"/>
    <w:rsid w:val="00285955"/>
    <w:rsid w:val="00290D28"/>
    <w:rsid w:val="00297C82"/>
    <w:rsid w:val="002A0BEF"/>
    <w:rsid w:val="002A2AF1"/>
    <w:rsid w:val="002A68F8"/>
    <w:rsid w:val="002C2F9F"/>
    <w:rsid w:val="002C329D"/>
    <w:rsid w:val="002C6512"/>
    <w:rsid w:val="002D79C2"/>
    <w:rsid w:val="002E4AA1"/>
    <w:rsid w:val="002E6D57"/>
    <w:rsid w:val="002F21A3"/>
    <w:rsid w:val="003153F0"/>
    <w:rsid w:val="00323CDC"/>
    <w:rsid w:val="00337C19"/>
    <w:rsid w:val="00352913"/>
    <w:rsid w:val="00353054"/>
    <w:rsid w:val="00353EDE"/>
    <w:rsid w:val="00364246"/>
    <w:rsid w:val="00367BB5"/>
    <w:rsid w:val="00367CAE"/>
    <w:rsid w:val="00391A62"/>
    <w:rsid w:val="00393100"/>
    <w:rsid w:val="003949E9"/>
    <w:rsid w:val="003A01E3"/>
    <w:rsid w:val="003B1F0D"/>
    <w:rsid w:val="003C32C6"/>
    <w:rsid w:val="003C75B1"/>
    <w:rsid w:val="003D269E"/>
    <w:rsid w:val="00403B05"/>
    <w:rsid w:val="00414459"/>
    <w:rsid w:val="004230DB"/>
    <w:rsid w:val="00430599"/>
    <w:rsid w:val="004444A3"/>
    <w:rsid w:val="00444EF0"/>
    <w:rsid w:val="00450D1F"/>
    <w:rsid w:val="00464E5C"/>
    <w:rsid w:val="00472215"/>
    <w:rsid w:val="004812A7"/>
    <w:rsid w:val="004D1DF6"/>
    <w:rsid w:val="004D49A7"/>
    <w:rsid w:val="004F3A61"/>
    <w:rsid w:val="004F4F52"/>
    <w:rsid w:val="005169BD"/>
    <w:rsid w:val="005210BF"/>
    <w:rsid w:val="0052255B"/>
    <w:rsid w:val="005237A0"/>
    <w:rsid w:val="00531B1C"/>
    <w:rsid w:val="0053474C"/>
    <w:rsid w:val="00535302"/>
    <w:rsid w:val="00540A21"/>
    <w:rsid w:val="00547219"/>
    <w:rsid w:val="00547A64"/>
    <w:rsid w:val="00552A5B"/>
    <w:rsid w:val="00564363"/>
    <w:rsid w:val="00583FFE"/>
    <w:rsid w:val="005855FC"/>
    <w:rsid w:val="005A3874"/>
    <w:rsid w:val="005B15AC"/>
    <w:rsid w:val="005B59AB"/>
    <w:rsid w:val="005B7DCF"/>
    <w:rsid w:val="005D1654"/>
    <w:rsid w:val="005E013B"/>
    <w:rsid w:val="00604624"/>
    <w:rsid w:val="006101D3"/>
    <w:rsid w:val="006102DA"/>
    <w:rsid w:val="00644FA1"/>
    <w:rsid w:val="0064616E"/>
    <w:rsid w:val="00650A37"/>
    <w:rsid w:val="006A17EE"/>
    <w:rsid w:val="006A3FC5"/>
    <w:rsid w:val="006B2005"/>
    <w:rsid w:val="006B2721"/>
    <w:rsid w:val="006B6DA8"/>
    <w:rsid w:val="006C62A6"/>
    <w:rsid w:val="006F1BDC"/>
    <w:rsid w:val="0070287F"/>
    <w:rsid w:val="00706666"/>
    <w:rsid w:val="0071242A"/>
    <w:rsid w:val="00727782"/>
    <w:rsid w:val="00727A05"/>
    <w:rsid w:val="007312F7"/>
    <w:rsid w:val="00736349"/>
    <w:rsid w:val="007549C1"/>
    <w:rsid w:val="00770E40"/>
    <w:rsid w:val="007801A3"/>
    <w:rsid w:val="00782099"/>
    <w:rsid w:val="007A3316"/>
    <w:rsid w:val="007A4E63"/>
    <w:rsid w:val="007B1BBA"/>
    <w:rsid w:val="007C42DF"/>
    <w:rsid w:val="007E4C23"/>
    <w:rsid w:val="007F4A83"/>
    <w:rsid w:val="00812766"/>
    <w:rsid w:val="00821367"/>
    <w:rsid w:val="00836A6B"/>
    <w:rsid w:val="00841DFD"/>
    <w:rsid w:val="00845F60"/>
    <w:rsid w:val="0084609B"/>
    <w:rsid w:val="00846571"/>
    <w:rsid w:val="008478AA"/>
    <w:rsid w:val="00865B1D"/>
    <w:rsid w:val="00874AF5"/>
    <w:rsid w:val="00877541"/>
    <w:rsid w:val="00891C38"/>
    <w:rsid w:val="00895BC0"/>
    <w:rsid w:val="008A60B7"/>
    <w:rsid w:val="008B415A"/>
    <w:rsid w:val="008B44C6"/>
    <w:rsid w:val="008C4362"/>
    <w:rsid w:val="008D483C"/>
    <w:rsid w:val="008D575E"/>
    <w:rsid w:val="008E70CF"/>
    <w:rsid w:val="008F217B"/>
    <w:rsid w:val="008F405F"/>
    <w:rsid w:val="00902996"/>
    <w:rsid w:val="00905152"/>
    <w:rsid w:val="009201BE"/>
    <w:rsid w:val="009310BE"/>
    <w:rsid w:val="0093127A"/>
    <w:rsid w:val="009501B0"/>
    <w:rsid w:val="00954B2F"/>
    <w:rsid w:val="00967AD0"/>
    <w:rsid w:val="009734ED"/>
    <w:rsid w:val="00974A81"/>
    <w:rsid w:val="00977D04"/>
    <w:rsid w:val="009813B6"/>
    <w:rsid w:val="00990EEF"/>
    <w:rsid w:val="009912D7"/>
    <w:rsid w:val="0099150D"/>
    <w:rsid w:val="0099791A"/>
    <w:rsid w:val="009A6E99"/>
    <w:rsid w:val="009C4F54"/>
    <w:rsid w:val="009C5E4E"/>
    <w:rsid w:val="009E314C"/>
    <w:rsid w:val="009F1EAB"/>
    <w:rsid w:val="00A14F3E"/>
    <w:rsid w:val="00A47B8C"/>
    <w:rsid w:val="00A6150F"/>
    <w:rsid w:val="00A80447"/>
    <w:rsid w:val="00A818E9"/>
    <w:rsid w:val="00A86D93"/>
    <w:rsid w:val="00A90457"/>
    <w:rsid w:val="00A915BC"/>
    <w:rsid w:val="00A917A7"/>
    <w:rsid w:val="00AC68FC"/>
    <w:rsid w:val="00AE00BE"/>
    <w:rsid w:val="00AE0FDE"/>
    <w:rsid w:val="00AE1DE0"/>
    <w:rsid w:val="00AE5C72"/>
    <w:rsid w:val="00B01EEF"/>
    <w:rsid w:val="00B026FC"/>
    <w:rsid w:val="00B24AC3"/>
    <w:rsid w:val="00B30DB3"/>
    <w:rsid w:val="00B525A3"/>
    <w:rsid w:val="00B56CBD"/>
    <w:rsid w:val="00B56EAE"/>
    <w:rsid w:val="00B63536"/>
    <w:rsid w:val="00B65356"/>
    <w:rsid w:val="00B75A12"/>
    <w:rsid w:val="00B7711B"/>
    <w:rsid w:val="00B82FAF"/>
    <w:rsid w:val="00B83141"/>
    <w:rsid w:val="00B9392C"/>
    <w:rsid w:val="00B94284"/>
    <w:rsid w:val="00BB7899"/>
    <w:rsid w:val="00BC4466"/>
    <w:rsid w:val="00BC540A"/>
    <w:rsid w:val="00BE3E16"/>
    <w:rsid w:val="00BE4B6F"/>
    <w:rsid w:val="00BE582B"/>
    <w:rsid w:val="00C013F0"/>
    <w:rsid w:val="00C35CB9"/>
    <w:rsid w:val="00C439B4"/>
    <w:rsid w:val="00C43F5C"/>
    <w:rsid w:val="00C73815"/>
    <w:rsid w:val="00C8318F"/>
    <w:rsid w:val="00C846F8"/>
    <w:rsid w:val="00C8642F"/>
    <w:rsid w:val="00C87817"/>
    <w:rsid w:val="00CA0473"/>
    <w:rsid w:val="00CA55F0"/>
    <w:rsid w:val="00CA7676"/>
    <w:rsid w:val="00CB45B7"/>
    <w:rsid w:val="00CB45FA"/>
    <w:rsid w:val="00CE0E69"/>
    <w:rsid w:val="00CE60F4"/>
    <w:rsid w:val="00CF44E1"/>
    <w:rsid w:val="00CF6592"/>
    <w:rsid w:val="00D01680"/>
    <w:rsid w:val="00D07FA1"/>
    <w:rsid w:val="00D10531"/>
    <w:rsid w:val="00D125FB"/>
    <w:rsid w:val="00D1565F"/>
    <w:rsid w:val="00D22290"/>
    <w:rsid w:val="00D24C39"/>
    <w:rsid w:val="00D3270D"/>
    <w:rsid w:val="00D367AA"/>
    <w:rsid w:val="00D44285"/>
    <w:rsid w:val="00D531E9"/>
    <w:rsid w:val="00D641E0"/>
    <w:rsid w:val="00D73B36"/>
    <w:rsid w:val="00D8412F"/>
    <w:rsid w:val="00D94B46"/>
    <w:rsid w:val="00DA2021"/>
    <w:rsid w:val="00DA65E6"/>
    <w:rsid w:val="00DB292F"/>
    <w:rsid w:val="00DB5929"/>
    <w:rsid w:val="00DB61E7"/>
    <w:rsid w:val="00DC0A2F"/>
    <w:rsid w:val="00DC16F3"/>
    <w:rsid w:val="00DC5D09"/>
    <w:rsid w:val="00DD7803"/>
    <w:rsid w:val="00DE10E0"/>
    <w:rsid w:val="00DE2A3A"/>
    <w:rsid w:val="00DE76CB"/>
    <w:rsid w:val="00DF402F"/>
    <w:rsid w:val="00E213C6"/>
    <w:rsid w:val="00E400CB"/>
    <w:rsid w:val="00E41E47"/>
    <w:rsid w:val="00E4384C"/>
    <w:rsid w:val="00E4534A"/>
    <w:rsid w:val="00E550AB"/>
    <w:rsid w:val="00E60C65"/>
    <w:rsid w:val="00E63E9A"/>
    <w:rsid w:val="00E67732"/>
    <w:rsid w:val="00E70EDF"/>
    <w:rsid w:val="00E71E3F"/>
    <w:rsid w:val="00E733F3"/>
    <w:rsid w:val="00E77062"/>
    <w:rsid w:val="00E8262E"/>
    <w:rsid w:val="00E922AF"/>
    <w:rsid w:val="00EB0342"/>
    <w:rsid w:val="00EB68C6"/>
    <w:rsid w:val="00ED3961"/>
    <w:rsid w:val="00ED401D"/>
    <w:rsid w:val="00EE20BF"/>
    <w:rsid w:val="00EE3B95"/>
    <w:rsid w:val="00EE63F0"/>
    <w:rsid w:val="00EF1FB7"/>
    <w:rsid w:val="00F065C4"/>
    <w:rsid w:val="00F07E39"/>
    <w:rsid w:val="00F12553"/>
    <w:rsid w:val="00F14566"/>
    <w:rsid w:val="00F14B85"/>
    <w:rsid w:val="00F14D7D"/>
    <w:rsid w:val="00F27DEF"/>
    <w:rsid w:val="00F318FA"/>
    <w:rsid w:val="00F41C87"/>
    <w:rsid w:val="00F4411C"/>
    <w:rsid w:val="00F44CC2"/>
    <w:rsid w:val="00F46A63"/>
    <w:rsid w:val="00F50DBE"/>
    <w:rsid w:val="00F52993"/>
    <w:rsid w:val="00F67E50"/>
    <w:rsid w:val="00F7358D"/>
    <w:rsid w:val="00F76C4A"/>
    <w:rsid w:val="00F77377"/>
    <w:rsid w:val="00F84DD8"/>
    <w:rsid w:val="00FA3441"/>
    <w:rsid w:val="00FA40E0"/>
    <w:rsid w:val="00FB7DC7"/>
    <w:rsid w:val="00FD0874"/>
    <w:rsid w:val="00FD515B"/>
    <w:rsid w:val="00FD51E2"/>
    <w:rsid w:val="00FE143C"/>
    <w:rsid w:val="00FE2419"/>
    <w:rsid w:val="2EAE4DDE"/>
    <w:rsid w:val="2FFDCCD6"/>
    <w:rsid w:val="37FBEBAF"/>
    <w:rsid w:val="5D1DE507"/>
    <w:rsid w:val="5FBDEEBA"/>
    <w:rsid w:val="5FBF2445"/>
    <w:rsid w:val="5FF467FA"/>
    <w:rsid w:val="661B0229"/>
    <w:rsid w:val="6B7D7BB4"/>
    <w:rsid w:val="6EB55A06"/>
    <w:rsid w:val="6F7FDEEB"/>
    <w:rsid w:val="774FA9EA"/>
    <w:rsid w:val="78EFEB7F"/>
    <w:rsid w:val="7BDC8C0A"/>
    <w:rsid w:val="7BFC1D8A"/>
    <w:rsid w:val="7D289C28"/>
    <w:rsid w:val="7D7066D9"/>
    <w:rsid w:val="7F7FAD15"/>
    <w:rsid w:val="9BFD568A"/>
    <w:rsid w:val="ADB6ABDE"/>
    <w:rsid w:val="BAEB0E92"/>
    <w:rsid w:val="BF676D58"/>
    <w:rsid w:val="D5FE55BC"/>
    <w:rsid w:val="DFE5943B"/>
    <w:rsid w:val="E7BF1C73"/>
    <w:rsid w:val="ECFF746A"/>
    <w:rsid w:val="EDAF13EF"/>
    <w:rsid w:val="F5FB646A"/>
    <w:rsid w:val="F61DBF5F"/>
    <w:rsid w:val="FBF3F868"/>
    <w:rsid w:val="FBF6E9EC"/>
    <w:rsid w:val="FDF75814"/>
    <w:rsid w:val="FFA598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Calibri" w:cs="Times New Roman"/>
      <w:lang w:val="en-US" w:eastAsia="zh-CN" w:bidi="ar-SA"/>
    </w:rPr>
  </w:style>
  <w:style w:type="paragraph" w:styleId="2">
    <w:name w:val="heading 1"/>
    <w:basedOn w:val="1"/>
    <w:next w:val="1"/>
    <w:link w:val="25"/>
    <w:qFormat/>
    <w:uiPriority w:val="9"/>
    <w:pPr>
      <w:keepNext/>
      <w:keepLines/>
      <w:widowControl w:val="0"/>
      <w:spacing w:before="480" w:after="80"/>
      <w:jc w:val="both"/>
      <w:outlineLvl w:val="0"/>
    </w:pPr>
    <w:rPr>
      <w:rFonts w:asciiTheme="majorHAnsi" w:hAnsiTheme="majorHAnsi" w:eastAsiaTheme="majorEastAsia" w:cstheme="majorBidi"/>
      <w:color w:val="104862" w:themeColor="accent1" w:themeShade="BF"/>
      <w:kern w:val="2"/>
      <w:sz w:val="48"/>
      <w:szCs w:val="48"/>
    </w:rPr>
  </w:style>
  <w:style w:type="paragraph" w:styleId="3">
    <w:name w:val="heading 2"/>
    <w:basedOn w:val="1"/>
    <w:next w:val="1"/>
    <w:link w:val="26"/>
    <w:semiHidden/>
    <w:unhideWhenUsed/>
    <w:qFormat/>
    <w:uiPriority w:val="9"/>
    <w:pPr>
      <w:keepNext/>
      <w:keepLines/>
      <w:widowControl w:val="0"/>
      <w:spacing w:before="160" w:after="80"/>
      <w:jc w:val="both"/>
      <w:outlineLvl w:val="1"/>
    </w:pPr>
    <w:rPr>
      <w:rFonts w:asciiTheme="majorHAnsi" w:hAnsiTheme="majorHAnsi" w:eastAsiaTheme="majorEastAsia" w:cstheme="majorBidi"/>
      <w:color w:val="104862" w:themeColor="accent1" w:themeShade="BF"/>
      <w:kern w:val="2"/>
      <w:sz w:val="40"/>
      <w:szCs w:val="40"/>
    </w:rPr>
  </w:style>
  <w:style w:type="paragraph" w:styleId="4">
    <w:name w:val="heading 3"/>
    <w:basedOn w:val="1"/>
    <w:next w:val="1"/>
    <w:link w:val="27"/>
    <w:semiHidden/>
    <w:unhideWhenUsed/>
    <w:qFormat/>
    <w:uiPriority w:val="9"/>
    <w:pPr>
      <w:keepNext/>
      <w:keepLines/>
      <w:widowControl w:val="0"/>
      <w:spacing w:before="160" w:after="80"/>
      <w:jc w:val="both"/>
      <w:outlineLvl w:val="2"/>
    </w:pPr>
    <w:rPr>
      <w:rFonts w:asciiTheme="majorHAnsi" w:hAnsiTheme="majorHAnsi" w:eastAsiaTheme="majorEastAsia" w:cstheme="majorBidi"/>
      <w:color w:val="104862" w:themeColor="accent1" w:themeShade="BF"/>
      <w:kern w:val="2"/>
      <w:sz w:val="32"/>
      <w:szCs w:val="32"/>
    </w:rPr>
  </w:style>
  <w:style w:type="paragraph" w:styleId="5">
    <w:name w:val="heading 4"/>
    <w:basedOn w:val="1"/>
    <w:next w:val="1"/>
    <w:link w:val="28"/>
    <w:semiHidden/>
    <w:unhideWhenUsed/>
    <w:qFormat/>
    <w:uiPriority w:val="9"/>
    <w:pPr>
      <w:keepNext/>
      <w:keepLines/>
      <w:widowControl w:val="0"/>
      <w:spacing w:before="80" w:after="40"/>
      <w:jc w:val="both"/>
      <w:outlineLvl w:val="3"/>
    </w:pPr>
    <w:rPr>
      <w:rFonts w:asciiTheme="minorHAnsi" w:hAnsiTheme="minorHAnsi" w:eastAsiaTheme="minorEastAsia" w:cstheme="majorBidi"/>
      <w:color w:val="104862" w:themeColor="accent1" w:themeShade="BF"/>
      <w:kern w:val="2"/>
      <w:sz w:val="28"/>
      <w:szCs w:val="28"/>
    </w:rPr>
  </w:style>
  <w:style w:type="paragraph" w:styleId="6">
    <w:name w:val="heading 5"/>
    <w:basedOn w:val="1"/>
    <w:next w:val="1"/>
    <w:link w:val="29"/>
    <w:semiHidden/>
    <w:unhideWhenUsed/>
    <w:qFormat/>
    <w:uiPriority w:val="9"/>
    <w:pPr>
      <w:keepNext/>
      <w:keepLines/>
      <w:widowControl w:val="0"/>
      <w:spacing w:before="80" w:after="40"/>
      <w:jc w:val="both"/>
      <w:outlineLvl w:val="4"/>
    </w:pPr>
    <w:rPr>
      <w:rFonts w:asciiTheme="minorHAnsi" w:hAnsiTheme="minorHAnsi" w:eastAsiaTheme="minorEastAsia" w:cstheme="majorBidi"/>
      <w:color w:val="104862" w:themeColor="accent1" w:themeShade="BF"/>
      <w:kern w:val="2"/>
      <w:sz w:val="24"/>
      <w:szCs w:val="24"/>
    </w:rPr>
  </w:style>
  <w:style w:type="paragraph" w:styleId="7">
    <w:name w:val="heading 6"/>
    <w:basedOn w:val="1"/>
    <w:next w:val="1"/>
    <w:link w:val="30"/>
    <w:semiHidden/>
    <w:unhideWhenUsed/>
    <w:qFormat/>
    <w:uiPriority w:val="9"/>
    <w:pPr>
      <w:keepNext/>
      <w:keepLines/>
      <w:widowControl w:val="0"/>
      <w:spacing w:before="40"/>
      <w:jc w:val="both"/>
      <w:outlineLvl w:val="5"/>
    </w:pPr>
    <w:rPr>
      <w:rFonts w:asciiTheme="minorHAnsi" w:hAnsiTheme="minorHAnsi" w:eastAsiaTheme="minorEastAsia" w:cstheme="majorBidi"/>
      <w:b/>
      <w:bCs/>
      <w:color w:val="104862" w:themeColor="accent1" w:themeShade="BF"/>
      <w:kern w:val="2"/>
      <w:sz w:val="21"/>
      <w:szCs w:val="24"/>
    </w:rPr>
  </w:style>
  <w:style w:type="paragraph" w:styleId="8">
    <w:name w:val="heading 7"/>
    <w:basedOn w:val="1"/>
    <w:next w:val="1"/>
    <w:link w:val="31"/>
    <w:semiHidden/>
    <w:unhideWhenUsed/>
    <w:qFormat/>
    <w:uiPriority w:val="9"/>
    <w:pPr>
      <w:keepNext/>
      <w:keepLines/>
      <w:widowControl w:val="0"/>
      <w:spacing w:before="40"/>
      <w:jc w:val="both"/>
      <w:outlineLvl w:val="6"/>
    </w:pPr>
    <w:rPr>
      <w:rFonts w:asciiTheme="minorHAnsi" w:hAnsiTheme="minorHAnsi" w:eastAsiaTheme="minorEastAsia" w:cstheme="majorBidi"/>
      <w:b/>
      <w:bCs/>
      <w:color w:val="595959" w:themeColor="text1" w:themeTint="A6"/>
      <w:kern w:val="2"/>
      <w:sz w:val="21"/>
      <w:szCs w:val="24"/>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widowControl w:val="0"/>
      <w:jc w:val="both"/>
      <w:outlineLvl w:val="7"/>
    </w:pPr>
    <w:rPr>
      <w:rFonts w:asciiTheme="minorHAnsi" w:hAnsiTheme="minorHAnsi" w:eastAsiaTheme="minorEastAsia" w:cstheme="majorBidi"/>
      <w:color w:val="595959" w:themeColor="text1" w:themeTint="A6"/>
      <w:kern w:val="2"/>
      <w:sz w:val="21"/>
      <w:szCs w:val="24"/>
      <w14:textFill>
        <w14:solidFill>
          <w14:schemeClr w14:val="tx1">
            <w14:lumMod w14:val="65000"/>
            <w14:lumOff w14:val="35000"/>
          </w14:schemeClr>
        </w14:solidFill>
      </w14:textFill>
    </w:rPr>
  </w:style>
  <w:style w:type="paragraph" w:styleId="10">
    <w:name w:val="heading 9"/>
    <w:basedOn w:val="1"/>
    <w:next w:val="1"/>
    <w:link w:val="33"/>
    <w:semiHidden/>
    <w:unhideWhenUsed/>
    <w:qFormat/>
    <w:uiPriority w:val="9"/>
    <w:pPr>
      <w:keepNext/>
      <w:keepLines/>
      <w:widowControl w:val="0"/>
      <w:jc w:val="both"/>
      <w:outlineLvl w:val="8"/>
    </w:pPr>
    <w:rPr>
      <w:rFonts w:asciiTheme="minorHAnsi" w:hAnsiTheme="minorHAnsi" w:eastAsiaTheme="majorEastAsia" w:cstheme="majorBidi"/>
      <w:color w:val="595959" w:themeColor="text1" w:themeTint="A6"/>
      <w:kern w:val="2"/>
      <w:sz w:val="21"/>
      <w:szCs w:val="24"/>
      <w14:textFill>
        <w14:solidFill>
          <w14:schemeClr w14:val="tx1">
            <w14:lumMod w14:val="65000"/>
            <w14:lumOff w14:val="35000"/>
          </w14:schemeClr>
        </w14:solidFill>
      </w14:textFill>
    </w:rPr>
  </w:style>
  <w:style w:type="character" w:default="1" w:styleId="21">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50"/>
    <w:semiHidden/>
    <w:unhideWhenUsed/>
    <w:uiPriority w:val="99"/>
  </w:style>
  <w:style w:type="paragraph" w:styleId="12">
    <w:name w:val="footer"/>
    <w:basedOn w:val="1"/>
    <w:link w:val="48"/>
    <w:unhideWhenUsed/>
    <w:uiPriority w:val="99"/>
    <w:pPr>
      <w:tabs>
        <w:tab w:val="center" w:pos="4153"/>
        <w:tab w:val="right" w:pos="8306"/>
      </w:tabs>
      <w:snapToGrid w:val="0"/>
    </w:pPr>
    <w:rPr>
      <w:sz w:val="18"/>
      <w:szCs w:val="18"/>
    </w:rPr>
  </w:style>
  <w:style w:type="paragraph" w:styleId="13">
    <w:name w:val="header"/>
    <w:basedOn w:val="1"/>
    <w:link w:val="47"/>
    <w:unhideWhenUsed/>
    <w:uiPriority w:val="99"/>
    <w:pPr>
      <w:tabs>
        <w:tab w:val="center" w:pos="4153"/>
        <w:tab w:val="right" w:pos="8306"/>
      </w:tabs>
      <w:snapToGrid w:val="0"/>
      <w:jc w:val="center"/>
    </w:pPr>
    <w:rPr>
      <w:sz w:val="18"/>
      <w:szCs w:val="18"/>
    </w:rPr>
  </w:style>
  <w:style w:type="paragraph" w:styleId="14">
    <w:name w:val="toc 1"/>
    <w:basedOn w:val="1"/>
    <w:next w:val="1"/>
    <w:autoRedefine/>
    <w:qFormat/>
    <w:uiPriority w:val="39"/>
    <w:pPr>
      <w:widowControl w:val="0"/>
      <w:tabs>
        <w:tab w:val="left" w:pos="480"/>
        <w:tab w:val="right" w:leader="dot" w:pos="8721"/>
      </w:tabs>
      <w:snapToGrid w:val="0"/>
      <w:spacing w:line="500" w:lineRule="exact"/>
    </w:pPr>
    <w:rPr>
      <w:rFonts w:cs="黑体" w:eastAsiaTheme="minorEastAsia"/>
      <w:b/>
      <w:bCs/>
      <w:caps/>
      <w:kern w:val="2"/>
      <w:sz w:val="28"/>
      <w:szCs w:val="28"/>
    </w:rPr>
  </w:style>
  <w:style w:type="paragraph" w:styleId="15">
    <w:name w:val="Subtitle"/>
    <w:basedOn w:val="1"/>
    <w:next w:val="1"/>
    <w:link w:val="35"/>
    <w:qFormat/>
    <w:uiPriority w:val="11"/>
    <w:pPr>
      <w:widowControl w:val="0"/>
      <w:spacing w:after="160"/>
      <w:jc w:val="center"/>
    </w:pPr>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paragraph" w:styleId="16">
    <w:name w:val="Normal (Web)"/>
    <w:basedOn w:val="1"/>
    <w:semiHidden/>
    <w:unhideWhenUsed/>
    <w:uiPriority w:val="99"/>
    <w:pPr>
      <w:spacing w:before="100" w:beforeAutospacing="1" w:after="100" w:afterAutospacing="1"/>
    </w:pPr>
    <w:rPr>
      <w:rFonts w:ascii="宋体" w:hAnsi="宋体" w:eastAsia="宋体" w:cs="宋体"/>
      <w:sz w:val="24"/>
      <w:szCs w:val="24"/>
    </w:rPr>
  </w:style>
  <w:style w:type="paragraph" w:styleId="17">
    <w:name w:val="Title"/>
    <w:basedOn w:val="1"/>
    <w:next w:val="1"/>
    <w:link w:val="34"/>
    <w:qFormat/>
    <w:uiPriority w:val="10"/>
    <w:pPr>
      <w:widowControl w:val="0"/>
      <w:spacing w:after="80"/>
      <w:contextualSpacing/>
      <w:jc w:val="center"/>
    </w:pPr>
    <w:rPr>
      <w:rFonts w:asciiTheme="majorHAnsi" w:hAnsiTheme="majorHAnsi" w:eastAsiaTheme="majorEastAsia" w:cstheme="majorBidi"/>
      <w:spacing w:val="-10"/>
      <w:kern w:val="28"/>
      <w:sz w:val="56"/>
      <w:szCs w:val="56"/>
    </w:rPr>
  </w:style>
  <w:style w:type="paragraph" w:styleId="18">
    <w:name w:val="annotation subject"/>
    <w:basedOn w:val="11"/>
    <w:next w:val="11"/>
    <w:link w:val="51"/>
    <w:semiHidden/>
    <w:unhideWhenUsed/>
    <w:uiPriority w:val="99"/>
    <w:rPr>
      <w:b/>
      <w:bCs/>
    </w:rPr>
  </w:style>
  <w:style w:type="table" w:styleId="20">
    <w:name w:val="Table Grid"/>
    <w:basedOn w:val="19"/>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line number"/>
    <w:basedOn w:val="21"/>
    <w:semiHidden/>
    <w:unhideWhenUsed/>
    <w:uiPriority w:val="99"/>
  </w:style>
  <w:style w:type="character" w:styleId="23">
    <w:name w:val="Hyperlink"/>
    <w:basedOn w:val="21"/>
    <w:qFormat/>
    <w:uiPriority w:val="99"/>
    <w:rPr>
      <w:color w:val="0000FF"/>
      <w:u w:val="single"/>
    </w:rPr>
  </w:style>
  <w:style w:type="character" w:styleId="24">
    <w:name w:val="annotation reference"/>
    <w:basedOn w:val="21"/>
    <w:semiHidden/>
    <w:unhideWhenUsed/>
    <w:uiPriority w:val="99"/>
    <w:rPr>
      <w:sz w:val="21"/>
      <w:szCs w:val="21"/>
    </w:rPr>
  </w:style>
  <w:style w:type="character" w:customStyle="1" w:styleId="25">
    <w:name w:val="标题 1 字符"/>
    <w:basedOn w:val="21"/>
    <w:link w:val="2"/>
    <w:uiPriority w:val="9"/>
    <w:rPr>
      <w:rFonts w:asciiTheme="majorHAnsi" w:hAnsiTheme="majorHAnsi" w:eastAsiaTheme="majorEastAsia" w:cstheme="majorBidi"/>
      <w:color w:val="104862" w:themeColor="accent1" w:themeShade="BF"/>
      <w:sz w:val="48"/>
      <w:szCs w:val="48"/>
    </w:rPr>
  </w:style>
  <w:style w:type="character" w:customStyle="1" w:styleId="26">
    <w:name w:val="标题 2 字符"/>
    <w:basedOn w:val="21"/>
    <w:link w:val="3"/>
    <w:semiHidden/>
    <w:uiPriority w:val="9"/>
    <w:rPr>
      <w:rFonts w:asciiTheme="majorHAnsi" w:hAnsiTheme="majorHAnsi" w:eastAsiaTheme="majorEastAsia" w:cstheme="majorBidi"/>
      <w:color w:val="104862" w:themeColor="accent1" w:themeShade="BF"/>
      <w:sz w:val="40"/>
      <w:szCs w:val="40"/>
    </w:rPr>
  </w:style>
  <w:style w:type="character" w:customStyle="1" w:styleId="27">
    <w:name w:val="标题 3 字符"/>
    <w:basedOn w:val="21"/>
    <w:link w:val="4"/>
    <w:semiHidden/>
    <w:uiPriority w:val="9"/>
    <w:rPr>
      <w:rFonts w:asciiTheme="majorHAnsi" w:hAnsiTheme="majorHAnsi" w:eastAsiaTheme="majorEastAsia" w:cstheme="majorBidi"/>
      <w:color w:val="104862" w:themeColor="accent1" w:themeShade="BF"/>
      <w:sz w:val="32"/>
      <w:szCs w:val="32"/>
    </w:rPr>
  </w:style>
  <w:style w:type="character" w:customStyle="1" w:styleId="28">
    <w:name w:val="标题 4 字符"/>
    <w:basedOn w:val="21"/>
    <w:link w:val="5"/>
    <w:semiHidden/>
    <w:uiPriority w:val="9"/>
    <w:rPr>
      <w:rFonts w:cstheme="majorBidi"/>
      <w:color w:val="104862" w:themeColor="accent1" w:themeShade="BF"/>
      <w:sz w:val="28"/>
      <w:szCs w:val="28"/>
    </w:rPr>
  </w:style>
  <w:style w:type="character" w:customStyle="1" w:styleId="29">
    <w:name w:val="标题 5 字符"/>
    <w:basedOn w:val="21"/>
    <w:link w:val="6"/>
    <w:semiHidden/>
    <w:uiPriority w:val="9"/>
    <w:rPr>
      <w:rFonts w:cstheme="majorBidi"/>
      <w:color w:val="104862" w:themeColor="accent1" w:themeShade="BF"/>
      <w:sz w:val="24"/>
    </w:rPr>
  </w:style>
  <w:style w:type="character" w:customStyle="1" w:styleId="30">
    <w:name w:val="标题 6 字符"/>
    <w:basedOn w:val="21"/>
    <w:link w:val="7"/>
    <w:semiHidden/>
    <w:uiPriority w:val="9"/>
    <w:rPr>
      <w:rFonts w:cstheme="majorBidi"/>
      <w:b/>
      <w:bCs/>
      <w:color w:val="104862" w:themeColor="accent1" w:themeShade="BF"/>
    </w:rPr>
  </w:style>
  <w:style w:type="character" w:customStyle="1" w:styleId="31">
    <w:name w:val="标题 7 字符"/>
    <w:basedOn w:val="21"/>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8 字符"/>
    <w:basedOn w:val="21"/>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9 字符"/>
    <w:basedOn w:val="21"/>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标题 字符"/>
    <w:basedOn w:val="21"/>
    <w:link w:val="17"/>
    <w:uiPriority w:val="10"/>
    <w:rPr>
      <w:rFonts w:asciiTheme="majorHAnsi" w:hAnsiTheme="majorHAnsi" w:eastAsiaTheme="majorEastAsia" w:cstheme="majorBidi"/>
      <w:spacing w:val="-10"/>
      <w:kern w:val="28"/>
      <w:sz w:val="56"/>
      <w:szCs w:val="56"/>
    </w:rPr>
  </w:style>
  <w:style w:type="character" w:customStyle="1" w:styleId="35">
    <w:name w:val="副标题 字符"/>
    <w:basedOn w:val="21"/>
    <w:link w:val="15"/>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widowControl w:val="0"/>
      <w:spacing w:before="160" w:after="160"/>
      <w:jc w:val="center"/>
    </w:pPr>
    <w:rPr>
      <w:rFonts w:asciiTheme="minorHAnsi" w:hAnsiTheme="minorHAnsi" w:eastAsiaTheme="minorEastAsia" w:cstheme="minorBidi"/>
      <w:i/>
      <w:iCs/>
      <w:color w:val="404040" w:themeColor="text1" w:themeTint="BF"/>
      <w:kern w:val="2"/>
      <w:sz w:val="21"/>
      <w:szCs w:val="24"/>
      <w14:textFill>
        <w14:solidFill>
          <w14:schemeClr w14:val="tx1">
            <w14:lumMod w14:val="75000"/>
            <w14:lumOff w14:val="25000"/>
          </w14:schemeClr>
        </w14:solidFill>
      </w14:textFill>
    </w:rPr>
  </w:style>
  <w:style w:type="character" w:customStyle="1" w:styleId="37">
    <w:name w:val="引用 字符"/>
    <w:basedOn w:val="21"/>
    <w:link w:val="36"/>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widowControl w:val="0"/>
      <w:ind w:left="720"/>
      <w:contextualSpacing/>
      <w:jc w:val="both"/>
    </w:pPr>
    <w:rPr>
      <w:rFonts w:asciiTheme="minorHAnsi" w:hAnsiTheme="minorHAnsi" w:eastAsiaTheme="minorEastAsia" w:cstheme="minorBidi"/>
      <w:kern w:val="2"/>
      <w:sz w:val="21"/>
      <w:szCs w:val="24"/>
    </w:rPr>
  </w:style>
  <w:style w:type="character" w:customStyle="1" w:styleId="39">
    <w:name w:val="明显强调1"/>
    <w:basedOn w:val="21"/>
    <w:qFormat/>
    <w:uiPriority w:val="21"/>
    <w:rPr>
      <w:i/>
      <w:iCs/>
      <w:color w:val="104862" w:themeColor="accent1" w:themeShade="BF"/>
    </w:rPr>
  </w:style>
  <w:style w:type="paragraph" w:styleId="40">
    <w:name w:val="Intense Quote"/>
    <w:basedOn w:val="1"/>
    <w:next w:val="1"/>
    <w:link w:val="41"/>
    <w:qFormat/>
    <w:uiPriority w:val="30"/>
    <w:pPr>
      <w:widowControl w:val="0"/>
      <w:pBdr>
        <w:top w:val="single" w:color="0F4761" w:themeColor="accent1" w:themeShade="BF" w:sz="4" w:space="10"/>
        <w:bottom w:val="single" w:color="0F4761" w:themeColor="accent1" w:themeShade="BF" w:sz="4" w:space="10"/>
      </w:pBdr>
      <w:spacing w:before="360" w:after="360"/>
      <w:ind w:left="864" w:right="864"/>
      <w:jc w:val="center"/>
    </w:pPr>
    <w:rPr>
      <w:rFonts w:asciiTheme="minorHAnsi" w:hAnsiTheme="minorHAnsi" w:eastAsiaTheme="minorEastAsia" w:cstheme="minorBidi"/>
      <w:i/>
      <w:iCs/>
      <w:color w:val="104862" w:themeColor="accent1" w:themeShade="BF"/>
      <w:kern w:val="2"/>
      <w:sz w:val="21"/>
      <w:szCs w:val="24"/>
    </w:rPr>
  </w:style>
  <w:style w:type="character" w:customStyle="1" w:styleId="41">
    <w:name w:val="明显引用 字符"/>
    <w:basedOn w:val="21"/>
    <w:link w:val="40"/>
    <w:uiPriority w:val="30"/>
    <w:rPr>
      <w:i/>
      <w:iCs/>
      <w:color w:val="104862" w:themeColor="accent1" w:themeShade="BF"/>
    </w:rPr>
  </w:style>
  <w:style w:type="character" w:customStyle="1" w:styleId="42">
    <w:name w:val="明显参考1"/>
    <w:basedOn w:val="21"/>
    <w:qFormat/>
    <w:uiPriority w:val="32"/>
    <w:rPr>
      <w:b/>
      <w:bCs/>
      <w:smallCaps/>
      <w:color w:val="104862" w:themeColor="accent1" w:themeShade="BF"/>
      <w:spacing w:val="5"/>
    </w:rPr>
  </w:style>
  <w:style w:type="paragraph" w:customStyle="1" w:styleId="43">
    <w:name w:val="EndNote Bibliography Title"/>
    <w:basedOn w:val="1"/>
    <w:link w:val="44"/>
    <w:uiPriority w:val="0"/>
    <w:pPr>
      <w:jc w:val="center"/>
    </w:pPr>
  </w:style>
  <w:style w:type="character" w:customStyle="1" w:styleId="44">
    <w:name w:val="EndNote Bibliography Title 字符"/>
    <w:basedOn w:val="21"/>
    <w:link w:val="43"/>
    <w:uiPriority w:val="0"/>
    <w:rPr>
      <w:rFonts w:ascii="Times New Roman" w:hAnsi="Times New Roman" w:eastAsia="Calibri" w:cs="Times New Roman"/>
      <w:kern w:val="0"/>
      <w:sz w:val="20"/>
      <w:szCs w:val="20"/>
    </w:rPr>
  </w:style>
  <w:style w:type="paragraph" w:customStyle="1" w:styleId="45">
    <w:name w:val="EndNote Bibliography"/>
    <w:basedOn w:val="1"/>
    <w:link w:val="46"/>
    <w:uiPriority w:val="0"/>
    <w:pPr>
      <w:jc w:val="both"/>
    </w:pPr>
  </w:style>
  <w:style w:type="character" w:customStyle="1" w:styleId="46">
    <w:name w:val="EndNote Bibliography 字符"/>
    <w:basedOn w:val="21"/>
    <w:link w:val="45"/>
    <w:uiPriority w:val="0"/>
    <w:rPr>
      <w:rFonts w:ascii="Times New Roman" w:hAnsi="Times New Roman" w:eastAsia="Calibri" w:cs="Times New Roman"/>
      <w:kern w:val="0"/>
      <w:sz w:val="20"/>
      <w:szCs w:val="20"/>
    </w:rPr>
  </w:style>
  <w:style w:type="character" w:customStyle="1" w:styleId="47">
    <w:name w:val="页眉 字符"/>
    <w:basedOn w:val="21"/>
    <w:link w:val="13"/>
    <w:uiPriority w:val="99"/>
    <w:rPr>
      <w:rFonts w:ascii="Times New Roman" w:hAnsi="Times New Roman" w:eastAsia="Calibri" w:cs="Times New Roman"/>
      <w:kern w:val="0"/>
      <w:sz w:val="18"/>
      <w:szCs w:val="18"/>
    </w:rPr>
  </w:style>
  <w:style w:type="character" w:customStyle="1" w:styleId="48">
    <w:name w:val="页脚 字符"/>
    <w:basedOn w:val="21"/>
    <w:link w:val="12"/>
    <w:uiPriority w:val="99"/>
    <w:rPr>
      <w:rFonts w:ascii="Times New Roman" w:hAnsi="Times New Roman" w:eastAsia="Calibri" w:cs="Times New Roman"/>
      <w:kern w:val="0"/>
      <w:sz w:val="18"/>
      <w:szCs w:val="18"/>
    </w:rPr>
  </w:style>
  <w:style w:type="paragraph" w:customStyle="1" w:styleId="49">
    <w:name w:val="修订1"/>
    <w:hidden/>
    <w:semiHidden/>
    <w:uiPriority w:val="99"/>
    <w:rPr>
      <w:rFonts w:ascii="Times New Roman" w:hAnsi="Times New Roman" w:eastAsia="Calibri" w:cs="Times New Roman"/>
      <w:lang w:val="en-US" w:eastAsia="zh-CN" w:bidi="ar-SA"/>
    </w:rPr>
  </w:style>
  <w:style w:type="character" w:customStyle="1" w:styleId="50">
    <w:name w:val="批注文字 字符"/>
    <w:basedOn w:val="21"/>
    <w:link w:val="11"/>
    <w:semiHidden/>
    <w:uiPriority w:val="99"/>
    <w:rPr>
      <w:rFonts w:ascii="Times New Roman" w:hAnsi="Times New Roman" w:eastAsia="Calibri" w:cs="Times New Roman"/>
      <w:kern w:val="0"/>
      <w:sz w:val="20"/>
      <w:szCs w:val="20"/>
    </w:rPr>
  </w:style>
  <w:style w:type="character" w:customStyle="1" w:styleId="51">
    <w:name w:val="批注主题 字符"/>
    <w:basedOn w:val="50"/>
    <w:link w:val="18"/>
    <w:semiHidden/>
    <w:uiPriority w:val="99"/>
    <w:rPr>
      <w:rFonts w:ascii="Times New Roman" w:hAnsi="Times New Roman" w:eastAsia="Calibri" w:cs="Times New Roman"/>
      <w:b/>
      <w:bCs/>
      <w:kern w:val="0"/>
      <w:sz w:val="20"/>
      <w:szCs w:val="20"/>
    </w:rPr>
  </w:style>
  <w:style w:type="character" w:customStyle="1" w:styleId="52">
    <w:name w:val="未处理的提及1"/>
    <w:basedOn w:val="21"/>
    <w:semiHidden/>
    <w:unhideWhenUsed/>
    <w:uiPriority w:val="99"/>
    <w:rPr>
      <w:color w:val="605E5C"/>
      <w:shd w:val="clear" w:color="auto" w:fill="E1DFDD"/>
    </w:rPr>
  </w:style>
  <w:style w:type="paragraph" w:customStyle="1" w:styleId="53">
    <w:name w:val="修订2"/>
    <w:hidden/>
    <w:unhideWhenUsed/>
    <w:uiPriority w:val="99"/>
    <w:rPr>
      <w:rFonts w:ascii="Times New Roman" w:hAnsi="Times New Roman" w:eastAsia="Calibri"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983ADB30-86A4-C043-941B-4E51580407B7}">
  <ds:schemaRefs/>
</ds:datastoreItem>
</file>

<file path=docProps/app.xml><?xml version="1.0" encoding="utf-8"?>
<Properties xmlns="http://schemas.openxmlformats.org/officeDocument/2006/extended-properties" xmlns:vt="http://schemas.openxmlformats.org/officeDocument/2006/docPropsVTypes">
  <Template>Normal.dotm</Template>
  <Pages>24</Pages>
  <Words>5628</Words>
  <Characters>32086</Characters>
  <Lines>267</Lines>
  <Paragraphs>75</Paragraphs>
  <TotalTime>9</TotalTime>
  <ScaleCrop>false</ScaleCrop>
  <LinksUpToDate>false</LinksUpToDate>
  <CharactersWithSpaces>37639</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2026-05-12T22:23:00Z</dcterms:created>
  <dc:creator>office user</dc:creator>
  <cp:lastModifiedBy>安子</cp:lastModifiedBy>
  <dcterms:modified xsi:type="dcterms:W3CDTF">2026-07-11T14:01:00Z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E77AC06BF99253985A29026AEB2B66DC_43</vt:lpwstr>
  </property>
</Properties>
</file>