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40E4A4" w14:textId="58923AEC" w:rsidR="00867D6B" w:rsidRDefault="0092578A" w:rsidP="00DB56B3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7CEB503D" wp14:editId="5013CA9E">
            <wp:extent cx="5731510" cy="3708400"/>
            <wp:effectExtent l="0" t="0" r="0" b="0"/>
            <wp:docPr id="5288010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01056" name="Grafik 5288010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B1DA7" w14:textId="77777777" w:rsidR="00867D6B" w:rsidRDefault="00867D6B" w:rsidP="00DB56B3">
      <w:pPr>
        <w:rPr>
          <w:b/>
          <w:bCs/>
        </w:rPr>
      </w:pPr>
    </w:p>
    <w:p w14:paraId="76B419C1" w14:textId="391747D2" w:rsidR="00DB56B3" w:rsidRPr="00586A8B" w:rsidRDefault="00DB56B3" w:rsidP="00DB56B3">
      <w:pPr>
        <w:rPr>
          <w:i/>
          <w:iCs/>
        </w:rPr>
      </w:pPr>
      <w:r w:rsidRPr="00586A8B">
        <w:rPr>
          <w:b/>
          <w:bCs/>
        </w:rPr>
        <w:t>Supplementary Figure S1.</w:t>
      </w:r>
      <w:r>
        <w:rPr>
          <w:b/>
          <w:bCs/>
        </w:rPr>
        <w:t xml:space="preserve"> </w:t>
      </w:r>
      <w:r>
        <w:rPr>
          <w:i/>
          <w:iCs/>
        </w:rPr>
        <w:t xml:space="preserve">Marginal means of all handgrip strength (HGS) indices comparing </w:t>
      </w:r>
      <w:proofErr w:type="spellStart"/>
      <w:r>
        <w:rPr>
          <w:i/>
          <w:iCs/>
        </w:rPr>
        <w:t>noME</w:t>
      </w:r>
      <w:proofErr w:type="spellEnd"/>
      <w:r>
        <w:rPr>
          <w:i/>
          <w:iCs/>
        </w:rPr>
        <w:t xml:space="preserve">/CFS patients with confirmed CCC-ME/CFS patients, adjusted for age and body mass index (BMI), for male (green) and female (red) participants. Estimates were obtained from linear models that included group, sex, age, </w:t>
      </w:r>
      <w:r w:rsidRPr="00D947B7">
        <w:rPr>
          <w:bCs/>
          <w:i/>
          <w:iCs/>
        </w:rPr>
        <w:t>and BMI as independent variables</w:t>
      </w:r>
      <w:r>
        <w:rPr>
          <w:bCs/>
          <w:i/>
          <w:iCs/>
        </w:rPr>
        <w:t>,</w:t>
      </w:r>
      <w:r w:rsidRPr="00D947B7">
        <w:rPr>
          <w:bCs/>
          <w:i/>
          <w:iCs/>
        </w:rPr>
        <w:t xml:space="preserve"> and </w:t>
      </w:r>
      <w:r>
        <w:rPr>
          <w:bCs/>
          <w:i/>
          <w:iCs/>
        </w:rPr>
        <w:t xml:space="preserve">each </w:t>
      </w:r>
      <w:r w:rsidRPr="00D947B7">
        <w:rPr>
          <w:bCs/>
          <w:i/>
          <w:iCs/>
        </w:rPr>
        <w:t xml:space="preserve">HGS </w:t>
      </w:r>
      <w:r>
        <w:rPr>
          <w:bCs/>
          <w:i/>
          <w:iCs/>
        </w:rPr>
        <w:t>index</w:t>
      </w:r>
      <w:r w:rsidRPr="00D947B7">
        <w:rPr>
          <w:bCs/>
          <w:i/>
          <w:iCs/>
        </w:rPr>
        <w:t xml:space="preserve"> as the dependent variable. Horizontal lines indicate significant differences between groups</w:t>
      </w:r>
      <w:r w:rsidRPr="00586A8B">
        <w:t xml:space="preserve"> </w:t>
      </w:r>
      <w:r w:rsidRPr="00586A8B">
        <w:rPr>
          <w:bCs/>
          <w:i/>
          <w:iCs/>
        </w:rPr>
        <w:t xml:space="preserve">and are indicated as follows: P &lt; 0.1 (.), P &lt; 0.05 (*), P &lt; 0.01 (**), P &lt; 0.001 (***). Outliers above the fatigue ratio (FR) cutoffs were excluded from the plot for clarity, but were retained in the statistical analyses. These included, for FR in </w:t>
      </w:r>
      <w:r>
        <w:rPr>
          <w:bCs/>
          <w:i/>
          <w:iCs/>
        </w:rPr>
        <w:t>S</w:t>
      </w:r>
      <w:r w:rsidRPr="00586A8B">
        <w:rPr>
          <w:bCs/>
          <w:i/>
          <w:iCs/>
        </w:rPr>
        <w:t xml:space="preserve">ession 1 (cutoff = 2.0): 1 in </w:t>
      </w:r>
      <w:proofErr w:type="spellStart"/>
      <w:r w:rsidRPr="00586A8B">
        <w:rPr>
          <w:bCs/>
          <w:i/>
          <w:iCs/>
        </w:rPr>
        <w:t>noME</w:t>
      </w:r>
      <w:proofErr w:type="spellEnd"/>
      <w:r w:rsidRPr="00586A8B">
        <w:rPr>
          <w:bCs/>
          <w:i/>
          <w:iCs/>
        </w:rPr>
        <w:t xml:space="preserve">/CFS patients and </w:t>
      </w:r>
      <w:r>
        <w:rPr>
          <w:bCs/>
          <w:i/>
          <w:iCs/>
        </w:rPr>
        <w:t>2</w:t>
      </w:r>
      <w:r w:rsidRPr="00586A8B">
        <w:rPr>
          <w:bCs/>
          <w:i/>
          <w:iCs/>
        </w:rPr>
        <w:t xml:space="preserve"> in </w:t>
      </w:r>
      <w:r>
        <w:rPr>
          <w:bCs/>
          <w:i/>
          <w:iCs/>
        </w:rPr>
        <w:t>CCC-</w:t>
      </w:r>
      <w:r w:rsidRPr="00586A8B">
        <w:rPr>
          <w:bCs/>
          <w:i/>
          <w:iCs/>
        </w:rPr>
        <w:t xml:space="preserve">ME/CFS patients; and for FR in Session 2 (cutoff = 2.5): 1 in </w:t>
      </w:r>
      <w:proofErr w:type="spellStart"/>
      <w:r w:rsidRPr="00586A8B">
        <w:rPr>
          <w:bCs/>
          <w:i/>
          <w:iCs/>
        </w:rPr>
        <w:t>noME</w:t>
      </w:r>
      <w:proofErr w:type="spellEnd"/>
      <w:r w:rsidRPr="00586A8B">
        <w:rPr>
          <w:bCs/>
          <w:i/>
          <w:iCs/>
        </w:rPr>
        <w:t xml:space="preserve">/CFS patients and 0 in </w:t>
      </w:r>
      <w:r>
        <w:rPr>
          <w:bCs/>
          <w:i/>
          <w:iCs/>
        </w:rPr>
        <w:t>CCC-</w:t>
      </w:r>
      <w:r w:rsidRPr="00586A8B">
        <w:rPr>
          <w:bCs/>
          <w:i/>
          <w:iCs/>
        </w:rPr>
        <w:t>ME/CFS patients.</w:t>
      </w:r>
    </w:p>
    <w:p w14:paraId="006A1A2B" w14:textId="77777777" w:rsidR="002B4349" w:rsidRDefault="002B4349"/>
    <w:sectPr w:rsidR="002B4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B3"/>
    <w:rsid w:val="001B3977"/>
    <w:rsid w:val="002B4349"/>
    <w:rsid w:val="00772BFF"/>
    <w:rsid w:val="007E412A"/>
    <w:rsid w:val="00810FF7"/>
    <w:rsid w:val="00867D6B"/>
    <w:rsid w:val="0092578A"/>
    <w:rsid w:val="00AE218D"/>
    <w:rsid w:val="00DB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E92A"/>
  <w15:chartTrackingRefBased/>
  <w15:docId w15:val="{746B4C56-C869-46E7-9C38-6B1B7996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56B3"/>
    <w:pPr>
      <w:spacing w:after="0" w:line="276" w:lineRule="auto"/>
      <w:jc w:val="both"/>
    </w:pPr>
    <w:rPr>
      <w:rFonts w:ascii="Arial" w:eastAsia="Arial" w:hAnsi="Arial" w:cs="Arial"/>
      <w:kern w:val="0"/>
      <w:sz w:val="22"/>
      <w:szCs w:val="22"/>
      <w:lang w:val="en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56B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56B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56B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56B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56B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56B3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56B3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56B3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56B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5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5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5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56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56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56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56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56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56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56B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B5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56B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5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56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B56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56B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B56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5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56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56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759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Elumalai (Integra)</dc:creator>
  <cp:keywords/>
  <dc:description/>
  <cp:lastModifiedBy>Lorenz Mihatsch</cp:lastModifiedBy>
  <cp:revision>3</cp:revision>
  <dcterms:created xsi:type="dcterms:W3CDTF">2026-07-11T14:40:00Z</dcterms:created>
  <dcterms:modified xsi:type="dcterms:W3CDTF">2026-07-11T14:43:00Z</dcterms:modified>
</cp:coreProperties>
</file>