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8D19" w14:textId="77777777" w:rsidR="00046EBE" w:rsidRDefault="00046EBE">
      <w:pPr>
        <w:rPr>
          <w:rFonts w:hint="eastAsia"/>
        </w:rPr>
      </w:pPr>
      <w:r>
        <w:rPr>
          <w:noProof/>
        </w:rPr>
        <w:drawing>
          <wp:inline distT="0" distB="0" distL="0" distR="0" wp14:anchorId="54FD1C60" wp14:editId="7AD215D4">
            <wp:extent cx="5274310" cy="5107305"/>
            <wp:effectExtent l="0" t="0" r="2540" b="0"/>
            <wp:docPr id="183366386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663861" name="图片 1833663861"/>
                    <pic:cNvPicPr/>
                  </pic:nvPicPr>
                  <pic:blipFill>
                    <a:blip r:embed="rId6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3912C" w14:textId="77777777" w:rsidR="000D4EA5" w:rsidRPr="000D4EA5" w:rsidRDefault="000D4EA5" w:rsidP="000D4EA5">
      <w:pPr>
        <w:widowControl/>
        <w:spacing w:after="0" w:line="360" w:lineRule="atLeas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 xml:space="preserve">Figure S1. Robustness and stability of </w:t>
      </w:r>
      <w:proofErr w:type="spellStart"/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>mitoxyperilysis</w:t>
      </w:r>
      <w:proofErr w:type="spellEnd"/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 xml:space="preserve"> subtype identification</w:t>
      </w:r>
    </w:p>
    <w:p w14:paraId="0AC5317C" w14:textId="77777777" w:rsidR="000D4EA5" w:rsidRPr="000D4EA5" w:rsidRDefault="000D4EA5" w:rsidP="000D4EA5">
      <w:pPr>
        <w:widowControl/>
        <w:spacing w:after="0" w:line="360" w:lineRule="atLeast"/>
        <w:rPr>
          <w:rFonts w:ascii="Arial" w:eastAsia="宋体" w:hAnsi="Arial" w:cs="Arial"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 xml:space="preserve">(A–B) Consensus clustering matrix and expression distribution supporting two stable subgroups. (C–D) Validation of </w:t>
      </w:r>
      <w:proofErr w:type="spellStart"/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>mitoxyperilysis</w:t>
      </w:r>
      <w:proofErr w:type="spellEnd"/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 xml:space="preserve"> subtypes in the GSE89749 cohort.</w:t>
      </w:r>
    </w:p>
    <w:p w14:paraId="2AAF884A" w14:textId="77777777" w:rsidR="00046EBE" w:rsidRPr="000D4EA5" w:rsidRDefault="00046EBE">
      <w:pPr>
        <w:rPr>
          <w:rFonts w:hint="eastAsia"/>
        </w:rPr>
      </w:pPr>
    </w:p>
    <w:p w14:paraId="11F6F6ED" w14:textId="6E3221A9" w:rsidR="00046EBE" w:rsidRDefault="002468BC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1442419D" wp14:editId="73765B33">
            <wp:extent cx="5274310" cy="3389630"/>
            <wp:effectExtent l="0" t="0" r="2540" b="1270"/>
            <wp:docPr id="6190179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017971" name="图片 619017971"/>
                    <pic:cNvPicPr/>
                  </pic:nvPicPr>
                  <pic:blipFill>
                    <a:blip r:embed="rId7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8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FF8B8" w14:textId="77777777" w:rsidR="000D4EA5" w:rsidRPr="000D4EA5" w:rsidRDefault="000D4EA5" w:rsidP="000D4EA5">
      <w:pPr>
        <w:widowControl/>
        <w:spacing w:after="0" w:line="360" w:lineRule="atLeas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 xml:space="preserve">Figure S2. Mutation landscape and stratified survival analysis of </w:t>
      </w:r>
      <w:proofErr w:type="spellStart"/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>mitoxyperilysis</w:t>
      </w:r>
      <w:proofErr w:type="spellEnd"/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 xml:space="preserve"> subtypes</w:t>
      </w:r>
    </w:p>
    <w:p w14:paraId="7B457625" w14:textId="77777777" w:rsidR="000D4EA5" w:rsidRPr="000D4EA5" w:rsidRDefault="000D4EA5" w:rsidP="000D4EA5">
      <w:pPr>
        <w:widowControl/>
        <w:spacing w:after="0" w:line="360" w:lineRule="atLeast"/>
        <w:rPr>
          <w:rFonts w:ascii="Arial" w:eastAsia="宋体" w:hAnsi="Arial" w:cs="Arial"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>(A) Distribution of gene mutations (IDH1/2, KRAS, TP53) and clinicopathological features. (B) Multidimensional stratified survival analysis according to clinical parameters.</w:t>
      </w:r>
    </w:p>
    <w:p w14:paraId="2001EFC9" w14:textId="77777777" w:rsidR="00046EBE" w:rsidRDefault="00046EBE">
      <w:pPr>
        <w:rPr>
          <w:rFonts w:hint="eastAsia"/>
        </w:rPr>
      </w:pPr>
    </w:p>
    <w:p w14:paraId="39C571C7" w14:textId="77777777" w:rsidR="00046EBE" w:rsidRDefault="00046EBE">
      <w:pPr>
        <w:rPr>
          <w:rFonts w:hint="eastAsia"/>
        </w:rPr>
      </w:pPr>
    </w:p>
    <w:p w14:paraId="5C634A77" w14:textId="01558DF9" w:rsidR="000D4EA5" w:rsidRPr="000D4EA5" w:rsidRDefault="002468BC" w:rsidP="000D4EA5">
      <w:pPr>
        <w:pStyle w:val="3"/>
        <w:spacing w:before="0" w:after="0" w:line="360" w:lineRule="atLeast"/>
        <w:rPr>
          <w:rFonts w:ascii="Arial" w:eastAsia="宋体" w:hAnsi="Arial" w:cs="Arial"/>
          <w:color w:val="000000"/>
          <w:kern w:val="0"/>
          <w:sz w:val="24"/>
          <w:szCs w:val="24"/>
          <w14:ligatures w14:val="none"/>
        </w:rPr>
      </w:pPr>
      <w:r>
        <w:rPr>
          <w:rFonts w:ascii="Arial" w:eastAsia="宋体" w:hAnsi="Arial" w:cs="Arial"/>
          <w:noProof/>
          <w:color w:val="000000"/>
          <w:kern w:val="0"/>
          <w:sz w:val="24"/>
          <w:szCs w:val="24"/>
        </w:rPr>
        <w:lastRenderedPageBreak/>
        <w:drawing>
          <wp:inline distT="0" distB="0" distL="0" distR="0" wp14:anchorId="4A3441BA" wp14:editId="33EAECEE">
            <wp:extent cx="5274310" cy="5039360"/>
            <wp:effectExtent l="0" t="0" r="2540" b="8890"/>
            <wp:docPr id="128400668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006688" name="图片 1284006688"/>
                    <pic:cNvPicPr/>
                  </pic:nvPicPr>
                  <pic:blipFill>
                    <a:blip r:embed="rId8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3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D4EA5" w:rsidRPr="000D4EA5">
        <w:rPr>
          <w:rFonts w:ascii="Arial" w:eastAsia="宋体" w:hAnsi="Arial" w:cs="Arial"/>
          <w:color w:val="000000"/>
          <w:kern w:val="0"/>
          <w:sz w:val="24"/>
          <w:szCs w:val="24"/>
          <w14:ligatures w14:val="none"/>
        </w:rPr>
        <w:t xml:space="preserve"> </w:t>
      </w:r>
      <w:r w:rsidR="000D4EA5" w:rsidRPr="000D4EA5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14:ligatures w14:val="none"/>
        </w:rPr>
        <w:t>Figure S3. Immune pathway activation, stromal remodeling, and immune checkpoint expression in the high-</w:t>
      </w:r>
      <w:proofErr w:type="spellStart"/>
      <w:r w:rsidR="000D4EA5" w:rsidRPr="000D4EA5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14:ligatures w14:val="none"/>
        </w:rPr>
        <w:t>mitoxyperilysis</w:t>
      </w:r>
      <w:proofErr w:type="spellEnd"/>
      <w:r w:rsidR="000D4EA5" w:rsidRPr="000D4EA5">
        <w:rPr>
          <w:rFonts w:ascii="Arial" w:eastAsia="宋体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subtype</w:t>
      </w:r>
    </w:p>
    <w:p w14:paraId="682C9E8E" w14:textId="77777777" w:rsidR="000D4EA5" w:rsidRPr="000D4EA5" w:rsidRDefault="000D4EA5" w:rsidP="000D4EA5">
      <w:pPr>
        <w:widowControl/>
        <w:spacing w:after="0" w:line="360" w:lineRule="atLeast"/>
        <w:rPr>
          <w:rFonts w:ascii="Arial" w:eastAsia="宋体" w:hAnsi="Arial" w:cs="Arial"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>(A) GSEA validation of immune-related pathway activation. (B) Comparison of M2 macrophage score and extracellular matrix remodeling score. (C) Expression of PD-L1, CTLA4, and other immune checkpoints.</w:t>
      </w:r>
    </w:p>
    <w:p w14:paraId="4E9C8F5F" w14:textId="12CB99EF" w:rsidR="000D4EA5" w:rsidRPr="000D4EA5" w:rsidRDefault="000D4EA5">
      <w:pPr>
        <w:rPr>
          <w:rFonts w:hint="eastAsia"/>
        </w:rPr>
      </w:pPr>
    </w:p>
    <w:p w14:paraId="3C56D880" w14:textId="4A9B9B2B" w:rsidR="00046EBE" w:rsidRDefault="00046EB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4B05C9B4" wp14:editId="500478A7">
            <wp:extent cx="5274310" cy="4017645"/>
            <wp:effectExtent l="0" t="0" r="2540" b="1905"/>
            <wp:docPr id="3589837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98375" name="图片 35898375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B5E03E" w14:textId="77777777" w:rsidR="000D4EA5" w:rsidRPr="000D4EA5" w:rsidRDefault="000D4EA5" w:rsidP="000D4EA5">
      <w:pPr>
        <w:widowControl/>
        <w:spacing w:after="0" w:line="360" w:lineRule="atLeas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 xml:space="preserve">Figure S4. Quality control, cell clustering, and distribution of </w:t>
      </w:r>
      <w:proofErr w:type="spellStart"/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>scRNA</w:t>
      </w:r>
      <w:proofErr w:type="spellEnd"/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>-seq data</w:t>
      </w:r>
    </w:p>
    <w:p w14:paraId="3C68A076" w14:textId="77777777" w:rsidR="000D4EA5" w:rsidRPr="000D4EA5" w:rsidRDefault="000D4EA5" w:rsidP="000D4EA5">
      <w:pPr>
        <w:widowControl/>
        <w:spacing w:after="0" w:line="360" w:lineRule="atLeast"/>
        <w:rPr>
          <w:rFonts w:ascii="Arial" w:eastAsia="宋体" w:hAnsi="Arial" w:cs="Arial"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>(A) Quality control metrics of single-cell RNA sequencing data. (B) UMAP plot of all cells. (C) Distribution of low- and high-</w:t>
      </w:r>
      <w:proofErr w:type="spellStart"/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>mitoxyperilysis</w:t>
      </w:r>
      <w:proofErr w:type="spellEnd"/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 xml:space="preserve"> cells in UMAP space. (D) Validation of cellular composition differences.</w:t>
      </w:r>
    </w:p>
    <w:p w14:paraId="5D71B151" w14:textId="77777777" w:rsidR="00046EBE" w:rsidRDefault="00046EBE">
      <w:pPr>
        <w:rPr>
          <w:rFonts w:hint="eastAsia"/>
        </w:rPr>
      </w:pPr>
    </w:p>
    <w:p w14:paraId="09C8D4EA" w14:textId="77777777" w:rsidR="00046EBE" w:rsidRDefault="00046EBE">
      <w:pPr>
        <w:rPr>
          <w:rFonts w:hint="eastAsia"/>
        </w:rPr>
      </w:pPr>
    </w:p>
    <w:p w14:paraId="3505A937" w14:textId="77777777" w:rsidR="00046EBE" w:rsidRDefault="00046EBE">
      <w:pPr>
        <w:rPr>
          <w:rFonts w:hint="eastAsia"/>
        </w:rPr>
      </w:pPr>
    </w:p>
    <w:p w14:paraId="7B0C401E" w14:textId="789CDE36" w:rsidR="00F6743E" w:rsidRDefault="00046EBE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729543B" wp14:editId="689C695D">
            <wp:extent cx="5274310" cy="3597275"/>
            <wp:effectExtent l="0" t="0" r="2540" b="3175"/>
            <wp:docPr id="4196434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64345" name="图片 41964345"/>
                    <pic:cNvPicPr/>
                  </pic:nvPicPr>
                  <pic:blipFill>
                    <a:blip r:embed="rId10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9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3FD87" w14:textId="77777777" w:rsidR="000D4EA5" w:rsidRPr="000D4EA5" w:rsidRDefault="000D4EA5" w:rsidP="000D4EA5">
      <w:pPr>
        <w:widowControl/>
        <w:spacing w:after="0" w:line="360" w:lineRule="atLeast"/>
        <w:outlineLvl w:val="2"/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b/>
          <w:bCs/>
          <w:color w:val="000000"/>
          <w:kern w:val="0"/>
          <w:sz w:val="24"/>
          <w14:ligatures w14:val="none"/>
        </w:rPr>
        <w:t>Figure S5. Myeloid subcluster annotation and clinical correlation of SPP1+ macrophages</w:t>
      </w:r>
    </w:p>
    <w:p w14:paraId="68B1DEB6" w14:textId="77777777" w:rsidR="000D4EA5" w:rsidRPr="000D4EA5" w:rsidRDefault="000D4EA5" w:rsidP="000D4EA5">
      <w:pPr>
        <w:widowControl/>
        <w:spacing w:after="0" w:line="360" w:lineRule="atLeast"/>
        <w:rPr>
          <w:rFonts w:ascii="Arial" w:eastAsia="宋体" w:hAnsi="Arial" w:cs="Arial"/>
          <w:color w:val="000000"/>
          <w:kern w:val="0"/>
          <w:sz w:val="24"/>
          <w14:ligatures w14:val="none"/>
        </w:rPr>
      </w:pPr>
      <w:r w:rsidRPr="000D4EA5">
        <w:rPr>
          <w:rFonts w:ascii="Arial" w:eastAsia="宋体" w:hAnsi="Arial" w:cs="Arial"/>
          <w:color w:val="000000"/>
          <w:kern w:val="0"/>
          <w:sz w:val="24"/>
          <w14:ligatures w14:val="none"/>
        </w:rPr>
        <w:t>(A) Marker gene expression of nine myeloid subclusters. (B) Associations between SPP1+ macrophage signature and CA199 elevation, distant metastasis, and tumor size.</w:t>
      </w:r>
    </w:p>
    <w:p w14:paraId="294FBEFE" w14:textId="77777777" w:rsidR="000D4EA5" w:rsidRPr="000D4EA5" w:rsidRDefault="000D4EA5">
      <w:pPr>
        <w:rPr>
          <w:rFonts w:hint="eastAsia"/>
        </w:rPr>
      </w:pPr>
    </w:p>
    <w:p w14:paraId="13D60BE0" w14:textId="77777777" w:rsidR="00116344" w:rsidRPr="000D4EA5" w:rsidRDefault="00116344">
      <w:pPr>
        <w:rPr>
          <w:rFonts w:hint="eastAsia"/>
        </w:rPr>
      </w:pPr>
    </w:p>
    <w:sectPr w:rsidR="00116344" w:rsidRPr="000D4E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00227" w14:textId="77777777" w:rsidR="00B92360" w:rsidRDefault="00B92360" w:rsidP="00046EB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4C528F2" w14:textId="77777777" w:rsidR="00B92360" w:rsidRDefault="00B92360" w:rsidP="00046EB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E569A" w14:textId="77777777" w:rsidR="00B92360" w:rsidRDefault="00B92360" w:rsidP="00046EB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E763795" w14:textId="77777777" w:rsidR="00B92360" w:rsidRDefault="00B92360" w:rsidP="00046EB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3E"/>
    <w:rsid w:val="00046EBE"/>
    <w:rsid w:val="000A3343"/>
    <w:rsid w:val="000D4EA5"/>
    <w:rsid w:val="000E4AB1"/>
    <w:rsid w:val="00116344"/>
    <w:rsid w:val="00126899"/>
    <w:rsid w:val="002468BC"/>
    <w:rsid w:val="0044341A"/>
    <w:rsid w:val="00615D75"/>
    <w:rsid w:val="007165A7"/>
    <w:rsid w:val="0089110C"/>
    <w:rsid w:val="008F084C"/>
    <w:rsid w:val="00957C92"/>
    <w:rsid w:val="00A1597C"/>
    <w:rsid w:val="00A71A06"/>
    <w:rsid w:val="00B92360"/>
    <w:rsid w:val="00C110F2"/>
    <w:rsid w:val="00C82E8A"/>
    <w:rsid w:val="00F6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82FEA8"/>
  <w15:chartTrackingRefBased/>
  <w15:docId w15:val="{F75036EB-E20F-469A-81D9-CBC06192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6743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74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4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743E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743E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743E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743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743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743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743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74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74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743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743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6743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743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743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743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743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74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743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74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74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74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743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743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74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743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743E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46EB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46EB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46EB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46E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181</Words>
  <Characters>1220</Characters>
  <Application>Microsoft Office Word</Application>
  <DocSecurity>0</DocSecurity>
  <Lines>39</Lines>
  <Paragraphs>11</Paragraphs>
  <ScaleCrop>false</ScaleCrop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gaobiao110094@163.com</dc:creator>
  <cp:keywords/>
  <dc:description/>
  <cp:lastModifiedBy>gaobiao110094@163.com</cp:lastModifiedBy>
  <cp:revision>3</cp:revision>
  <dcterms:created xsi:type="dcterms:W3CDTF">2026-04-12T01:50:00Z</dcterms:created>
  <dcterms:modified xsi:type="dcterms:W3CDTF">2026-06-22T15:04:00Z</dcterms:modified>
</cp:coreProperties>
</file>