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59CEE7" w14:textId="77777777" w:rsidR="00BD76DA" w:rsidRPr="00285E00" w:rsidRDefault="00BD76DA" w:rsidP="00BD76DA">
      <w:pPr>
        <w:rPr>
          <w:rFonts w:ascii="Arial" w:eastAsia="Times New Roman" w:hAnsi="Arial" w:cs="Arial"/>
          <w:b/>
          <w:bCs/>
          <w:kern w:val="0"/>
          <w14:ligatures w14:val="none"/>
        </w:rPr>
      </w:pPr>
      <w:r w:rsidRPr="00285E00">
        <w:rPr>
          <w:rFonts w:ascii="Arial" w:eastAsia="Times New Roman" w:hAnsi="Arial" w:cs="Arial"/>
          <w:b/>
          <w:bCs/>
          <w:kern w:val="0"/>
          <w14:ligatures w14:val="none"/>
        </w:rPr>
        <w:t>Supplementary Table S1. Available clinical characteristics of NAC responders and non-responders in the qPCR cohort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1980"/>
        <w:gridCol w:w="2250"/>
        <w:gridCol w:w="2128"/>
      </w:tblGrid>
      <w:tr w:rsidR="00BD76DA" w:rsidRPr="00285E00" w14:paraId="4176F2C5" w14:textId="77777777" w:rsidTr="00704580">
        <w:trPr>
          <w:tblHeader/>
          <w:tblCellSpacing w:w="15" w:type="dxa"/>
          <w:jc w:val="center"/>
        </w:trPr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C632C30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Characteristic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3A31716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All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2B9852E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Responders</w:t>
            </w:r>
          </w:p>
        </w:tc>
        <w:tc>
          <w:tcPr>
            <w:tcW w:w="208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236F58C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Non-responders</w:t>
            </w:r>
          </w:p>
        </w:tc>
      </w:tr>
      <w:tr w:rsidR="00BD76DA" w:rsidRPr="00285E00" w14:paraId="31977ECA" w14:textId="77777777" w:rsidTr="00704580">
        <w:trPr>
          <w:tblCellSpacing w:w="15" w:type="dxa"/>
          <w:jc w:val="center"/>
        </w:trPr>
        <w:tc>
          <w:tcPr>
            <w:tcW w:w="1935" w:type="dxa"/>
            <w:vAlign w:val="center"/>
            <w:hideMark/>
          </w:tcPr>
          <w:p w14:paraId="0B4C5399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N</w:t>
            </w:r>
          </w:p>
        </w:tc>
        <w:tc>
          <w:tcPr>
            <w:tcW w:w="1950" w:type="dxa"/>
            <w:vAlign w:val="center"/>
            <w:hideMark/>
          </w:tcPr>
          <w:p w14:paraId="0A2FDADE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kern w:val="0"/>
                <w14:ligatures w14:val="none"/>
              </w:rPr>
              <w:t>82</w:t>
            </w:r>
          </w:p>
        </w:tc>
        <w:tc>
          <w:tcPr>
            <w:tcW w:w="2220" w:type="dxa"/>
            <w:vAlign w:val="center"/>
            <w:hideMark/>
          </w:tcPr>
          <w:p w14:paraId="68EC38A8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kern w:val="0"/>
                <w14:ligatures w14:val="none"/>
              </w:rPr>
              <w:t>34</w:t>
            </w:r>
          </w:p>
        </w:tc>
        <w:tc>
          <w:tcPr>
            <w:tcW w:w="2083" w:type="dxa"/>
            <w:vAlign w:val="center"/>
            <w:hideMark/>
          </w:tcPr>
          <w:p w14:paraId="49468635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kern w:val="0"/>
                <w14:ligatures w14:val="none"/>
              </w:rPr>
              <w:t>48</w:t>
            </w:r>
          </w:p>
        </w:tc>
      </w:tr>
      <w:tr w:rsidR="00BD76DA" w:rsidRPr="00285E00" w14:paraId="68308D1C" w14:textId="77777777" w:rsidTr="00704580">
        <w:trPr>
          <w:tblCellSpacing w:w="15" w:type="dxa"/>
          <w:jc w:val="center"/>
        </w:trPr>
        <w:tc>
          <w:tcPr>
            <w:tcW w:w="1935" w:type="dxa"/>
            <w:vAlign w:val="center"/>
            <w:hideMark/>
          </w:tcPr>
          <w:p w14:paraId="1BE7D590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Institution, n</w:t>
            </w:r>
          </w:p>
        </w:tc>
        <w:tc>
          <w:tcPr>
            <w:tcW w:w="1950" w:type="dxa"/>
            <w:vAlign w:val="center"/>
            <w:hideMark/>
          </w:tcPr>
          <w:p w14:paraId="27F8C869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2220" w:type="dxa"/>
            <w:vAlign w:val="center"/>
            <w:hideMark/>
          </w:tcPr>
          <w:p w14:paraId="0E2D287C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2083" w:type="dxa"/>
            <w:vAlign w:val="center"/>
            <w:hideMark/>
          </w:tcPr>
          <w:p w14:paraId="7576C355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  <w:tr w:rsidR="00BD76DA" w:rsidRPr="00285E00" w14:paraId="2D342A26" w14:textId="77777777" w:rsidTr="00704580">
        <w:trPr>
          <w:tblCellSpacing w:w="15" w:type="dxa"/>
          <w:jc w:val="center"/>
        </w:trPr>
        <w:tc>
          <w:tcPr>
            <w:tcW w:w="1935" w:type="dxa"/>
            <w:vAlign w:val="center"/>
            <w:hideMark/>
          </w:tcPr>
          <w:p w14:paraId="29A26754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kern w:val="0"/>
                <w14:ligatures w14:val="none"/>
              </w:rPr>
              <w:t>UBC</w:t>
            </w:r>
          </w:p>
        </w:tc>
        <w:tc>
          <w:tcPr>
            <w:tcW w:w="1950" w:type="dxa"/>
            <w:vAlign w:val="center"/>
            <w:hideMark/>
          </w:tcPr>
          <w:p w14:paraId="5662DA88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kern w:val="0"/>
                <w14:ligatures w14:val="none"/>
              </w:rPr>
              <w:t>47</w:t>
            </w:r>
          </w:p>
        </w:tc>
        <w:tc>
          <w:tcPr>
            <w:tcW w:w="2220" w:type="dxa"/>
            <w:vAlign w:val="center"/>
            <w:hideMark/>
          </w:tcPr>
          <w:p w14:paraId="29666528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kern w:val="0"/>
                <w14:ligatures w14:val="none"/>
              </w:rPr>
              <w:t>22</w:t>
            </w:r>
          </w:p>
        </w:tc>
        <w:tc>
          <w:tcPr>
            <w:tcW w:w="2083" w:type="dxa"/>
            <w:vAlign w:val="center"/>
            <w:hideMark/>
          </w:tcPr>
          <w:p w14:paraId="58436986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kern w:val="0"/>
                <w14:ligatures w14:val="none"/>
              </w:rPr>
              <w:t>25</w:t>
            </w:r>
          </w:p>
        </w:tc>
      </w:tr>
      <w:tr w:rsidR="00BD76DA" w:rsidRPr="00285E00" w14:paraId="66F0A0E0" w14:textId="77777777" w:rsidTr="00704580">
        <w:trPr>
          <w:tblCellSpacing w:w="15" w:type="dxa"/>
          <w:jc w:val="center"/>
        </w:trPr>
        <w:tc>
          <w:tcPr>
            <w:tcW w:w="1935" w:type="dxa"/>
            <w:vAlign w:val="center"/>
            <w:hideMark/>
          </w:tcPr>
          <w:p w14:paraId="4541BFEF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kern w:val="0"/>
                <w14:ligatures w14:val="none"/>
              </w:rPr>
              <w:t>Kyoto</w:t>
            </w:r>
          </w:p>
        </w:tc>
        <w:tc>
          <w:tcPr>
            <w:tcW w:w="1950" w:type="dxa"/>
            <w:vAlign w:val="center"/>
            <w:hideMark/>
          </w:tcPr>
          <w:p w14:paraId="066CFC49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kern w:val="0"/>
                <w14:ligatures w14:val="none"/>
              </w:rPr>
              <w:t>28</w:t>
            </w:r>
          </w:p>
        </w:tc>
        <w:tc>
          <w:tcPr>
            <w:tcW w:w="2220" w:type="dxa"/>
            <w:vAlign w:val="center"/>
            <w:hideMark/>
          </w:tcPr>
          <w:p w14:paraId="1E172270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kern w:val="0"/>
                <w14:ligatures w14:val="none"/>
              </w:rPr>
              <w:t>8</w:t>
            </w:r>
          </w:p>
        </w:tc>
        <w:tc>
          <w:tcPr>
            <w:tcW w:w="2083" w:type="dxa"/>
            <w:vAlign w:val="center"/>
            <w:hideMark/>
          </w:tcPr>
          <w:p w14:paraId="7890D2B7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kern w:val="0"/>
                <w14:ligatures w14:val="none"/>
              </w:rPr>
              <w:t>20</w:t>
            </w:r>
          </w:p>
        </w:tc>
      </w:tr>
      <w:tr w:rsidR="00BD76DA" w:rsidRPr="00285E00" w14:paraId="3E118B3E" w14:textId="77777777" w:rsidTr="00704580">
        <w:trPr>
          <w:tblCellSpacing w:w="15" w:type="dxa"/>
          <w:jc w:val="center"/>
        </w:trPr>
        <w:tc>
          <w:tcPr>
            <w:tcW w:w="1935" w:type="dxa"/>
            <w:vAlign w:val="center"/>
            <w:hideMark/>
          </w:tcPr>
          <w:p w14:paraId="3858AEE1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kern w:val="0"/>
                <w14:ligatures w14:val="none"/>
              </w:rPr>
              <w:t>Cedars-Sinai</w:t>
            </w:r>
          </w:p>
        </w:tc>
        <w:tc>
          <w:tcPr>
            <w:tcW w:w="1950" w:type="dxa"/>
            <w:vAlign w:val="center"/>
            <w:hideMark/>
          </w:tcPr>
          <w:p w14:paraId="3D39D118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kern w:val="0"/>
                <w14:ligatures w14:val="none"/>
              </w:rPr>
              <w:t>7</w:t>
            </w:r>
          </w:p>
        </w:tc>
        <w:tc>
          <w:tcPr>
            <w:tcW w:w="2220" w:type="dxa"/>
            <w:vAlign w:val="center"/>
            <w:hideMark/>
          </w:tcPr>
          <w:p w14:paraId="6E175A03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kern w:val="0"/>
                <w14:ligatures w14:val="none"/>
              </w:rPr>
              <w:t>4</w:t>
            </w:r>
          </w:p>
        </w:tc>
        <w:tc>
          <w:tcPr>
            <w:tcW w:w="2083" w:type="dxa"/>
            <w:vAlign w:val="center"/>
            <w:hideMark/>
          </w:tcPr>
          <w:p w14:paraId="10E50C32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kern w:val="0"/>
                <w14:ligatures w14:val="none"/>
              </w:rPr>
              <w:t>3</w:t>
            </w:r>
          </w:p>
        </w:tc>
      </w:tr>
      <w:tr w:rsidR="00BD76DA" w:rsidRPr="00285E00" w14:paraId="145028D4" w14:textId="77777777" w:rsidTr="00704580">
        <w:trPr>
          <w:tblCellSpacing w:w="15" w:type="dxa"/>
          <w:jc w:val="center"/>
        </w:trPr>
        <w:tc>
          <w:tcPr>
            <w:tcW w:w="1935" w:type="dxa"/>
            <w:vAlign w:val="center"/>
            <w:hideMark/>
          </w:tcPr>
          <w:p w14:paraId="4217A263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Response category, n</w:t>
            </w:r>
          </w:p>
        </w:tc>
        <w:tc>
          <w:tcPr>
            <w:tcW w:w="1950" w:type="dxa"/>
            <w:vAlign w:val="center"/>
            <w:hideMark/>
          </w:tcPr>
          <w:p w14:paraId="1FBD9A24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2220" w:type="dxa"/>
            <w:vAlign w:val="center"/>
            <w:hideMark/>
          </w:tcPr>
          <w:p w14:paraId="47CF1951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2083" w:type="dxa"/>
            <w:vAlign w:val="center"/>
            <w:hideMark/>
          </w:tcPr>
          <w:p w14:paraId="6F0B01C7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  <w:tr w:rsidR="00BD76DA" w:rsidRPr="00285E00" w14:paraId="6A3DEEE7" w14:textId="77777777" w:rsidTr="00704580">
        <w:trPr>
          <w:tblCellSpacing w:w="15" w:type="dxa"/>
          <w:jc w:val="center"/>
        </w:trPr>
        <w:tc>
          <w:tcPr>
            <w:tcW w:w="1935" w:type="dxa"/>
            <w:vAlign w:val="center"/>
            <w:hideMark/>
          </w:tcPr>
          <w:p w14:paraId="623B1851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kern w:val="0"/>
                <w14:ligatures w14:val="none"/>
              </w:rPr>
              <w:t>CR</w:t>
            </w:r>
          </w:p>
        </w:tc>
        <w:tc>
          <w:tcPr>
            <w:tcW w:w="1950" w:type="dxa"/>
            <w:vAlign w:val="center"/>
            <w:hideMark/>
          </w:tcPr>
          <w:p w14:paraId="1020CA53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kern w:val="0"/>
                <w14:ligatures w14:val="none"/>
              </w:rPr>
              <w:t>25</w:t>
            </w:r>
          </w:p>
        </w:tc>
        <w:tc>
          <w:tcPr>
            <w:tcW w:w="2220" w:type="dxa"/>
            <w:vAlign w:val="center"/>
            <w:hideMark/>
          </w:tcPr>
          <w:p w14:paraId="54FE7F09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kern w:val="0"/>
                <w14:ligatures w14:val="none"/>
              </w:rPr>
              <w:t>25</w:t>
            </w:r>
          </w:p>
        </w:tc>
        <w:tc>
          <w:tcPr>
            <w:tcW w:w="2083" w:type="dxa"/>
            <w:vAlign w:val="center"/>
            <w:hideMark/>
          </w:tcPr>
          <w:p w14:paraId="425C4E8A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kern w:val="0"/>
                <w14:ligatures w14:val="none"/>
              </w:rPr>
              <w:t>0</w:t>
            </w:r>
          </w:p>
        </w:tc>
      </w:tr>
      <w:tr w:rsidR="00BD76DA" w:rsidRPr="00285E00" w14:paraId="2A2A6162" w14:textId="77777777" w:rsidTr="00704580">
        <w:trPr>
          <w:tblCellSpacing w:w="15" w:type="dxa"/>
          <w:jc w:val="center"/>
        </w:trPr>
        <w:tc>
          <w:tcPr>
            <w:tcW w:w="1935" w:type="dxa"/>
            <w:vAlign w:val="center"/>
            <w:hideMark/>
          </w:tcPr>
          <w:p w14:paraId="65030DE6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kern w:val="0"/>
                <w14:ligatures w14:val="none"/>
              </w:rPr>
              <w:t>PR</w:t>
            </w:r>
          </w:p>
        </w:tc>
        <w:tc>
          <w:tcPr>
            <w:tcW w:w="1950" w:type="dxa"/>
            <w:vAlign w:val="center"/>
            <w:hideMark/>
          </w:tcPr>
          <w:p w14:paraId="413925AB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kern w:val="0"/>
                <w14:ligatures w14:val="none"/>
              </w:rPr>
              <w:t>9</w:t>
            </w:r>
          </w:p>
        </w:tc>
        <w:tc>
          <w:tcPr>
            <w:tcW w:w="2220" w:type="dxa"/>
            <w:vAlign w:val="center"/>
            <w:hideMark/>
          </w:tcPr>
          <w:p w14:paraId="4866E74A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kern w:val="0"/>
                <w14:ligatures w14:val="none"/>
              </w:rPr>
              <w:t>9</w:t>
            </w:r>
          </w:p>
        </w:tc>
        <w:tc>
          <w:tcPr>
            <w:tcW w:w="2083" w:type="dxa"/>
            <w:vAlign w:val="center"/>
            <w:hideMark/>
          </w:tcPr>
          <w:p w14:paraId="2EC3D761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kern w:val="0"/>
                <w14:ligatures w14:val="none"/>
              </w:rPr>
              <w:t>0</w:t>
            </w:r>
          </w:p>
        </w:tc>
      </w:tr>
      <w:tr w:rsidR="00BD76DA" w:rsidRPr="00285E00" w14:paraId="0FE3445B" w14:textId="77777777" w:rsidTr="00704580">
        <w:trPr>
          <w:tblCellSpacing w:w="15" w:type="dxa"/>
          <w:jc w:val="center"/>
        </w:trPr>
        <w:tc>
          <w:tcPr>
            <w:tcW w:w="1935" w:type="dxa"/>
            <w:vAlign w:val="center"/>
            <w:hideMark/>
          </w:tcPr>
          <w:p w14:paraId="36E6A878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kern w:val="0"/>
                <w14:ligatures w14:val="none"/>
              </w:rPr>
              <w:t>non</w:t>
            </w:r>
          </w:p>
        </w:tc>
        <w:tc>
          <w:tcPr>
            <w:tcW w:w="1950" w:type="dxa"/>
            <w:vAlign w:val="center"/>
            <w:hideMark/>
          </w:tcPr>
          <w:p w14:paraId="49D9E274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kern w:val="0"/>
                <w14:ligatures w14:val="none"/>
              </w:rPr>
              <w:t>48</w:t>
            </w:r>
          </w:p>
        </w:tc>
        <w:tc>
          <w:tcPr>
            <w:tcW w:w="2220" w:type="dxa"/>
            <w:vAlign w:val="center"/>
            <w:hideMark/>
          </w:tcPr>
          <w:p w14:paraId="46D15455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kern w:val="0"/>
                <w14:ligatures w14:val="none"/>
              </w:rPr>
              <w:t>0</w:t>
            </w:r>
          </w:p>
        </w:tc>
        <w:tc>
          <w:tcPr>
            <w:tcW w:w="2083" w:type="dxa"/>
            <w:vAlign w:val="center"/>
            <w:hideMark/>
          </w:tcPr>
          <w:p w14:paraId="679D12B3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kern w:val="0"/>
                <w14:ligatures w14:val="none"/>
              </w:rPr>
              <w:t>48</w:t>
            </w:r>
          </w:p>
        </w:tc>
      </w:tr>
      <w:tr w:rsidR="00BD76DA" w:rsidRPr="00285E00" w14:paraId="7FCBD3AF" w14:textId="77777777" w:rsidTr="00704580">
        <w:trPr>
          <w:tblCellSpacing w:w="15" w:type="dxa"/>
          <w:jc w:val="center"/>
        </w:trPr>
        <w:tc>
          <w:tcPr>
            <w:tcW w:w="1935" w:type="dxa"/>
            <w:vAlign w:val="center"/>
            <w:hideMark/>
          </w:tcPr>
          <w:p w14:paraId="1CC21D0B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OS follow-up, months, median (IQR)</w:t>
            </w:r>
          </w:p>
        </w:tc>
        <w:tc>
          <w:tcPr>
            <w:tcW w:w="1950" w:type="dxa"/>
            <w:vAlign w:val="center"/>
            <w:hideMark/>
          </w:tcPr>
          <w:p w14:paraId="5DE0FB7F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kern w:val="0"/>
                <w14:ligatures w14:val="none"/>
              </w:rPr>
              <w:t>43.0 (8.0–63.0)</w:t>
            </w:r>
          </w:p>
        </w:tc>
        <w:tc>
          <w:tcPr>
            <w:tcW w:w="2220" w:type="dxa"/>
            <w:vAlign w:val="center"/>
            <w:hideMark/>
          </w:tcPr>
          <w:p w14:paraId="1B1D2270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kern w:val="0"/>
                <w14:ligatures w14:val="none"/>
              </w:rPr>
              <w:t>61.0 (50.2–73.8)</w:t>
            </w:r>
          </w:p>
        </w:tc>
        <w:tc>
          <w:tcPr>
            <w:tcW w:w="2083" w:type="dxa"/>
            <w:vAlign w:val="center"/>
            <w:hideMark/>
          </w:tcPr>
          <w:p w14:paraId="47BEDA5C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kern w:val="0"/>
                <w14:ligatures w14:val="none"/>
              </w:rPr>
              <w:t>14.0 (6.0–52.0)</w:t>
            </w:r>
          </w:p>
        </w:tc>
      </w:tr>
      <w:tr w:rsidR="00BD76DA" w:rsidRPr="00285E00" w14:paraId="67206B33" w14:textId="77777777" w:rsidTr="00704580">
        <w:trPr>
          <w:tblCellSpacing w:w="15" w:type="dxa"/>
          <w:jc w:val="center"/>
        </w:trPr>
        <w:tc>
          <w:tcPr>
            <w:tcW w:w="1935" w:type="dxa"/>
            <w:vAlign w:val="center"/>
            <w:hideMark/>
          </w:tcPr>
          <w:p w14:paraId="4984DFBA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RFS follow-up, months, median (IQR)</w:t>
            </w:r>
          </w:p>
        </w:tc>
        <w:tc>
          <w:tcPr>
            <w:tcW w:w="1950" w:type="dxa"/>
            <w:vAlign w:val="center"/>
            <w:hideMark/>
          </w:tcPr>
          <w:p w14:paraId="0987C5DB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kern w:val="0"/>
                <w14:ligatures w14:val="none"/>
              </w:rPr>
              <w:t>38.0 (8.0–62.0)</w:t>
            </w:r>
          </w:p>
        </w:tc>
        <w:tc>
          <w:tcPr>
            <w:tcW w:w="2220" w:type="dxa"/>
            <w:vAlign w:val="center"/>
            <w:hideMark/>
          </w:tcPr>
          <w:p w14:paraId="38BE0986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kern w:val="0"/>
                <w14:ligatures w14:val="none"/>
              </w:rPr>
              <w:t>60.5 (44.7–73.8)</w:t>
            </w:r>
          </w:p>
        </w:tc>
        <w:tc>
          <w:tcPr>
            <w:tcW w:w="2083" w:type="dxa"/>
            <w:vAlign w:val="center"/>
            <w:hideMark/>
          </w:tcPr>
          <w:p w14:paraId="6D801E89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kern w:val="0"/>
                <w14:ligatures w14:val="none"/>
              </w:rPr>
              <w:t>11.0 (4.0–49.0)</w:t>
            </w:r>
          </w:p>
        </w:tc>
      </w:tr>
      <w:tr w:rsidR="00BD76DA" w:rsidRPr="00285E00" w14:paraId="289AF4FD" w14:textId="77777777" w:rsidTr="00704580">
        <w:trPr>
          <w:tblCellSpacing w:w="15" w:type="dxa"/>
          <w:jc w:val="center"/>
        </w:trPr>
        <w:tc>
          <w:tcPr>
            <w:tcW w:w="1935" w:type="dxa"/>
            <w:vAlign w:val="center"/>
            <w:hideMark/>
          </w:tcPr>
          <w:p w14:paraId="61BD5FEA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Death events, n</w:t>
            </w:r>
          </w:p>
        </w:tc>
        <w:tc>
          <w:tcPr>
            <w:tcW w:w="1950" w:type="dxa"/>
            <w:vAlign w:val="center"/>
            <w:hideMark/>
          </w:tcPr>
          <w:p w14:paraId="39156C6D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kern w:val="0"/>
                <w14:ligatures w14:val="none"/>
              </w:rPr>
              <w:t>28</w:t>
            </w:r>
          </w:p>
        </w:tc>
        <w:tc>
          <w:tcPr>
            <w:tcW w:w="2220" w:type="dxa"/>
            <w:vAlign w:val="center"/>
            <w:hideMark/>
          </w:tcPr>
          <w:p w14:paraId="05ED51F7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kern w:val="0"/>
                <w14:ligatures w14:val="none"/>
              </w:rPr>
              <w:t>3</w:t>
            </w:r>
          </w:p>
        </w:tc>
        <w:tc>
          <w:tcPr>
            <w:tcW w:w="2083" w:type="dxa"/>
            <w:vAlign w:val="center"/>
            <w:hideMark/>
          </w:tcPr>
          <w:p w14:paraId="7C6E2554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kern w:val="0"/>
                <w14:ligatures w14:val="none"/>
              </w:rPr>
              <w:t>25</w:t>
            </w:r>
          </w:p>
        </w:tc>
      </w:tr>
      <w:tr w:rsidR="00BD76DA" w:rsidRPr="00285E00" w14:paraId="1860BB1C" w14:textId="77777777" w:rsidTr="00704580">
        <w:trPr>
          <w:tblCellSpacing w:w="15" w:type="dxa"/>
          <w:jc w:val="center"/>
        </w:trPr>
        <w:tc>
          <w:tcPr>
            <w:tcW w:w="1935" w:type="dxa"/>
            <w:tcBorders>
              <w:bottom w:val="single" w:sz="4" w:space="0" w:color="auto"/>
            </w:tcBorders>
            <w:vAlign w:val="center"/>
            <w:hideMark/>
          </w:tcPr>
          <w:p w14:paraId="5BB54FEC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Recurrence events, n</w:t>
            </w:r>
          </w:p>
        </w:tc>
        <w:tc>
          <w:tcPr>
            <w:tcW w:w="1950" w:type="dxa"/>
            <w:tcBorders>
              <w:bottom w:val="single" w:sz="4" w:space="0" w:color="auto"/>
            </w:tcBorders>
            <w:vAlign w:val="center"/>
            <w:hideMark/>
          </w:tcPr>
          <w:p w14:paraId="55C7EB8C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kern w:val="0"/>
                <w14:ligatures w14:val="none"/>
              </w:rPr>
              <w:t>28</w:t>
            </w:r>
          </w:p>
        </w:tc>
        <w:tc>
          <w:tcPr>
            <w:tcW w:w="2220" w:type="dxa"/>
            <w:tcBorders>
              <w:bottom w:val="single" w:sz="4" w:space="0" w:color="auto"/>
            </w:tcBorders>
            <w:vAlign w:val="center"/>
            <w:hideMark/>
          </w:tcPr>
          <w:p w14:paraId="71A43964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kern w:val="0"/>
                <w14:ligatures w14:val="none"/>
              </w:rPr>
              <w:t>3</w:t>
            </w:r>
          </w:p>
        </w:tc>
        <w:tc>
          <w:tcPr>
            <w:tcW w:w="2083" w:type="dxa"/>
            <w:tcBorders>
              <w:bottom w:val="single" w:sz="4" w:space="0" w:color="auto"/>
            </w:tcBorders>
            <w:vAlign w:val="center"/>
            <w:hideMark/>
          </w:tcPr>
          <w:p w14:paraId="443AA1DF" w14:textId="77777777" w:rsidR="00BD76DA" w:rsidRPr="00285E00" w:rsidRDefault="00BD76DA" w:rsidP="00704580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85E00">
              <w:rPr>
                <w:rFonts w:ascii="Arial" w:eastAsia="Times New Roman" w:hAnsi="Arial" w:cs="Arial"/>
                <w:kern w:val="0"/>
                <w14:ligatures w14:val="none"/>
              </w:rPr>
              <w:t>25</w:t>
            </w:r>
          </w:p>
        </w:tc>
      </w:tr>
    </w:tbl>
    <w:p w14:paraId="3C395778" w14:textId="19D8C73D" w:rsidR="00FE7E28" w:rsidRPr="00BD76DA" w:rsidRDefault="00BD76DA">
      <w:pPr>
        <w:rPr>
          <w:rFonts w:ascii="Arial" w:eastAsia="Times New Roman" w:hAnsi="Arial" w:cs="Arial"/>
          <w:kern w:val="0"/>
          <w14:ligatures w14:val="none"/>
        </w:rPr>
      </w:pPr>
      <w:r w:rsidRPr="00285E00">
        <w:rPr>
          <w:rFonts w:ascii="Arial" w:eastAsia="Times New Roman" w:hAnsi="Arial" w:cs="Arial"/>
          <w:i/>
          <w:iCs/>
          <w:kern w:val="0"/>
          <w14:ligatures w14:val="none"/>
        </w:rPr>
        <w:t>Responders were defined as patients annotated as CR or PR after NAC and radical cystectomy; non-responders were defined as patients annotated as “non.” CR corresponded to ypT0/T0, PR corresponded to non–muscle-invasive residual disease or pathological downstaging, and non-response corresponded to residual muscle-invasive disease or clinically annotated non-response. Continuous variables are shown as median (IQR), and categorical variables as n. In the source file, censoring was coded as 1; event counts shown here represent death or recurrence after recoding to standard event indicators.</w:t>
      </w:r>
    </w:p>
    <w:sectPr w:rsidR="00FE7E28" w:rsidRPr="00BD76DA" w:rsidSect="00E525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6DA"/>
    <w:rsid w:val="00000F76"/>
    <w:rsid w:val="00005F8D"/>
    <w:rsid w:val="00015937"/>
    <w:rsid w:val="000340EB"/>
    <w:rsid w:val="000369BA"/>
    <w:rsid w:val="00045005"/>
    <w:rsid w:val="00061E7C"/>
    <w:rsid w:val="00067B26"/>
    <w:rsid w:val="00070725"/>
    <w:rsid w:val="00070AE6"/>
    <w:rsid w:val="00075A79"/>
    <w:rsid w:val="00076C17"/>
    <w:rsid w:val="000834FE"/>
    <w:rsid w:val="00090B4E"/>
    <w:rsid w:val="00093114"/>
    <w:rsid w:val="000964A7"/>
    <w:rsid w:val="000A0B43"/>
    <w:rsid w:val="000A1FAF"/>
    <w:rsid w:val="000A3461"/>
    <w:rsid w:val="000A3854"/>
    <w:rsid w:val="000A60AE"/>
    <w:rsid w:val="000C202A"/>
    <w:rsid w:val="000C28D0"/>
    <w:rsid w:val="000C5D0B"/>
    <w:rsid w:val="000D4DAA"/>
    <w:rsid w:val="000E5DF0"/>
    <w:rsid w:val="000E659F"/>
    <w:rsid w:val="000E7377"/>
    <w:rsid w:val="000F0869"/>
    <w:rsid w:val="00100A2D"/>
    <w:rsid w:val="0010235B"/>
    <w:rsid w:val="00114634"/>
    <w:rsid w:val="00115E8A"/>
    <w:rsid w:val="00121C41"/>
    <w:rsid w:val="00124334"/>
    <w:rsid w:val="00125223"/>
    <w:rsid w:val="00131386"/>
    <w:rsid w:val="00133BED"/>
    <w:rsid w:val="0015177C"/>
    <w:rsid w:val="00156831"/>
    <w:rsid w:val="00172BB6"/>
    <w:rsid w:val="0017334D"/>
    <w:rsid w:val="0017728A"/>
    <w:rsid w:val="00182173"/>
    <w:rsid w:val="0019680A"/>
    <w:rsid w:val="001A00FF"/>
    <w:rsid w:val="001A155A"/>
    <w:rsid w:val="001B49BA"/>
    <w:rsid w:val="001B4EC3"/>
    <w:rsid w:val="001B6663"/>
    <w:rsid w:val="001C315C"/>
    <w:rsid w:val="001C5385"/>
    <w:rsid w:val="001C5ADE"/>
    <w:rsid w:val="001C6F89"/>
    <w:rsid w:val="001D6803"/>
    <w:rsid w:val="001F1E32"/>
    <w:rsid w:val="001F4F43"/>
    <w:rsid w:val="00203ECE"/>
    <w:rsid w:val="00211CF5"/>
    <w:rsid w:val="002322D6"/>
    <w:rsid w:val="00233115"/>
    <w:rsid w:val="00235EF1"/>
    <w:rsid w:val="002457F5"/>
    <w:rsid w:val="00252654"/>
    <w:rsid w:val="002528AB"/>
    <w:rsid w:val="00254776"/>
    <w:rsid w:val="002605DF"/>
    <w:rsid w:val="00270E07"/>
    <w:rsid w:val="00272281"/>
    <w:rsid w:val="002820B3"/>
    <w:rsid w:val="00283B8F"/>
    <w:rsid w:val="00290CA7"/>
    <w:rsid w:val="00291137"/>
    <w:rsid w:val="00291C60"/>
    <w:rsid w:val="00292406"/>
    <w:rsid w:val="0029359E"/>
    <w:rsid w:val="002A06BC"/>
    <w:rsid w:val="002A0F98"/>
    <w:rsid w:val="002A2240"/>
    <w:rsid w:val="002A28CD"/>
    <w:rsid w:val="002B1AB1"/>
    <w:rsid w:val="002C47DA"/>
    <w:rsid w:val="002C543D"/>
    <w:rsid w:val="002C6DF1"/>
    <w:rsid w:val="002D5252"/>
    <w:rsid w:val="002F007F"/>
    <w:rsid w:val="00310D5F"/>
    <w:rsid w:val="0031577B"/>
    <w:rsid w:val="00330544"/>
    <w:rsid w:val="0033156B"/>
    <w:rsid w:val="00342291"/>
    <w:rsid w:val="00344D6E"/>
    <w:rsid w:val="00346B42"/>
    <w:rsid w:val="00346CB4"/>
    <w:rsid w:val="003625A4"/>
    <w:rsid w:val="00363572"/>
    <w:rsid w:val="0037322B"/>
    <w:rsid w:val="00397A5C"/>
    <w:rsid w:val="003A3565"/>
    <w:rsid w:val="003A6133"/>
    <w:rsid w:val="003B17F8"/>
    <w:rsid w:val="003C024E"/>
    <w:rsid w:val="003C3719"/>
    <w:rsid w:val="003D0CFB"/>
    <w:rsid w:val="003D486F"/>
    <w:rsid w:val="003E2A61"/>
    <w:rsid w:val="003F2EC3"/>
    <w:rsid w:val="003F4E8A"/>
    <w:rsid w:val="003F6A78"/>
    <w:rsid w:val="00403790"/>
    <w:rsid w:val="00410FC5"/>
    <w:rsid w:val="00413947"/>
    <w:rsid w:val="00413EC6"/>
    <w:rsid w:val="004332F9"/>
    <w:rsid w:val="00434A2B"/>
    <w:rsid w:val="00434EF1"/>
    <w:rsid w:val="004379E2"/>
    <w:rsid w:val="00444626"/>
    <w:rsid w:val="004515F9"/>
    <w:rsid w:val="004527DD"/>
    <w:rsid w:val="0045482D"/>
    <w:rsid w:val="00457ED7"/>
    <w:rsid w:val="004742F6"/>
    <w:rsid w:val="00476C64"/>
    <w:rsid w:val="00483826"/>
    <w:rsid w:val="00485892"/>
    <w:rsid w:val="0049563C"/>
    <w:rsid w:val="004A5E67"/>
    <w:rsid w:val="004A733D"/>
    <w:rsid w:val="004B315C"/>
    <w:rsid w:val="004B54D9"/>
    <w:rsid w:val="004C4F06"/>
    <w:rsid w:val="004C72B2"/>
    <w:rsid w:val="004D7D47"/>
    <w:rsid w:val="004D7E0A"/>
    <w:rsid w:val="004E16FE"/>
    <w:rsid w:val="004E22C1"/>
    <w:rsid w:val="004E3D6B"/>
    <w:rsid w:val="004E716B"/>
    <w:rsid w:val="004E7297"/>
    <w:rsid w:val="004F266D"/>
    <w:rsid w:val="004F6326"/>
    <w:rsid w:val="004F6948"/>
    <w:rsid w:val="004F6F0C"/>
    <w:rsid w:val="00520694"/>
    <w:rsid w:val="00526030"/>
    <w:rsid w:val="00527353"/>
    <w:rsid w:val="00532150"/>
    <w:rsid w:val="00532230"/>
    <w:rsid w:val="00545252"/>
    <w:rsid w:val="005456BC"/>
    <w:rsid w:val="00545E5F"/>
    <w:rsid w:val="0054712E"/>
    <w:rsid w:val="00555741"/>
    <w:rsid w:val="00556352"/>
    <w:rsid w:val="005611F2"/>
    <w:rsid w:val="00565F3A"/>
    <w:rsid w:val="005718F7"/>
    <w:rsid w:val="00573775"/>
    <w:rsid w:val="0057612B"/>
    <w:rsid w:val="005801CD"/>
    <w:rsid w:val="00581209"/>
    <w:rsid w:val="0058640B"/>
    <w:rsid w:val="005A052B"/>
    <w:rsid w:val="005B0083"/>
    <w:rsid w:val="005B0FC4"/>
    <w:rsid w:val="005B1B8B"/>
    <w:rsid w:val="005B1CC3"/>
    <w:rsid w:val="005C2A50"/>
    <w:rsid w:val="005D26DE"/>
    <w:rsid w:val="005D3C20"/>
    <w:rsid w:val="005E2D48"/>
    <w:rsid w:val="005F530E"/>
    <w:rsid w:val="00604E29"/>
    <w:rsid w:val="0062305A"/>
    <w:rsid w:val="00637D3C"/>
    <w:rsid w:val="00642893"/>
    <w:rsid w:val="006475FF"/>
    <w:rsid w:val="006642E9"/>
    <w:rsid w:val="00666438"/>
    <w:rsid w:val="006834A3"/>
    <w:rsid w:val="00686EA9"/>
    <w:rsid w:val="00690F30"/>
    <w:rsid w:val="006A059A"/>
    <w:rsid w:val="006A2072"/>
    <w:rsid w:val="006B05A6"/>
    <w:rsid w:val="006B2255"/>
    <w:rsid w:val="006B3348"/>
    <w:rsid w:val="006C5ED6"/>
    <w:rsid w:val="006C6AED"/>
    <w:rsid w:val="006D708C"/>
    <w:rsid w:val="006F4072"/>
    <w:rsid w:val="006F6569"/>
    <w:rsid w:val="00714269"/>
    <w:rsid w:val="007201FA"/>
    <w:rsid w:val="00720C48"/>
    <w:rsid w:val="00723F32"/>
    <w:rsid w:val="007250FC"/>
    <w:rsid w:val="00732B55"/>
    <w:rsid w:val="0073794F"/>
    <w:rsid w:val="00745375"/>
    <w:rsid w:val="00750BED"/>
    <w:rsid w:val="007510F8"/>
    <w:rsid w:val="00753A65"/>
    <w:rsid w:val="0076103C"/>
    <w:rsid w:val="00761942"/>
    <w:rsid w:val="0077067F"/>
    <w:rsid w:val="00773A8C"/>
    <w:rsid w:val="00773BC1"/>
    <w:rsid w:val="00781D96"/>
    <w:rsid w:val="00782191"/>
    <w:rsid w:val="00784C4C"/>
    <w:rsid w:val="0078671B"/>
    <w:rsid w:val="00791CFD"/>
    <w:rsid w:val="007946FD"/>
    <w:rsid w:val="00794B7B"/>
    <w:rsid w:val="007955B8"/>
    <w:rsid w:val="007A3B59"/>
    <w:rsid w:val="007A6CA8"/>
    <w:rsid w:val="007B01D5"/>
    <w:rsid w:val="007B47ED"/>
    <w:rsid w:val="007C4CE1"/>
    <w:rsid w:val="007C59A4"/>
    <w:rsid w:val="007D1829"/>
    <w:rsid w:val="007D64A0"/>
    <w:rsid w:val="00801591"/>
    <w:rsid w:val="00807829"/>
    <w:rsid w:val="008102A7"/>
    <w:rsid w:val="008113EF"/>
    <w:rsid w:val="00813FC8"/>
    <w:rsid w:val="008148B6"/>
    <w:rsid w:val="00826D0E"/>
    <w:rsid w:val="00841354"/>
    <w:rsid w:val="00841DC3"/>
    <w:rsid w:val="0085737D"/>
    <w:rsid w:val="00863930"/>
    <w:rsid w:val="00874878"/>
    <w:rsid w:val="0089369E"/>
    <w:rsid w:val="008A514C"/>
    <w:rsid w:val="008A55F4"/>
    <w:rsid w:val="008A7D9C"/>
    <w:rsid w:val="008B26FC"/>
    <w:rsid w:val="008B3C53"/>
    <w:rsid w:val="008B535F"/>
    <w:rsid w:val="008C52FA"/>
    <w:rsid w:val="00901B1A"/>
    <w:rsid w:val="0090708F"/>
    <w:rsid w:val="00907597"/>
    <w:rsid w:val="00926E5C"/>
    <w:rsid w:val="00940B0E"/>
    <w:rsid w:val="00941529"/>
    <w:rsid w:val="00955BEB"/>
    <w:rsid w:val="009725E6"/>
    <w:rsid w:val="0098425C"/>
    <w:rsid w:val="009874EF"/>
    <w:rsid w:val="009900BF"/>
    <w:rsid w:val="00993572"/>
    <w:rsid w:val="009A4C83"/>
    <w:rsid w:val="009A76E7"/>
    <w:rsid w:val="009B0945"/>
    <w:rsid w:val="009B1BC0"/>
    <w:rsid w:val="009B33F5"/>
    <w:rsid w:val="009B33FD"/>
    <w:rsid w:val="009B4384"/>
    <w:rsid w:val="009B5A54"/>
    <w:rsid w:val="009D0237"/>
    <w:rsid w:val="009D385F"/>
    <w:rsid w:val="009D5FF6"/>
    <w:rsid w:val="009D7C2C"/>
    <w:rsid w:val="009E59B9"/>
    <w:rsid w:val="009F03B2"/>
    <w:rsid w:val="009F221E"/>
    <w:rsid w:val="00A1307B"/>
    <w:rsid w:val="00A161F6"/>
    <w:rsid w:val="00A164E7"/>
    <w:rsid w:val="00A22CBE"/>
    <w:rsid w:val="00A309BD"/>
    <w:rsid w:val="00A44B58"/>
    <w:rsid w:val="00A47EEA"/>
    <w:rsid w:val="00A566C8"/>
    <w:rsid w:val="00A71A99"/>
    <w:rsid w:val="00A7271A"/>
    <w:rsid w:val="00A90D72"/>
    <w:rsid w:val="00A955C5"/>
    <w:rsid w:val="00A9737E"/>
    <w:rsid w:val="00A97AE8"/>
    <w:rsid w:val="00AA5E8C"/>
    <w:rsid w:val="00AB6F79"/>
    <w:rsid w:val="00AC322F"/>
    <w:rsid w:val="00AC6DA6"/>
    <w:rsid w:val="00AD249E"/>
    <w:rsid w:val="00AD337B"/>
    <w:rsid w:val="00AD5A33"/>
    <w:rsid w:val="00AE11EF"/>
    <w:rsid w:val="00AE5E78"/>
    <w:rsid w:val="00AE6CE6"/>
    <w:rsid w:val="00AE78BA"/>
    <w:rsid w:val="00AF0CD1"/>
    <w:rsid w:val="00B01822"/>
    <w:rsid w:val="00B0191A"/>
    <w:rsid w:val="00B10DE2"/>
    <w:rsid w:val="00B16846"/>
    <w:rsid w:val="00B2135B"/>
    <w:rsid w:val="00B232C4"/>
    <w:rsid w:val="00B25B63"/>
    <w:rsid w:val="00B27168"/>
    <w:rsid w:val="00B30F9F"/>
    <w:rsid w:val="00B33C22"/>
    <w:rsid w:val="00B34A5B"/>
    <w:rsid w:val="00B372FD"/>
    <w:rsid w:val="00B502C2"/>
    <w:rsid w:val="00B50D30"/>
    <w:rsid w:val="00B76594"/>
    <w:rsid w:val="00B7762E"/>
    <w:rsid w:val="00B83C22"/>
    <w:rsid w:val="00B84432"/>
    <w:rsid w:val="00B90038"/>
    <w:rsid w:val="00B92961"/>
    <w:rsid w:val="00B92EBF"/>
    <w:rsid w:val="00B93B32"/>
    <w:rsid w:val="00B950C8"/>
    <w:rsid w:val="00BA473B"/>
    <w:rsid w:val="00BA50E2"/>
    <w:rsid w:val="00BC0FD6"/>
    <w:rsid w:val="00BD3570"/>
    <w:rsid w:val="00BD544F"/>
    <w:rsid w:val="00BD76DA"/>
    <w:rsid w:val="00C00091"/>
    <w:rsid w:val="00C00262"/>
    <w:rsid w:val="00C10A04"/>
    <w:rsid w:val="00C12A06"/>
    <w:rsid w:val="00C21A1C"/>
    <w:rsid w:val="00C2446F"/>
    <w:rsid w:val="00C265E4"/>
    <w:rsid w:val="00C33D1C"/>
    <w:rsid w:val="00C34DCD"/>
    <w:rsid w:val="00C4624B"/>
    <w:rsid w:val="00C5046F"/>
    <w:rsid w:val="00C67502"/>
    <w:rsid w:val="00C72B64"/>
    <w:rsid w:val="00C94865"/>
    <w:rsid w:val="00C96803"/>
    <w:rsid w:val="00CA4A2D"/>
    <w:rsid w:val="00CC0034"/>
    <w:rsid w:val="00CD1654"/>
    <w:rsid w:val="00CD3439"/>
    <w:rsid w:val="00CF0DCD"/>
    <w:rsid w:val="00CF5F48"/>
    <w:rsid w:val="00D11786"/>
    <w:rsid w:val="00D13710"/>
    <w:rsid w:val="00D15F1B"/>
    <w:rsid w:val="00D16EAD"/>
    <w:rsid w:val="00D26653"/>
    <w:rsid w:val="00D34E87"/>
    <w:rsid w:val="00D37BE5"/>
    <w:rsid w:val="00D46227"/>
    <w:rsid w:val="00D50221"/>
    <w:rsid w:val="00D518F6"/>
    <w:rsid w:val="00D6149D"/>
    <w:rsid w:val="00D64F15"/>
    <w:rsid w:val="00D66079"/>
    <w:rsid w:val="00D6612E"/>
    <w:rsid w:val="00D745DD"/>
    <w:rsid w:val="00D75303"/>
    <w:rsid w:val="00D83325"/>
    <w:rsid w:val="00D85701"/>
    <w:rsid w:val="00D85FAD"/>
    <w:rsid w:val="00D945C3"/>
    <w:rsid w:val="00DB4E0E"/>
    <w:rsid w:val="00DB665A"/>
    <w:rsid w:val="00DB7F96"/>
    <w:rsid w:val="00DC2950"/>
    <w:rsid w:val="00DC48C8"/>
    <w:rsid w:val="00DE2F2B"/>
    <w:rsid w:val="00DE30F9"/>
    <w:rsid w:val="00DE7D2B"/>
    <w:rsid w:val="00DF0914"/>
    <w:rsid w:val="00DF41BC"/>
    <w:rsid w:val="00DF758B"/>
    <w:rsid w:val="00E01CF4"/>
    <w:rsid w:val="00E04178"/>
    <w:rsid w:val="00E05E26"/>
    <w:rsid w:val="00E152BA"/>
    <w:rsid w:val="00E27614"/>
    <w:rsid w:val="00E31C5D"/>
    <w:rsid w:val="00E374FE"/>
    <w:rsid w:val="00E40AE6"/>
    <w:rsid w:val="00E41D11"/>
    <w:rsid w:val="00E52576"/>
    <w:rsid w:val="00E55FFC"/>
    <w:rsid w:val="00E56E56"/>
    <w:rsid w:val="00E67021"/>
    <w:rsid w:val="00E854BE"/>
    <w:rsid w:val="00E86472"/>
    <w:rsid w:val="00E873C1"/>
    <w:rsid w:val="00E96CAE"/>
    <w:rsid w:val="00EA3425"/>
    <w:rsid w:val="00EA4839"/>
    <w:rsid w:val="00EA62A5"/>
    <w:rsid w:val="00EA6349"/>
    <w:rsid w:val="00EB68A2"/>
    <w:rsid w:val="00EC027E"/>
    <w:rsid w:val="00EE5F58"/>
    <w:rsid w:val="00EF2033"/>
    <w:rsid w:val="00F0072E"/>
    <w:rsid w:val="00F03C07"/>
    <w:rsid w:val="00F07BE6"/>
    <w:rsid w:val="00F14AF9"/>
    <w:rsid w:val="00F17E15"/>
    <w:rsid w:val="00F26FFF"/>
    <w:rsid w:val="00F41DF6"/>
    <w:rsid w:val="00F47074"/>
    <w:rsid w:val="00F64589"/>
    <w:rsid w:val="00F77D54"/>
    <w:rsid w:val="00F81CCB"/>
    <w:rsid w:val="00F93A85"/>
    <w:rsid w:val="00FA55E1"/>
    <w:rsid w:val="00FA64C0"/>
    <w:rsid w:val="00FB7CF9"/>
    <w:rsid w:val="00FC2834"/>
    <w:rsid w:val="00FC7A39"/>
    <w:rsid w:val="00FD1479"/>
    <w:rsid w:val="00FD6D5D"/>
    <w:rsid w:val="00FE1274"/>
    <w:rsid w:val="00FE1B08"/>
    <w:rsid w:val="00FE2247"/>
    <w:rsid w:val="00FE59A8"/>
    <w:rsid w:val="00FE619E"/>
    <w:rsid w:val="00FE7E28"/>
    <w:rsid w:val="00FF2040"/>
    <w:rsid w:val="00FF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C48804"/>
  <w15:chartTrackingRefBased/>
  <w15:docId w15:val="{7B0060EC-1CEF-C545-ACD5-BCD0FC6B8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6DA"/>
    <w:rPr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76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76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76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76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76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eastAsia="ja-JP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76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ja-JP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76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ja-JP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76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ja-JP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76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6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76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76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76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76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76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76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76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76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76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BD76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76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BD76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76DA"/>
    <w:pPr>
      <w:spacing w:before="160"/>
      <w:jc w:val="center"/>
    </w:pPr>
    <w:rPr>
      <w:i/>
      <w:iCs/>
      <w:color w:val="404040" w:themeColor="text1" w:themeTint="BF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BD76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76DA"/>
    <w:pPr>
      <w:ind w:left="720"/>
      <w:contextualSpacing/>
    </w:pPr>
    <w:rPr>
      <w:lang w:eastAsia="ja-JP"/>
    </w:rPr>
  </w:style>
  <w:style w:type="character" w:styleId="IntenseEmphasis">
    <w:name w:val="Intense Emphasis"/>
    <w:basedOn w:val="DefaultParagraphFont"/>
    <w:uiPriority w:val="21"/>
    <w:qFormat/>
    <w:rsid w:val="00BD76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76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eastAsia="ja-JP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76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76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Furuya, Hideki</dc:creator>
  <cp:keywords/>
  <dc:description/>
  <cp:lastModifiedBy>Furuya, Hideki</cp:lastModifiedBy>
  <cp:revision>1</cp:revision>
  <dcterms:created xsi:type="dcterms:W3CDTF">2026-06-24T14:55:00Z</dcterms:created>
  <dcterms:modified xsi:type="dcterms:W3CDTF">2026-06-24T14:55:00Z</dcterms:modified>
</cp:coreProperties>
</file>