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464"/>
        <w:tblW w:w="11408" w:type="dxa"/>
        <w:tblBorders>
          <w:insideH w:val="single" w:sz="4" w:space="0" w:color="auto"/>
        </w:tblBorders>
        <w:tblLayout w:type="fixed"/>
        <w:tblLook w:val="04A0" w:firstRow="1" w:lastRow="0" w:firstColumn="1" w:lastColumn="0" w:noHBand="0" w:noVBand="1"/>
      </w:tblPr>
      <w:tblGrid>
        <w:gridCol w:w="3754"/>
        <w:gridCol w:w="3402"/>
        <w:gridCol w:w="2591"/>
        <w:gridCol w:w="851"/>
        <w:gridCol w:w="810"/>
      </w:tblGrid>
      <w:tr w:rsidR="00427052" w:rsidRPr="00186A4D" w14:paraId="55C1252E" w14:textId="77777777" w:rsidTr="00281326">
        <w:trPr>
          <w:trHeight w:val="562"/>
          <w:tblHeader/>
        </w:trPr>
        <w:tc>
          <w:tcPr>
            <w:tcW w:w="3754" w:type="dxa"/>
            <w:tcBorders>
              <w:top w:val="single" w:sz="18" w:space="0" w:color="auto"/>
              <w:bottom w:val="single" w:sz="18" w:space="0" w:color="auto"/>
            </w:tcBorders>
            <w:vAlign w:val="center"/>
            <w:hideMark/>
          </w:tcPr>
          <w:p w14:paraId="59195EC1" w14:textId="77777777" w:rsidR="00427052" w:rsidRPr="00186A4D" w:rsidRDefault="00427052" w:rsidP="00281326">
            <w:pPr>
              <w:widowControl/>
              <w:jc w:val="center"/>
              <w:rPr>
                <w:rFonts w:ascii="Times New Roman" w:eastAsia="SimSun" w:hAnsi="Times New Roman" w:cs="Times New Roman"/>
                <w:b/>
                <w:bCs/>
                <w:color w:val="000000"/>
                <w:kern w:val="0"/>
                <w:sz w:val="15"/>
                <w:szCs w:val="15"/>
                <w14:ligatures w14:val="none"/>
              </w:rPr>
            </w:pPr>
            <w:bookmarkStart w:id="0" w:name="_Hlk232665140"/>
            <w:bookmarkStart w:id="1" w:name="_Hlk232669367"/>
            <w:r w:rsidRPr="00186A4D">
              <w:rPr>
                <w:rFonts w:ascii="Times New Roman" w:eastAsia="SimSun" w:hAnsi="Times New Roman" w:cs="Times New Roman"/>
                <w:b/>
                <w:bCs/>
                <w:color w:val="000000"/>
                <w:kern w:val="0"/>
                <w:sz w:val="15"/>
                <w:szCs w:val="15"/>
                <w14:ligatures w14:val="none"/>
              </w:rPr>
              <w:t>Lipid metabolic alteration</w:t>
            </w:r>
          </w:p>
        </w:tc>
        <w:tc>
          <w:tcPr>
            <w:tcW w:w="3402" w:type="dxa"/>
            <w:tcBorders>
              <w:top w:val="single" w:sz="18" w:space="0" w:color="auto"/>
              <w:bottom w:val="single" w:sz="18" w:space="0" w:color="auto"/>
            </w:tcBorders>
            <w:vAlign w:val="center"/>
            <w:hideMark/>
          </w:tcPr>
          <w:p w14:paraId="3D550940" w14:textId="77777777" w:rsidR="00427052" w:rsidRPr="00186A4D" w:rsidRDefault="00427052" w:rsidP="00281326">
            <w:pPr>
              <w:widowControl/>
              <w:jc w:val="center"/>
              <w:rPr>
                <w:rFonts w:ascii="Times New Roman" w:eastAsia="SimSun" w:hAnsi="Times New Roman" w:cs="Times New Roman"/>
                <w:b/>
                <w:bCs/>
                <w:color w:val="000000"/>
                <w:kern w:val="0"/>
                <w:sz w:val="15"/>
                <w:szCs w:val="15"/>
                <w14:ligatures w14:val="none"/>
              </w:rPr>
            </w:pPr>
            <w:r w:rsidRPr="00186A4D">
              <w:rPr>
                <w:rFonts w:ascii="Times New Roman" w:eastAsia="SimSun" w:hAnsi="Times New Roman" w:cs="Times New Roman"/>
                <w:b/>
                <w:bCs/>
                <w:color w:val="000000"/>
                <w:kern w:val="0"/>
                <w:sz w:val="15"/>
                <w:szCs w:val="15"/>
                <w14:ligatures w14:val="none"/>
              </w:rPr>
              <w:t>Main biological or clinical implication</w:t>
            </w:r>
          </w:p>
        </w:tc>
        <w:tc>
          <w:tcPr>
            <w:tcW w:w="2591" w:type="dxa"/>
            <w:tcBorders>
              <w:top w:val="single" w:sz="18" w:space="0" w:color="auto"/>
              <w:bottom w:val="single" w:sz="18" w:space="0" w:color="auto"/>
            </w:tcBorders>
            <w:vAlign w:val="center"/>
            <w:hideMark/>
          </w:tcPr>
          <w:p w14:paraId="0250AEC0" w14:textId="77777777" w:rsidR="00427052" w:rsidRPr="00186A4D" w:rsidRDefault="00427052" w:rsidP="00281326">
            <w:pPr>
              <w:widowControl/>
              <w:jc w:val="center"/>
              <w:rPr>
                <w:rFonts w:ascii="Times New Roman" w:eastAsia="SimSun" w:hAnsi="Times New Roman" w:cs="Times New Roman"/>
                <w:b/>
                <w:bCs/>
                <w:color w:val="000000"/>
                <w:kern w:val="0"/>
                <w:sz w:val="15"/>
                <w:szCs w:val="15"/>
                <w14:ligatures w14:val="none"/>
              </w:rPr>
            </w:pPr>
            <w:r w:rsidRPr="00186A4D">
              <w:rPr>
                <w:rFonts w:ascii="Times New Roman" w:eastAsia="SimSun" w:hAnsi="Times New Roman" w:cs="Times New Roman"/>
                <w:b/>
                <w:bCs/>
                <w:color w:val="000000"/>
                <w:kern w:val="0"/>
                <w:sz w:val="15"/>
                <w:szCs w:val="15"/>
                <w14:ligatures w14:val="none"/>
              </w:rPr>
              <w:t>Evidence basis</w:t>
            </w:r>
          </w:p>
        </w:tc>
        <w:tc>
          <w:tcPr>
            <w:tcW w:w="851" w:type="dxa"/>
            <w:tcBorders>
              <w:top w:val="single" w:sz="18" w:space="0" w:color="auto"/>
              <w:bottom w:val="single" w:sz="18" w:space="0" w:color="auto"/>
            </w:tcBorders>
            <w:vAlign w:val="center"/>
            <w:hideMark/>
          </w:tcPr>
          <w:p w14:paraId="6C4CAEB3" w14:textId="77777777" w:rsidR="00427052" w:rsidRPr="00186A4D" w:rsidRDefault="00427052" w:rsidP="00281326">
            <w:pPr>
              <w:widowControl/>
              <w:jc w:val="center"/>
              <w:rPr>
                <w:rFonts w:ascii="Times New Roman" w:eastAsia="SimSun" w:hAnsi="Times New Roman" w:cs="Times New Roman"/>
                <w:b/>
                <w:bCs/>
                <w:color w:val="000000"/>
                <w:kern w:val="0"/>
                <w:sz w:val="15"/>
                <w:szCs w:val="15"/>
                <w14:ligatures w14:val="none"/>
              </w:rPr>
            </w:pPr>
            <w:r w:rsidRPr="00186A4D">
              <w:rPr>
                <w:rFonts w:ascii="Times New Roman" w:eastAsia="SimSun" w:hAnsi="Times New Roman" w:cs="Times New Roman"/>
                <w:b/>
                <w:bCs/>
                <w:color w:val="000000"/>
                <w:kern w:val="0"/>
                <w:sz w:val="15"/>
                <w:szCs w:val="15"/>
                <w14:ligatures w14:val="none"/>
              </w:rPr>
              <w:t>Evidence level</w:t>
            </w:r>
          </w:p>
        </w:tc>
        <w:tc>
          <w:tcPr>
            <w:tcW w:w="810" w:type="dxa"/>
            <w:tcBorders>
              <w:top w:val="single" w:sz="18" w:space="0" w:color="auto"/>
              <w:bottom w:val="single" w:sz="18" w:space="0" w:color="auto"/>
            </w:tcBorders>
            <w:vAlign w:val="center"/>
            <w:hideMark/>
          </w:tcPr>
          <w:p w14:paraId="54D6F6A6" w14:textId="77777777" w:rsidR="00427052" w:rsidRPr="00186A4D" w:rsidRDefault="00427052" w:rsidP="00281326">
            <w:pPr>
              <w:widowControl/>
              <w:jc w:val="center"/>
              <w:rPr>
                <w:rFonts w:ascii="Times New Roman" w:eastAsia="SimSun" w:hAnsi="Times New Roman" w:cs="Times New Roman"/>
                <w:b/>
                <w:bCs/>
                <w:color w:val="000000"/>
                <w:kern w:val="0"/>
                <w:sz w:val="15"/>
                <w:szCs w:val="15"/>
                <w14:ligatures w14:val="none"/>
              </w:rPr>
            </w:pPr>
            <w:r w:rsidRPr="00186A4D">
              <w:rPr>
                <w:rFonts w:ascii="Times New Roman" w:eastAsia="SimSun" w:hAnsi="Times New Roman" w:cs="Times New Roman"/>
                <w:b/>
                <w:bCs/>
                <w:color w:val="000000"/>
                <w:kern w:val="0"/>
                <w:sz w:val="15"/>
                <w:szCs w:val="15"/>
                <w14:ligatures w14:val="none"/>
              </w:rPr>
              <w:t>Ref</w:t>
            </w:r>
          </w:p>
        </w:tc>
      </w:tr>
      <w:tr w:rsidR="00427052" w:rsidRPr="00186A4D" w14:paraId="0402F36F" w14:textId="77777777" w:rsidTr="00281326">
        <w:trPr>
          <w:trHeight w:val="282"/>
        </w:trPr>
        <w:tc>
          <w:tcPr>
            <w:tcW w:w="3754" w:type="dxa"/>
            <w:tcBorders>
              <w:top w:val="single" w:sz="18" w:space="0" w:color="auto"/>
            </w:tcBorders>
            <w:vAlign w:val="center"/>
            <w:hideMark/>
          </w:tcPr>
          <w:p w14:paraId="69BACBE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Increased uptake and metabolization of extracellular lipids</w:t>
            </w:r>
          </w:p>
        </w:tc>
        <w:tc>
          <w:tcPr>
            <w:tcW w:w="3402" w:type="dxa"/>
            <w:tcBorders>
              <w:top w:val="single" w:sz="18" w:space="0" w:color="auto"/>
            </w:tcBorders>
            <w:vAlign w:val="center"/>
            <w:hideMark/>
          </w:tcPr>
          <w:p w14:paraId="3E2D1FAE"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Supports proliferation through lipid and lipoprotein uptake, triglyceride storage, and fatty acid oxidation</w:t>
            </w:r>
          </w:p>
        </w:tc>
        <w:tc>
          <w:tcPr>
            <w:tcW w:w="2591" w:type="dxa"/>
            <w:tcBorders>
              <w:top w:val="single" w:sz="18" w:space="0" w:color="auto"/>
            </w:tcBorders>
            <w:vAlign w:val="center"/>
            <w:hideMark/>
          </w:tcPr>
          <w:p w14:paraId="642529FB"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Human CCA tissues, CCA cell models, proteomic/metabolic analysis</w:t>
            </w:r>
          </w:p>
        </w:tc>
        <w:tc>
          <w:tcPr>
            <w:tcW w:w="851" w:type="dxa"/>
            <w:tcBorders>
              <w:top w:val="single" w:sz="18" w:space="0" w:color="auto"/>
            </w:tcBorders>
            <w:vAlign w:val="center"/>
            <w:hideMark/>
          </w:tcPr>
          <w:p w14:paraId="00C85EE0" w14:textId="4F2D2BC6"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tcBorders>
              <w:top w:val="single" w:sz="18" w:space="0" w:color="auto"/>
            </w:tcBorders>
            <w:vAlign w:val="center"/>
            <w:hideMark/>
          </w:tcPr>
          <w:p w14:paraId="21EC5EF0" w14:textId="6D03B234" w:rsidR="00427052" w:rsidRPr="00186A4D" w:rsidRDefault="00305F91"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{"citationID":"Ok5yd8RC","properties":{"unsorted":false,"formattedCitation":"[1]","plainCitation":"[1]","noteIndex":0},"citationItems":[{"id":3128,"uris":["http://zotero.org/users/18222353/items/4Z2P5BGW"],"itemData":{"id":3128,"type":"article-journal","abstract":"Background and Aims: Cholangiocarcinoma (CCA) includes a heterogeneous group of biliary cancers with a dismal prognosis. We investigated if lipid metabolism is disrupted in CCA and its role in tumor proliferation.","container-title":"Hepatology","DOI":"10.1002/hep.32344","ISSN":"0270-9139, 1527-3350","issue":"6","journalAbbreviation":"Hepatology","language":"en","page":"1617-1633","source":"DOI.org (Crossref)","title":"Cholangiocarcinoma progression depends on the uptake and metabolization of extracellular lipids","volume":"76","author":[{"family":"Ruiz De Gauna","given":"Mikel"},{"family":"Biancaniello","given":"Francesca"},{"family":"González-Romero","given":"Francisco"},{"family":"Rodrigues","given":"Pedro M."},{"family":"Lapitz","given":"Ainhoa"},{"family":"Gómez-Santos","given":"Beatriz"},{"family":"Olaizola","given":"Paula"},{"family":"Di Matteo","given":"Sabina"},{"family":"Aurrekoetxea","given":"Igor"},{"family":"Labiano","given":"Ibone"},{"family":"Nieva-Zuluaga","given":"Ane"},{"family":"Benito-Vicente","given":"Asier"},{"family":"Perugorria","given":"María J."},{"family":"Apodaka-Biguri","given":"Maider"},{"family":"Paiva","given":"Nuno A."},{"family":"Sáenz De Urturi","given":"Diego"},{"family":"Buqué","given":"Xabier"},{"family":"Delgado","given":"Igotz"},{"family":"Martín","given":"César"},{"family":"Azkargorta","given":"Mikel"},{"family":"Elortza","given":"Felix"},{"family":"Calvisi","given":"Diego F."},{"family":"Andersen","given":"Jesper B."},{"family":"Alvaro","given":"Domenico"},{"family":"Cardinale","given":"Vincenzo"},{"family":"Bujanda","given":"Luis"},{"family":"Banales","given":"Jesús M."},{"family":"Aspichueta","given":"Patricia"}],"issued":{"date-parts":[["2022",12]]}}}],"schema":"https://github.com/citation-style-language/schema/raw/master/csl-citation.json"}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05F91">
              <w:rPr>
                <w:rFonts w:ascii="Times New Roman" w:hAnsi="Times New Roman" w:cs="Times New Roman"/>
                <w:sz w:val="15"/>
              </w:rPr>
              <w:t>[1]</w:t>
            </w:r>
            <w:r>
              <w:rPr>
                <w:rFonts w:ascii="Times New Roman" w:eastAsia="SimSun" w:hAnsi="Times New Roman" w:cs="Times New Roman"/>
                <w:color w:val="000000"/>
                <w:kern w:val="0"/>
                <w:sz w:val="15"/>
                <w:szCs w:val="15"/>
                <w14:ligatures w14:val="none"/>
              </w:rPr>
              <w:fldChar w:fldCharType="end"/>
            </w:r>
          </w:p>
        </w:tc>
      </w:tr>
      <w:tr w:rsidR="00427052" w:rsidRPr="00186A4D" w14:paraId="2FCCB46A" w14:textId="77777777" w:rsidTr="00281326">
        <w:trPr>
          <w:trHeight w:val="318"/>
        </w:trPr>
        <w:tc>
          <w:tcPr>
            <w:tcW w:w="3754" w:type="dxa"/>
            <w:vAlign w:val="center"/>
            <w:hideMark/>
          </w:tcPr>
          <w:p w14:paraId="72470DC4"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Arachidonic acid accumulation and transfer to macrophages</w:t>
            </w:r>
          </w:p>
        </w:tc>
        <w:tc>
          <w:tcPr>
            <w:tcW w:w="3402" w:type="dxa"/>
            <w:vAlign w:val="center"/>
            <w:hideMark/>
          </w:tcPr>
          <w:p w14:paraId="2AE7FB3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Reprograms TAMs from an antitumor CD5L-positive phenotype toward a protumor TREM2-positive phenotype; suppresses CD8-positive T-cell activity</w:t>
            </w:r>
          </w:p>
        </w:tc>
        <w:tc>
          <w:tcPr>
            <w:tcW w:w="2591" w:type="dxa"/>
            <w:vAlign w:val="center"/>
            <w:hideMark/>
          </w:tcPr>
          <w:p w14:paraId="209D9040" w14:textId="29BBCBB0"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Human </w:t>
            </w:r>
            <w:proofErr w:type="spellStart"/>
            <w:r w:rsidRPr="00186A4D">
              <w:rPr>
                <w:rFonts w:ascii="Times New Roman" w:eastAsia="SimSun" w:hAnsi="Times New Roman" w:cs="Times New Roman"/>
                <w:color w:val="000000"/>
                <w:kern w:val="0"/>
                <w:sz w:val="15"/>
                <w:szCs w:val="15"/>
                <w14:ligatures w14:val="none"/>
              </w:rPr>
              <w:t>iCCA</w:t>
            </w:r>
            <w:proofErr w:type="spellEnd"/>
            <w:r w:rsidRPr="00186A4D">
              <w:rPr>
                <w:rFonts w:ascii="Times New Roman" w:eastAsia="SimSun" w:hAnsi="Times New Roman" w:cs="Times New Roman"/>
                <w:color w:val="000000"/>
                <w:kern w:val="0"/>
                <w:sz w:val="15"/>
                <w:szCs w:val="15"/>
                <w14:ligatures w14:val="none"/>
              </w:rPr>
              <w:t xml:space="preserve"> tissues, single-cell analysis, macrophage functional assays, </w:t>
            </w:r>
            <w:r>
              <w:rPr>
                <w:rFonts w:ascii="Times New Roman" w:eastAsia="SimSun" w:hAnsi="Times New Roman" w:cs="Times New Roman"/>
                <w:color w:val="000000"/>
                <w:kern w:val="0"/>
                <w:sz w:val="15"/>
                <w:szCs w:val="15"/>
                <w14:ligatures w14:val="none"/>
              </w:rPr>
              <w:t xml:space="preserve">and </w:t>
            </w:r>
            <w:r w:rsidRPr="00186A4D">
              <w:rPr>
                <w:rFonts w:ascii="Times New Roman" w:eastAsia="SimSun" w:hAnsi="Times New Roman" w:cs="Times New Roman"/>
                <w:color w:val="000000"/>
                <w:kern w:val="0"/>
                <w:sz w:val="15"/>
                <w:szCs w:val="15"/>
                <w14:ligatures w14:val="none"/>
              </w:rPr>
              <w:t>mechanistic experiments</w:t>
            </w:r>
          </w:p>
        </w:tc>
        <w:tc>
          <w:tcPr>
            <w:tcW w:w="851" w:type="dxa"/>
            <w:vAlign w:val="center"/>
            <w:hideMark/>
          </w:tcPr>
          <w:p w14:paraId="57B3B938" w14:textId="12F52A8B"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24D58E9C" w14:textId="44B249F4"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{"citationID":"ExzGsJIh","properties":{"unsorted":false,"formattedCitation":"[2]","plainCitation":"[2]","noteIndex":0},"citationItems":[{"id":96,"uris":["http://zotero.org/users/18222353/items/GZIHUPGG"],"itemData":{"id":96,"type":"article-journal","abstract":"Tumor-associated macrophages (TAMs) play a crucial role in tumor progression within the tumor microenvironment (TME) through phenotypic plasticity and  functional modulation. While tunneling nanotubes (TNTs) mediate intercellular  communication, their role in shaping TAMs phenotypes and function remains  unclear. This study explores how TNTs facilitate the transfer of tumor-derived  materials, particularly fatty acids, to TAMs, affecting macrophage polarization  and function. Single-cell RNA sequencing identified heterogeneous macrophage  subpopulations in the TME. Enrichment analysis pinpointed key substances  transferred via TNTs. Lipidomics and metabolomics analyzed the fatty acids  involved. In vitro and in vivo experiments validated TNTs-mediated material  transfer, and transcriptomic analysis revealed the associated signaling pathways.  TNTs are the primary route for transferring tumor-derived fatty acids, notably  arachidonic acid (AA), to macrophages. This transfer reprogrammed TAMs from  anti-tumor CD5L(+) to pro-tumor TREM2(+) phenotypes, increasing CCL18 secretion,  reducing phagocytic activity, and impairing CD8(+) T cell proliferation.  Mechanistically, AA activated the PI3K-AKT pathway, driving TAMs polarization.  These findings are confirmed in xenograft models, where TNTs-induced TAMs  exhibited enhanced pro-tumor properties. TNTs-mediated transfer of tumor-derived  AA reprograms TAMs via PI3K-AKT activation, promoting immune suppression and  tumor progression, highlighting TNTs and PI3K-AKT as potential therapeutic  targets in iCCA.","container-title":"Advanced science (Weinheim, Baden-Wurttemberg, Germany)","DOI":"10.1002/advs.202500148","ISSN":"2198-3844","issue":"35","journalAbbreviation":"Adv Sci </w:instrText>
            </w:r>
            <w:r>
              <w:rPr>
                <w:rFonts w:ascii="Times New Roman" w:eastAsia="SimSun" w:hAnsi="Times New Roman" w:cs="Times New Roman" w:hint="eastAsia"/>
                <w:color w:val="000000"/>
                <w:kern w:val="0"/>
                <w:sz w:val="15"/>
                <w:szCs w:val="15"/>
                <w14:ligatures w14:val="none"/>
              </w:rPr>
              <w:instrText>(Weinh)","language":"en-US","license":"© 2025 The Author(s). Advanced Science published by Wiley</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 xml:space="preserve">VCH GmbH.","note":"publisher-place: Germany\ntitleTranslation: </w:instrText>
            </w:r>
            <w:r>
              <w:rPr>
                <w:rFonts w:ascii="Times New Roman" w:eastAsia="SimSun" w:hAnsi="Times New Roman" w:cs="Times New Roman" w:hint="eastAsia"/>
                <w:color w:val="000000"/>
                <w:kern w:val="0"/>
                <w:sz w:val="15"/>
                <w:szCs w:val="15"/>
                <w14:ligatures w14:val="none"/>
              </w:rPr>
              <w:instrText>隧道纳米管在肝内胆管癌花生四烯酸转移和巨噬细胞功能重编程中的作用。</w:instrText>
            </w:r>
            <w:r>
              <w:rPr>
                <w:rFonts w:ascii="Times New Roman" w:eastAsia="SimSun" w:hAnsi="Times New Roman" w:cs="Times New Roman" w:hint="eastAsia"/>
                <w:color w:val="000000"/>
                <w:kern w:val="0"/>
                <w:sz w:val="15"/>
                <w:szCs w:val="15"/>
                <w14:ligatures w14:val="none"/>
              </w:rPr>
              <w:instrText>\nTLDR: TNTs</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mediated transfer of tumor</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derived AA reprograms TAMs via PI3K</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AKT activation, promoting immune suppression and tumor progression is highlighted, highlighting TNTs and PI3K</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 xml:space="preserve">AKT as potential therapeutic targets in iCCA.\nabstractTranslation: </w:instrText>
            </w:r>
            <w:r>
              <w:rPr>
                <w:rFonts w:ascii="Times New Roman" w:eastAsia="SimSun" w:hAnsi="Times New Roman" w:cs="Times New Roman" w:hint="eastAsia"/>
                <w:color w:val="000000"/>
                <w:kern w:val="0"/>
                <w:sz w:val="15"/>
                <w:szCs w:val="15"/>
                <w14:ligatures w14:val="none"/>
              </w:rPr>
              <w:instrText>肿瘤相关巨噬细胞（</w:instrText>
            </w:r>
            <w:r>
              <w:rPr>
                <w:rFonts w:ascii="Times New Roman" w:eastAsia="SimSun" w:hAnsi="Times New Roman" w:cs="Times New Roman" w:hint="eastAsia"/>
                <w:color w:val="000000"/>
                <w:kern w:val="0"/>
                <w:sz w:val="15"/>
                <w:szCs w:val="15"/>
                <w14:ligatures w14:val="none"/>
              </w:rPr>
              <w:instrText>TAM</w:instrText>
            </w:r>
            <w:r>
              <w:rPr>
                <w:rFonts w:ascii="Times New Roman" w:eastAsia="SimSun" w:hAnsi="Times New Roman" w:cs="Times New Roman" w:hint="eastAsia"/>
                <w:color w:val="000000"/>
                <w:kern w:val="0"/>
                <w:sz w:val="15"/>
                <w:szCs w:val="15"/>
                <w14:ligatures w14:val="none"/>
              </w:rPr>
              <w:instrText>）通过表型可塑性和功能调节，在肿瘤微环境中的肿瘤进展中发挥着关键作用。虽然隧道纳米管（</w:instrText>
            </w:r>
            <w:r>
              <w:rPr>
                <w:rFonts w:ascii="Times New Roman" w:eastAsia="SimSun" w:hAnsi="Times New Roman" w:cs="Times New Roman" w:hint="eastAsia"/>
                <w:color w:val="000000"/>
                <w:kern w:val="0"/>
                <w:sz w:val="15"/>
                <w:szCs w:val="15"/>
                <w14:ligatures w14:val="none"/>
              </w:rPr>
              <w:instrText>TNTs</w:instrText>
            </w:r>
            <w:r>
              <w:rPr>
                <w:rFonts w:ascii="Times New Roman" w:eastAsia="SimSun" w:hAnsi="Times New Roman" w:cs="Times New Roman" w:hint="eastAsia"/>
                <w:color w:val="000000"/>
                <w:kern w:val="0"/>
                <w:sz w:val="15"/>
                <w:szCs w:val="15"/>
                <w14:ligatures w14:val="none"/>
              </w:rPr>
              <w:instrText>）介导细胞间通讯，但它们在塑造</w:instrText>
            </w:r>
            <w:r>
              <w:rPr>
                <w:rFonts w:ascii="Times New Roman" w:eastAsia="SimSun" w:hAnsi="Times New Roman" w:cs="Times New Roman" w:hint="eastAsia"/>
                <w:color w:val="000000"/>
                <w:kern w:val="0"/>
                <w:sz w:val="15"/>
                <w:szCs w:val="15"/>
                <w14:ligatures w14:val="none"/>
              </w:rPr>
              <w:instrText>TAM</w:instrText>
            </w:r>
            <w:r>
              <w:rPr>
                <w:rFonts w:ascii="Times New Roman" w:eastAsia="SimSun" w:hAnsi="Times New Roman" w:cs="Times New Roman" w:hint="eastAsia"/>
                <w:color w:val="000000"/>
                <w:kern w:val="0"/>
                <w:sz w:val="15"/>
                <w:szCs w:val="15"/>
                <w14:ligatures w14:val="none"/>
              </w:rPr>
              <w:instrText>表型和功能中的作用尚不明确。本研究探讨了</w:instrText>
            </w:r>
            <w:r>
              <w:rPr>
                <w:rFonts w:ascii="Times New Roman" w:eastAsia="SimSun" w:hAnsi="Times New Roman" w:cs="Times New Roman" w:hint="eastAsia"/>
                <w:color w:val="000000"/>
                <w:kern w:val="0"/>
                <w:sz w:val="15"/>
                <w:szCs w:val="15"/>
                <w14:ligatures w14:val="none"/>
              </w:rPr>
              <w:instrText>TNT</w:instrText>
            </w:r>
            <w:r>
              <w:rPr>
                <w:rFonts w:ascii="Times New Roman" w:eastAsia="SimSun" w:hAnsi="Times New Roman" w:cs="Times New Roman" w:hint="eastAsia"/>
                <w:color w:val="000000"/>
                <w:kern w:val="0"/>
                <w:sz w:val="15"/>
                <w:szCs w:val="15"/>
                <w14:ligatures w14:val="none"/>
              </w:rPr>
              <w:instrText>如何促进肿瘤来源物质，特别是脂肪酸，向</w:instrText>
            </w:r>
            <w:r>
              <w:rPr>
                <w:rFonts w:ascii="Times New Roman" w:eastAsia="SimSun" w:hAnsi="Times New Roman" w:cs="Times New Roman" w:hint="eastAsia"/>
                <w:color w:val="000000"/>
                <w:kern w:val="0"/>
                <w:sz w:val="15"/>
                <w:szCs w:val="15"/>
                <w14:ligatures w14:val="none"/>
              </w:rPr>
              <w:instrText>TAMs</w:instrText>
            </w:r>
            <w:r>
              <w:rPr>
                <w:rFonts w:ascii="Times New Roman" w:eastAsia="SimSun" w:hAnsi="Times New Roman" w:cs="Times New Roman" w:hint="eastAsia"/>
                <w:color w:val="000000"/>
                <w:kern w:val="0"/>
                <w:sz w:val="15"/>
                <w:szCs w:val="15"/>
                <w14:ligatures w14:val="none"/>
              </w:rPr>
              <w:instrText>转移，从而影响巨噬细胞的极化和功能。单细胞</w:instrText>
            </w:r>
            <w:r>
              <w:rPr>
                <w:rFonts w:ascii="Times New Roman" w:eastAsia="SimSun" w:hAnsi="Times New Roman" w:cs="Times New Roman" w:hint="eastAsia"/>
                <w:color w:val="000000"/>
                <w:kern w:val="0"/>
                <w:sz w:val="15"/>
                <w:szCs w:val="15"/>
                <w14:ligatures w14:val="none"/>
              </w:rPr>
              <w:instrText>RNA</w:instrText>
            </w:r>
            <w:r>
              <w:rPr>
                <w:rFonts w:ascii="Times New Roman" w:eastAsia="SimSun" w:hAnsi="Times New Roman" w:cs="Times New Roman" w:hint="eastAsia"/>
                <w:color w:val="000000"/>
                <w:kern w:val="0"/>
                <w:sz w:val="15"/>
                <w:szCs w:val="15"/>
                <w14:ligatures w14:val="none"/>
              </w:rPr>
              <w:instrText>测序识别了</w:instrText>
            </w:r>
            <w:r>
              <w:rPr>
                <w:rFonts w:ascii="Times New Roman" w:eastAsia="SimSun" w:hAnsi="Times New Roman" w:cs="Times New Roman" w:hint="eastAsia"/>
                <w:color w:val="000000"/>
                <w:kern w:val="0"/>
                <w:sz w:val="15"/>
                <w:szCs w:val="15"/>
                <w14:ligatures w14:val="none"/>
              </w:rPr>
              <w:instrText>TME</w:instrText>
            </w:r>
            <w:r>
              <w:rPr>
                <w:rFonts w:ascii="Times New Roman" w:eastAsia="SimSun" w:hAnsi="Times New Roman" w:cs="Times New Roman" w:hint="eastAsia"/>
                <w:color w:val="000000"/>
                <w:kern w:val="0"/>
                <w:sz w:val="15"/>
                <w:szCs w:val="15"/>
                <w14:ligatures w14:val="none"/>
              </w:rPr>
              <w:instrText>中异质巨噬细胞亚群。富集分析确定了通过</w:instrText>
            </w:r>
            <w:r>
              <w:rPr>
                <w:rFonts w:ascii="Times New Roman" w:eastAsia="SimSun" w:hAnsi="Times New Roman" w:cs="Times New Roman" w:hint="eastAsia"/>
                <w:color w:val="000000"/>
                <w:kern w:val="0"/>
                <w:sz w:val="15"/>
                <w:szCs w:val="15"/>
                <w14:ligatures w14:val="none"/>
              </w:rPr>
              <w:instrText>TNT</w:instrText>
            </w:r>
            <w:r>
              <w:rPr>
                <w:rFonts w:ascii="Times New Roman" w:eastAsia="SimSun" w:hAnsi="Times New Roman" w:cs="Times New Roman" w:hint="eastAsia"/>
                <w:color w:val="000000"/>
                <w:kern w:val="0"/>
                <w:sz w:val="15"/>
                <w:szCs w:val="15"/>
                <w14:ligatures w14:val="none"/>
              </w:rPr>
              <w:instrText>转移的关键物质。脂质组学和代谢组学分析了相关脂肪酸。体外和体内实验验证了</w:instrText>
            </w:r>
            <w:r>
              <w:rPr>
                <w:rFonts w:ascii="Times New Roman" w:eastAsia="SimSun" w:hAnsi="Times New Roman" w:cs="Times New Roman" w:hint="eastAsia"/>
                <w:color w:val="000000"/>
                <w:kern w:val="0"/>
                <w:sz w:val="15"/>
                <w:szCs w:val="15"/>
                <w14:ligatures w14:val="none"/>
              </w:rPr>
              <w:instrText>TNT</w:instrText>
            </w:r>
            <w:r>
              <w:rPr>
                <w:rFonts w:ascii="Times New Roman" w:eastAsia="SimSun" w:hAnsi="Times New Roman" w:cs="Times New Roman" w:hint="eastAsia"/>
                <w:color w:val="000000"/>
                <w:kern w:val="0"/>
                <w:sz w:val="15"/>
                <w:szCs w:val="15"/>
                <w14:ligatures w14:val="none"/>
              </w:rPr>
              <w:instrText>介导的物质转移，转录组分析揭示了相关的信号通路。</w:instrText>
            </w:r>
            <w:r>
              <w:rPr>
                <w:rFonts w:ascii="Times New Roman" w:eastAsia="SimSun" w:hAnsi="Times New Roman" w:cs="Times New Roman" w:hint="eastAsia"/>
                <w:color w:val="000000"/>
                <w:kern w:val="0"/>
                <w:sz w:val="15"/>
                <w:szCs w:val="15"/>
                <w14:ligatures w14:val="none"/>
              </w:rPr>
              <w:instrText>TNT</w:instrText>
            </w:r>
            <w:r>
              <w:rPr>
                <w:rFonts w:ascii="Times New Roman" w:eastAsia="SimSun" w:hAnsi="Times New Roman" w:cs="Times New Roman" w:hint="eastAsia"/>
                <w:color w:val="000000"/>
                <w:kern w:val="0"/>
                <w:sz w:val="15"/>
                <w:szCs w:val="15"/>
                <w14:ligatures w14:val="none"/>
              </w:rPr>
              <w:instrText>是将肿瘤来源脂肪酸（尤其是花生四烯酸（</w:instrText>
            </w:r>
            <w:r>
              <w:rPr>
                <w:rFonts w:ascii="Times New Roman" w:eastAsia="SimSun" w:hAnsi="Times New Roman" w:cs="Times New Roman" w:hint="eastAsia"/>
                <w:color w:val="000000"/>
                <w:kern w:val="0"/>
                <w:sz w:val="15"/>
                <w:szCs w:val="15"/>
                <w14:ligatures w14:val="none"/>
              </w:rPr>
              <w:instrText>AA</w:instrText>
            </w:r>
            <w:r>
              <w:rPr>
                <w:rFonts w:ascii="Times New Roman" w:eastAsia="SimSun" w:hAnsi="Times New Roman" w:cs="Times New Roman" w:hint="eastAsia"/>
                <w:color w:val="000000"/>
                <w:kern w:val="0"/>
                <w:sz w:val="15"/>
                <w:szCs w:val="15"/>
                <w14:ligatures w14:val="none"/>
              </w:rPr>
              <w:instrText>）转移到巨噬细胞的主要途径。该转移将抗肿瘤</w:instrText>
            </w:r>
            <w:r>
              <w:rPr>
                <w:rFonts w:ascii="Times New Roman" w:eastAsia="SimSun" w:hAnsi="Times New Roman" w:cs="Times New Roman" w:hint="eastAsia"/>
                <w:color w:val="000000"/>
                <w:kern w:val="0"/>
                <w:sz w:val="15"/>
                <w:szCs w:val="15"/>
                <w14:ligatures w14:val="none"/>
              </w:rPr>
              <w:instrText>CD5L</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）的</w:instrText>
            </w:r>
            <w:r>
              <w:rPr>
                <w:rFonts w:ascii="Times New Roman" w:eastAsia="SimSun" w:hAnsi="Times New Roman" w:cs="Times New Roman" w:hint="eastAsia"/>
                <w:color w:val="000000"/>
                <w:kern w:val="0"/>
                <w:sz w:val="15"/>
                <w:szCs w:val="15"/>
                <w14:ligatures w14:val="none"/>
              </w:rPr>
              <w:instrText>TAMs</w:instrText>
            </w:r>
            <w:r>
              <w:rPr>
                <w:rFonts w:ascii="Times New Roman" w:eastAsia="SimSun" w:hAnsi="Times New Roman" w:cs="Times New Roman" w:hint="eastAsia"/>
                <w:color w:val="000000"/>
                <w:kern w:val="0"/>
                <w:sz w:val="15"/>
                <w:szCs w:val="15"/>
                <w14:ligatures w14:val="none"/>
              </w:rPr>
              <w:instrText>重新编程为前肿瘤</w:instrText>
            </w:r>
            <w:r>
              <w:rPr>
                <w:rFonts w:ascii="Times New Roman" w:eastAsia="SimSun" w:hAnsi="Times New Roman" w:cs="Times New Roman" w:hint="eastAsia"/>
                <w:color w:val="000000"/>
                <w:kern w:val="0"/>
                <w:sz w:val="15"/>
                <w:szCs w:val="15"/>
                <w14:ligatures w14:val="none"/>
              </w:rPr>
              <w:instrText>TREM2</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）表型，增加</w:instrText>
            </w:r>
            <w:r>
              <w:rPr>
                <w:rFonts w:ascii="Times New Roman" w:eastAsia="SimSun" w:hAnsi="Times New Roman" w:cs="Times New Roman" w:hint="eastAsia"/>
                <w:color w:val="000000"/>
                <w:kern w:val="0"/>
                <w:sz w:val="15"/>
                <w:szCs w:val="15"/>
                <w14:ligatures w14:val="none"/>
              </w:rPr>
              <w:instrText>CCL18</w:instrText>
            </w:r>
            <w:r>
              <w:rPr>
                <w:rFonts w:ascii="Times New Roman" w:eastAsia="SimSun" w:hAnsi="Times New Roman" w:cs="Times New Roman" w:hint="eastAsia"/>
                <w:color w:val="000000"/>
                <w:kern w:val="0"/>
                <w:sz w:val="15"/>
                <w:szCs w:val="15"/>
                <w14:ligatures w14:val="none"/>
              </w:rPr>
              <w:instrText>分泌，降低吞噬活性，并损害</w:instrText>
            </w:r>
            <w:r>
              <w:rPr>
                <w:rFonts w:ascii="Times New Roman" w:eastAsia="SimSun" w:hAnsi="Times New Roman" w:cs="Times New Roman" w:hint="eastAsia"/>
                <w:color w:val="000000"/>
                <w:kern w:val="0"/>
                <w:sz w:val="15"/>
                <w:szCs w:val="15"/>
                <w14:ligatures w14:val="none"/>
              </w:rPr>
              <w:instrText>CD8</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T</w:instrText>
            </w:r>
            <w:r>
              <w:rPr>
                <w:rFonts w:ascii="Times New Roman" w:eastAsia="SimSun" w:hAnsi="Times New Roman" w:cs="Times New Roman" w:hint="eastAsia"/>
                <w:color w:val="000000"/>
                <w:kern w:val="0"/>
                <w:sz w:val="15"/>
                <w:szCs w:val="15"/>
                <w14:ligatures w14:val="none"/>
              </w:rPr>
              <w:instrText>细胞增殖。机制上，</w:instrText>
            </w:r>
            <w:r>
              <w:rPr>
                <w:rFonts w:ascii="Times New Roman" w:eastAsia="SimSun" w:hAnsi="Times New Roman" w:cs="Times New Roman" w:hint="eastAsia"/>
                <w:color w:val="000000"/>
                <w:kern w:val="0"/>
                <w:sz w:val="15"/>
                <w:szCs w:val="15"/>
                <w14:ligatures w14:val="none"/>
              </w:rPr>
              <w:instrText>AA</w:instrText>
            </w:r>
            <w:r>
              <w:rPr>
                <w:rFonts w:ascii="Times New Roman" w:eastAsia="SimSun" w:hAnsi="Times New Roman" w:cs="Times New Roman" w:hint="eastAsia"/>
                <w:color w:val="000000"/>
                <w:kern w:val="0"/>
                <w:sz w:val="15"/>
                <w:szCs w:val="15"/>
                <w14:ligatures w14:val="none"/>
              </w:rPr>
              <w:instrText>激活了</w:instrText>
            </w:r>
            <w:r>
              <w:rPr>
                <w:rFonts w:ascii="Times New Roman" w:eastAsia="SimSun" w:hAnsi="Times New Roman" w:cs="Times New Roman" w:hint="eastAsia"/>
                <w:color w:val="000000"/>
                <w:kern w:val="0"/>
                <w:sz w:val="15"/>
                <w:szCs w:val="15"/>
                <w14:ligatures w14:val="none"/>
              </w:rPr>
              <w:instrText>PI3K-AKT</w:instrText>
            </w:r>
            <w:r>
              <w:rPr>
                <w:rFonts w:ascii="Times New Roman" w:eastAsia="SimSun" w:hAnsi="Times New Roman" w:cs="Times New Roman" w:hint="eastAsia"/>
                <w:color w:val="000000"/>
                <w:kern w:val="0"/>
                <w:sz w:val="15"/>
                <w:szCs w:val="15"/>
                <w14:ligatures w14:val="none"/>
              </w:rPr>
              <w:instrText>通路，驱动</w:instrText>
            </w:r>
            <w:r>
              <w:rPr>
                <w:rFonts w:ascii="Times New Roman" w:eastAsia="SimSun" w:hAnsi="Times New Roman" w:cs="Times New Roman" w:hint="eastAsia"/>
                <w:color w:val="000000"/>
                <w:kern w:val="0"/>
                <w:sz w:val="15"/>
                <w:szCs w:val="15"/>
                <w14:ligatures w14:val="none"/>
              </w:rPr>
              <w:instrText>TAM</w:instrText>
            </w:r>
            <w:r>
              <w:rPr>
                <w:rFonts w:ascii="Times New Roman" w:eastAsia="SimSun" w:hAnsi="Times New Roman" w:cs="Times New Roman" w:hint="eastAsia"/>
                <w:color w:val="000000"/>
                <w:kern w:val="0"/>
                <w:sz w:val="15"/>
                <w:szCs w:val="15"/>
                <w14:ligatures w14:val="none"/>
              </w:rPr>
              <w:instrText>的极化。这些发现在异种移植模型中得到证实，</w:instrText>
            </w:r>
            <w:r>
              <w:rPr>
                <w:rFonts w:ascii="Times New Roman" w:eastAsia="SimSun" w:hAnsi="Times New Roman" w:cs="Times New Roman" w:hint="eastAsia"/>
                <w:color w:val="000000"/>
                <w:kern w:val="0"/>
                <w:sz w:val="15"/>
                <w:szCs w:val="15"/>
                <w14:ligatures w14:val="none"/>
              </w:rPr>
              <w:instrText>TNT</w:instrText>
            </w:r>
            <w:r>
              <w:rPr>
                <w:rFonts w:ascii="Times New Roman" w:eastAsia="SimSun" w:hAnsi="Times New Roman" w:cs="Times New Roman" w:hint="eastAsia"/>
                <w:color w:val="000000"/>
                <w:kern w:val="0"/>
                <w:sz w:val="15"/>
                <w:szCs w:val="15"/>
                <w14:ligatures w14:val="none"/>
              </w:rPr>
              <w:instrText>诱导的</w:instrText>
            </w:r>
            <w:r>
              <w:rPr>
                <w:rFonts w:ascii="Times New Roman" w:eastAsia="SimSun" w:hAnsi="Times New Roman" w:cs="Times New Roman" w:hint="eastAsia"/>
                <w:color w:val="000000"/>
                <w:kern w:val="0"/>
                <w:sz w:val="15"/>
                <w:szCs w:val="15"/>
                <w14:ligatures w14:val="none"/>
              </w:rPr>
              <w:instrText>TAM</w:instrText>
            </w:r>
            <w:r>
              <w:rPr>
                <w:rFonts w:ascii="Times New Roman" w:eastAsia="SimSun" w:hAnsi="Times New Roman" w:cs="Times New Roman" w:hint="eastAsia"/>
                <w:color w:val="000000"/>
                <w:kern w:val="0"/>
                <w:sz w:val="15"/>
                <w:szCs w:val="15"/>
                <w14:ligatures w14:val="none"/>
              </w:rPr>
              <w:instrText>表现出增强的促肿瘤特性。</w:instrText>
            </w:r>
            <w:r>
              <w:rPr>
                <w:rFonts w:ascii="Times New Roman" w:eastAsia="SimSun" w:hAnsi="Times New Roman" w:cs="Times New Roman" w:hint="eastAsia"/>
                <w:color w:val="000000"/>
                <w:kern w:val="0"/>
                <w:sz w:val="15"/>
                <w:szCs w:val="15"/>
                <w14:ligatures w14:val="none"/>
              </w:rPr>
              <w:instrText>TNT</w:instrText>
            </w:r>
            <w:r>
              <w:rPr>
                <w:rFonts w:ascii="Times New Roman" w:eastAsia="SimSun" w:hAnsi="Times New Roman" w:cs="Times New Roman" w:hint="eastAsia"/>
                <w:color w:val="000000"/>
                <w:kern w:val="0"/>
                <w:sz w:val="15"/>
                <w:szCs w:val="15"/>
                <w14:ligatures w14:val="none"/>
              </w:rPr>
              <w:instrText>介导的肿瘤来源</w:instrText>
            </w:r>
            <w:r>
              <w:rPr>
                <w:rFonts w:ascii="Times New Roman" w:eastAsia="SimSun" w:hAnsi="Times New Roman" w:cs="Times New Roman" w:hint="eastAsia"/>
                <w:color w:val="000000"/>
                <w:kern w:val="0"/>
                <w:sz w:val="15"/>
                <w:szCs w:val="15"/>
                <w14:ligatures w14:val="none"/>
              </w:rPr>
              <w:instrText>AA</w:instrText>
            </w:r>
            <w:r>
              <w:rPr>
                <w:rFonts w:ascii="Times New Roman" w:eastAsia="SimSun" w:hAnsi="Times New Roman" w:cs="Times New Roman" w:hint="eastAsia"/>
                <w:color w:val="000000"/>
                <w:kern w:val="0"/>
                <w:sz w:val="15"/>
                <w:szCs w:val="15"/>
                <w14:ligatures w14:val="none"/>
              </w:rPr>
              <w:instrText>通过</w:instrText>
            </w:r>
            <w:r>
              <w:rPr>
                <w:rFonts w:ascii="Times New Roman" w:eastAsia="SimSun" w:hAnsi="Times New Roman" w:cs="Times New Roman" w:hint="eastAsia"/>
                <w:color w:val="000000"/>
                <w:kern w:val="0"/>
                <w:sz w:val="15"/>
                <w:szCs w:val="15"/>
                <w14:ligatures w14:val="none"/>
              </w:rPr>
              <w:instrText>PI3K-AKT</w:instrText>
            </w:r>
            <w:r>
              <w:rPr>
                <w:rFonts w:ascii="Times New Roman" w:eastAsia="SimSun" w:hAnsi="Times New Roman" w:cs="Times New Roman" w:hint="eastAsia"/>
                <w:color w:val="000000"/>
                <w:kern w:val="0"/>
                <w:sz w:val="15"/>
                <w:szCs w:val="15"/>
                <w14:ligatures w14:val="none"/>
              </w:rPr>
              <w:instrText>激活重编程</w:instrText>
            </w:r>
            <w:r>
              <w:rPr>
                <w:rFonts w:ascii="Times New Roman" w:eastAsia="SimSun" w:hAnsi="Times New Roman" w:cs="Times New Roman" w:hint="eastAsia"/>
                <w:color w:val="000000"/>
                <w:kern w:val="0"/>
                <w:sz w:val="15"/>
                <w:szCs w:val="15"/>
                <w14:ligatures w14:val="none"/>
              </w:rPr>
              <w:instrText>TAMs</w:instrText>
            </w:r>
            <w:r>
              <w:rPr>
                <w:rFonts w:ascii="Times New Roman" w:eastAsia="SimSun" w:hAnsi="Times New Roman" w:cs="Times New Roman" w:hint="eastAsia"/>
                <w:color w:val="000000"/>
                <w:kern w:val="0"/>
                <w:sz w:val="15"/>
                <w:szCs w:val="15"/>
                <w14:ligatures w14:val="none"/>
              </w:rPr>
              <w:instrText>，促进免疫抑制和肿瘤进展，凸显</w:instrText>
            </w:r>
            <w:r>
              <w:rPr>
                <w:rFonts w:ascii="Times New Roman" w:eastAsia="SimSun" w:hAnsi="Times New Roman" w:cs="Times New Roman" w:hint="eastAsia"/>
                <w:color w:val="000000"/>
                <w:kern w:val="0"/>
                <w:sz w:val="15"/>
                <w:szCs w:val="15"/>
                <w14:ligatures w14:val="none"/>
              </w:rPr>
              <w:instrText>TNT</w:instrText>
            </w:r>
            <w:r>
              <w:rPr>
                <w:rFonts w:ascii="Times New Roman" w:eastAsia="SimSun" w:hAnsi="Times New Roman" w:cs="Times New Roman" w:hint="eastAsia"/>
                <w:color w:val="000000"/>
                <w:kern w:val="0"/>
                <w:sz w:val="15"/>
                <w:szCs w:val="15"/>
                <w14:ligatures w14:val="none"/>
              </w:rPr>
              <w:instrText>和</w:instrText>
            </w:r>
            <w:r>
              <w:rPr>
                <w:rFonts w:ascii="Times New Roman" w:eastAsia="SimSun" w:hAnsi="Times New Roman" w:cs="Times New Roman" w:hint="eastAsia"/>
                <w:color w:val="000000"/>
                <w:kern w:val="0"/>
                <w:sz w:val="15"/>
                <w:szCs w:val="15"/>
                <w14:ligatures w14:val="none"/>
              </w:rPr>
              <w:instrText>PI3K-AKT</w:instrText>
            </w:r>
            <w:r>
              <w:rPr>
                <w:rFonts w:ascii="Times New Roman" w:eastAsia="SimSun" w:hAnsi="Times New Roman" w:cs="Times New Roman" w:hint="eastAsia"/>
                <w:color w:val="000000"/>
                <w:kern w:val="0"/>
                <w:sz w:val="15"/>
                <w:szCs w:val="15"/>
                <w14:ligatures w14:val="none"/>
              </w:rPr>
              <w:instrText>作为</w:instrText>
            </w:r>
            <w:r>
              <w:rPr>
                <w:rFonts w:ascii="Times New Roman" w:eastAsia="SimSun" w:hAnsi="Times New Roman" w:cs="Times New Roman" w:hint="eastAsia"/>
                <w:color w:val="000000"/>
                <w:kern w:val="0"/>
                <w:sz w:val="15"/>
                <w:szCs w:val="15"/>
                <w14:ligatures w14:val="none"/>
              </w:rPr>
              <w:instrText>iCCA</w:instrText>
            </w:r>
            <w:r>
              <w:rPr>
                <w:rFonts w:ascii="Times New Roman" w:eastAsia="SimSun" w:hAnsi="Times New Roman" w:cs="Times New Roman" w:hint="eastAsia"/>
                <w:color w:val="000000"/>
                <w:kern w:val="0"/>
                <w:sz w:val="15"/>
                <w:szCs w:val="15"/>
                <w14:ligatures w14:val="none"/>
              </w:rPr>
              <w:instrText>潜在治疗靶点。</w:instrText>
            </w:r>
            <w:r>
              <w:rPr>
                <w:rFonts w:ascii="Times New Roman" w:eastAsia="SimSun" w:hAnsi="Times New Roman" w:cs="Times New Roman" w:hint="eastAsia"/>
                <w:color w:val="000000"/>
                <w:kern w:val="0"/>
                <w:sz w:val="15"/>
                <w:szCs w:val="15"/>
                <w14:ligatures w14:val="none"/>
              </w:rPr>
              <w:instrText>","page":"e00148","PMID":"40552574","PMCID":"PMC12462918","title":"Role of Tunneling Na</w:instrText>
            </w:r>
            <w:r>
              <w:rPr>
                <w:rFonts w:ascii="Times New Roman" w:eastAsia="SimSun" w:hAnsi="Times New Roman" w:cs="Times New Roman"/>
                <w:color w:val="000000"/>
                <w:kern w:val="0"/>
                <w:sz w:val="15"/>
                <w:szCs w:val="15"/>
                <w14:ligatures w14:val="none"/>
              </w:rPr>
              <w:instrText xml:space="preserve">notubes in Arachidonic Acid Transfer and Macrophage Function Reprogramming in Intrahepatic Cholangiocarcinoma.","volume":"12","author":[{"family":"Chen","given":"Meiru"},{"family":"Zhao","given":"Shangyumeng"},{"family":"Xie","given":"Xiaoli"},{"family":"Wang","given":"Jiaqi"},{"family":"Su","given":"Miao"},{"family":"Zhang","given":"Lixian"},{"family":"Cui","given":"Ruolin"},{"family":"Zhao","given":"Dongqiang"}],"issued":{"date-parts":[["2025",9]]}}}],"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[2]</w:t>
            </w:r>
            <w:r>
              <w:rPr>
                <w:rFonts w:ascii="Times New Roman" w:eastAsia="SimSun" w:hAnsi="Times New Roman" w:cs="Times New Roman"/>
                <w:color w:val="000000"/>
                <w:kern w:val="0"/>
                <w:sz w:val="15"/>
                <w:szCs w:val="15"/>
                <w14:ligatures w14:val="none"/>
              </w:rPr>
              <w:fldChar w:fldCharType="end"/>
            </w:r>
          </w:p>
        </w:tc>
      </w:tr>
      <w:tr w:rsidR="00427052" w:rsidRPr="00186A4D" w14:paraId="42A246EF" w14:textId="77777777" w:rsidTr="00281326">
        <w:trPr>
          <w:trHeight w:val="171"/>
        </w:trPr>
        <w:tc>
          <w:tcPr>
            <w:tcW w:w="3754" w:type="dxa"/>
            <w:vAlign w:val="center"/>
            <w:hideMark/>
          </w:tcPr>
          <w:p w14:paraId="2B2CDDBB"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Leukotriene and 5-lipoxygenase activation</w:t>
            </w:r>
          </w:p>
        </w:tc>
        <w:tc>
          <w:tcPr>
            <w:tcW w:w="3402" w:type="dxa"/>
            <w:vAlign w:val="center"/>
            <w:hideMark/>
          </w:tcPr>
          <w:p w14:paraId="73432A1E"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Promotes CCA cell proliferation and migration through Akt-related signaling; provides a potential anti-leukotriene therapeutic target</w:t>
            </w:r>
          </w:p>
        </w:tc>
        <w:tc>
          <w:tcPr>
            <w:tcW w:w="2591" w:type="dxa"/>
            <w:vAlign w:val="center"/>
            <w:hideMark/>
          </w:tcPr>
          <w:p w14:paraId="72B3C345"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CCA cell-line experiments and preclinical pharmacological inhibition</w:t>
            </w:r>
          </w:p>
        </w:tc>
        <w:tc>
          <w:tcPr>
            <w:tcW w:w="851" w:type="dxa"/>
            <w:vAlign w:val="center"/>
            <w:hideMark/>
          </w:tcPr>
          <w:p w14:paraId="7557305D" w14:textId="28AB3AC1"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w:t>
            </w:r>
          </w:p>
        </w:tc>
        <w:tc>
          <w:tcPr>
            <w:tcW w:w="810" w:type="dxa"/>
            <w:vAlign w:val="center"/>
            <w:hideMark/>
          </w:tcPr>
          <w:p w14:paraId="2CE75B32" w14:textId="3F17F078"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Oh1uhG4Y","properties":{"unsorted":false,"formattedCitation":"[3,4]","plainCitation":"[3,4]","noteIndex":0},"citationItems":[{"id":210,"uris":["http://zotero.org/users/18222353/items/HXATBEF8"],"itemData":{"id":210,"type":"article-journal","abstract":"Cholangiocarcinoma (CCA) is a cancer with a poor prognosis due to difficulties in diagnosis and limited treatment options, highlighting the urgent need for new  targeted therapies. In a clinical setting, we found that leukotriene levels in  bile were higher than in serum. Immunohistochemical analysis of surgically  resected samples also revealed that CysLT receptor 1 (CysLTR1) was more highly  expressed in CCA than in normal bile duct tissue, prompting us to investigate  leukotriene as a potential therapeutic target in CCA. In vitro studies using CCA  cell lines expressing CysLTR1 showed that leukotriene D4, a major ligand of  CysLTR1, promoted cell proliferation, with increased phosphorylation of AKT and  extracellular signal-regulated kinase 1/2 (ERK1/2). Additionally, treatment with  two clinically available anti-allergic drugs-zileuton, an inhibitor of CysLT  formation, and montelukast, a CysLTR1 inhibitor-had inhibitory effects on cell  proliferation and migratory capacity, accompanied by the reduced phosphorylation  of AKT and ERK1/2. Furthermore, the simultaneous administration of both drugs  synergistically enhanced the inhibitory effect on cell proliferation. Our study  suggests that use of these drugs may represent a novel approach to treat CCA  through drug repositioning.","container-title":"Molecules (Basel, Switzerland)","DOI":"10.3390/molecules29143379","ISSN":"1420-3049","issue":"14","journalAbbreviation":"Molecules","language":"en-US","note":"pub</w:instrText>
            </w:r>
            <w:r>
              <w:rPr>
                <w:rFonts w:ascii="Times New Roman" w:eastAsia="SimSun" w:hAnsi="Times New Roman" w:cs="Times New Roman" w:hint="eastAsia"/>
                <w:color w:val="000000"/>
                <w:kern w:val="0"/>
                <w:sz w:val="15"/>
                <w:szCs w:val="15"/>
                <w14:ligatures w14:val="none"/>
              </w:rPr>
              <w:instrText xml:space="preserve">lisher-place: Switzerland\ntitleTranslation: </w:instrText>
            </w:r>
            <w:r>
              <w:rPr>
                <w:rFonts w:ascii="Times New Roman" w:eastAsia="SimSun" w:hAnsi="Times New Roman" w:cs="Times New Roman" w:hint="eastAsia"/>
                <w:color w:val="000000"/>
                <w:kern w:val="0"/>
                <w:sz w:val="15"/>
                <w:szCs w:val="15"/>
                <w14:ligatures w14:val="none"/>
              </w:rPr>
              <w:instrText>抗白三烯药物作为抑制胆管癌进展的新治疗剂的潜力。</w:instrText>
            </w:r>
            <w:r>
              <w:rPr>
                <w:rFonts w:ascii="Times New Roman" w:eastAsia="SimSun" w:hAnsi="Times New Roman" w:cs="Times New Roman" w:hint="eastAsia"/>
                <w:color w:val="000000"/>
                <w:kern w:val="0"/>
                <w:sz w:val="15"/>
                <w:szCs w:val="15"/>
                <w14:ligatures w14:val="none"/>
              </w:rPr>
              <w:instrText>\nTLDR: This study found that leukotriene levels in bile were higher than in serum, and treatment with two clinically available anti-allergic drugs had inhibitory effects on cell prolife</w:instrText>
            </w:r>
            <w:r>
              <w:rPr>
                <w:rFonts w:ascii="Times New Roman" w:eastAsia="SimSun" w:hAnsi="Times New Roman" w:cs="Times New Roman"/>
                <w:color w:val="000000"/>
                <w:kern w:val="0"/>
                <w:sz w:val="15"/>
                <w:szCs w:val="15"/>
                <w14:ligatures w14:val="none"/>
              </w:rPr>
              <w:instrText>ration and migratory capacity, accompanied by the reduced phosphorylation of AKT and ERK1/2.","PMID":"39064957","PMCID":"PMC11280175","title":"Potential of Anti-Leukotriene Drugs as New Therapeutic Agents for Inhibiting Cholangiocarcinoma Progression.","volume":"29","author":[{"family":"Kito","given":"Yusuke"},{"family":"Kachi","given":"Kenta"},{"family":"Yoshida","given":"Michihiro"},{"family":"Hori","given":"Yasuki"},{"family":"Kato","given":"Akihisa"},{"family":"Sahashi","given":"Hidenori"},{"family":"Toyohara","given":"Tadashi"},{"family":"Kuno","given":"Kayoko"},{"family":"Adachi","given":"Akihisa"},{"family":"Urakabe","given":"Kenji"},{"family":"Kataoka","given":"Hiromi"}],"issued":{"date-parts":[["2024",7,18]]}}},{"id":283,"uris":["http://zotero.org/users/18222353/items/V87N8446"],"itemData":{"id":283,"type":"article-journal","abstract":"BACKGROUND: Inflammatory lipid mediators play an important role in several cancer types. Leukotrienes (LTs), pro-inflammatory lipid mediators, are involved in  chronic inflammation and cancer progression. They are derived from arachidonic  acid by 5-lipoxygenase (5-LOX) activity. On the other hand, 15-lipoxygenase  (15-LOX-1) converts LTs into lipoxins (LXs), pro-resolving lipid mediators. LXs  are involved in the attenuation of inflammation and cancer development. PURPOSE:  We aimed to investigate the lipid mediator pathways, especially the LTs and LXs  pathways, by studying 5-LOX and 15-LOX-1 expression in human cholangiocarcinoma  (CCA) tissue. We also investigated the efficiency of zileuton (5-LOX inhibitor)  treatment and BML-111 (LXA4 analog) addition on CCA cell lines properties.  PATIENTS AND METHODS: The expression of 5-LOX and 15-LOX-1 in fifty human  cholangiocarcinoma (CCA) tissue was analyzed using immunohistochemical staining.  In addition, the effect of zileuton and BML-111 on CCA cell growth and migration  was demonstrated using a cell viability assay and wound-healing assay,  respectively. Furthermore, the molecular mechanism by which zileuton inhibits CCA  cell migration was revealed using immunofluorescent staining and western blot  analysis, respectively. RESULTS: We demonstrate that the upregulation of 5-LOX is  significantly correlated with CCA recurrent status. A positive 15-LOX-1 signal  was significantly associated with a longer survival time in CCA patients. We  found that co-expression of 5-LOX and 15-LOX-1 resulted in a relatively good  prognosis in CCA patients. In addition, zileuton could inhibit CCA cell migration  as well as BML-111. Interestingly, zileuton treatment not only downregulated  5-LOX, but also upregulated 15-LOX-1, together with reversing the  epithelial-mesenchymal transition to mesenchymal-epithelial transition phenotype  as observed in EMT marker western blot. CONCLUSION: These findings suggest that  5-LOX and 15-LOX-1 play a key role in CCA and may serve as targets for CCA  therapy.","container-title":"OncoTargets and therapy","DOI":"10.2147/OTT.S178942","ISSN":"1178-6930","journalAbbreviation":"Onco Targets Ther","l</w:instrText>
            </w:r>
            <w:r>
              <w:rPr>
                <w:rFonts w:ascii="Times New Roman" w:eastAsia="SimSun" w:hAnsi="Times New Roman" w:cs="Times New Roman" w:hint="eastAsia"/>
                <w:color w:val="000000"/>
                <w:kern w:val="0"/>
                <w:sz w:val="15"/>
                <w:szCs w:val="15"/>
                <w14:ligatures w14:val="none"/>
              </w:rPr>
              <w:instrText xml:space="preserve">anguage":"en-US","note":"publisher-place: New Zealand\ntitleTranslation: Zileuton </w:instrText>
            </w:r>
            <w:r>
              <w:rPr>
                <w:rFonts w:ascii="Times New Roman" w:eastAsia="SimSun" w:hAnsi="Times New Roman" w:cs="Times New Roman" w:hint="eastAsia"/>
                <w:color w:val="000000"/>
                <w:kern w:val="0"/>
                <w:sz w:val="15"/>
                <w:szCs w:val="15"/>
                <w14:ligatures w14:val="none"/>
              </w:rPr>
              <w:instrText>通过抑制</w:instrText>
            </w:r>
            <w:r>
              <w:rPr>
                <w:rFonts w:ascii="Times New Roman" w:eastAsia="SimSun" w:hAnsi="Times New Roman" w:cs="Times New Roman" w:hint="eastAsia"/>
                <w:color w:val="000000"/>
                <w:kern w:val="0"/>
                <w:sz w:val="15"/>
                <w:szCs w:val="15"/>
                <w14:ligatures w14:val="none"/>
              </w:rPr>
              <w:instrText xml:space="preserve"> Akt </w:instrText>
            </w:r>
            <w:r>
              <w:rPr>
                <w:rFonts w:ascii="Times New Roman" w:eastAsia="SimSun" w:hAnsi="Times New Roman" w:cs="Times New Roman" w:hint="eastAsia"/>
                <w:color w:val="000000"/>
                <w:kern w:val="0"/>
                <w:sz w:val="15"/>
                <w:szCs w:val="15"/>
                <w14:ligatures w14:val="none"/>
              </w:rPr>
              <w:instrText>信号通路抑制胆管癌细胞增殖和迁移。</w:instrText>
            </w:r>
            <w:r>
              <w:rPr>
                <w:rFonts w:ascii="Times New Roman" w:eastAsia="SimSun" w:hAnsi="Times New Roman" w:cs="Times New Roman" w:hint="eastAsia"/>
                <w:color w:val="000000"/>
                <w:kern w:val="0"/>
                <w:sz w:val="15"/>
                <w:szCs w:val="15"/>
                <w14:ligatures w14:val="none"/>
              </w:rPr>
              <w:instrText xml:space="preserve">\nTLDR: It is found that co-expression of 5-LOX and 15- LOX-1 resulted in a relatively good prognosis in CCA patients and may serve as targets for </w:instrText>
            </w:r>
            <w:r>
              <w:rPr>
                <w:rFonts w:ascii="Times New Roman" w:eastAsia="SimSun" w:hAnsi="Times New Roman" w:cs="Times New Roman"/>
                <w:color w:val="000000"/>
                <w:kern w:val="0"/>
                <w:sz w:val="15"/>
                <w:szCs w:val="15"/>
                <w14:ligatures w14:val="none"/>
              </w:rPr>
              <w:instrText xml:space="preserve">CCA therapy.","page":"7019-7029","PMID":"30410359","PMCID":"PMC6198876","title":"Zileuton suppresses cholangiocarcinoma cell proliferation and migration through inhibition of the Akt signaling pathway.","volume":"11","author":[{"family":"Khophai","given":"Sasikamon"},{"family":"Thanee","given":"Malinee"},{"family":"Techasen","given":"Anchalee"},{"family":"Namwat","given":"Nisana"},{"family":"Klanrit","given":"Poramate"},{"family":"Titapun","given":"Attapol"},{"family":"Jarearnrat","given":"Apiwat"},{"family":"Sa-Ngiamwibool","given":"Prakasit"},{"family":"Loilome","given":"Watcharin"}],"issued":{"date-parts":[["2018"]]}}}],"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[3,4]</w:t>
            </w:r>
            <w:r>
              <w:rPr>
                <w:rFonts w:ascii="Times New Roman" w:eastAsia="SimSun" w:hAnsi="Times New Roman" w:cs="Times New Roman"/>
                <w:color w:val="000000"/>
                <w:kern w:val="0"/>
                <w:sz w:val="15"/>
                <w:szCs w:val="15"/>
                <w14:ligatures w14:val="none"/>
              </w:rPr>
              <w:fldChar w:fldCharType="end"/>
            </w:r>
          </w:p>
        </w:tc>
      </w:tr>
      <w:tr w:rsidR="00427052" w:rsidRPr="00186A4D" w14:paraId="089D3E4B" w14:textId="77777777" w:rsidTr="00281326">
        <w:trPr>
          <w:trHeight w:val="79"/>
        </w:trPr>
        <w:tc>
          <w:tcPr>
            <w:tcW w:w="3754" w:type="dxa"/>
            <w:vAlign w:val="center"/>
            <w:hideMark/>
          </w:tcPr>
          <w:p w14:paraId="0E692075"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PGE2 accumulation and impaired PGE2 degradation</w:t>
            </w:r>
          </w:p>
        </w:tc>
        <w:tc>
          <w:tcPr>
            <w:tcW w:w="3402" w:type="dxa"/>
            <w:vAlign w:val="center"/>
            <w:hideMark/>
          </w:tcPr>
          <w:p w14:paraId="720EEFD5"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Promotes cholangiocarcinoma cell proliferation, migration, invasion, stemness, and β-catenin-related signaling</w:t>
            </w:r>
          </w:p>
        </w:tc>
        <w:tc>
          <w:tcPr>
            <w:tcW w:w="2591" w:type="dxa"/>
            <w:vAlign w:val="center"/>
            <w:hideMark/>
          </w:tcPr>
          <w:p w14:paraId="4213BB9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Cell-based mechanistic studies; bile </w:t>
            </w:r>
            <w:proofErr w:type="spellStart"/>
            <w:r w:rsidRPr="00186A4D">
              <w:rPr>
                <w:rFonts w:ascii="Times New Roman" w:eastAsia="SimSun" w:hAnsi="Times New Roman" w:cs="Times New Roman"/>
                <w:color w:val="000000"/>
                <w:kern w:val="0"/>
                <w:sz w:val="15"/>
                <w:szCs w:val="15"/>
                <w14:ligatures w14:val="none"/>
              </w:rPr>
              <w:t>exosomal</w:t>
            </w:r>
            <w:proofErr w:type="spellEnd"/>
            <w:r w:rsidRPr="00186A4D">
              <w:rPr>
                <w:rFonts w:ascii="Times New Roman" w:eastAsia="SimSun" w:hAnsi="Times New Roman" w:cs="Times New Roman"/>
                <w:color w:val="000000"/>
                <w:kern w:val="0"/>
                <w:sz w:val="15"/>
                <w:szCs w:val="15"/>
                <w14:ligatures w14:val="none"/>
              </w:rPr>
              <w:t xml:space="preserve"> miRNA study linked to HPGD/PGE2 regulation</w:t>
            </w:r>
          </w:p>
        </w:tc>
        <w:tc>
          <w:tcPr>
            <w:tcW w:w="851" w:type="dxa"/>
            <w:vAlign w:val="center"/>
            <w:hideMark/>
          </w:tcPr>
          <w:p w14:paraId="0A10310D" w14:textId="4BF9C179"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B–C</w:t>
            </w:r>
          </w:p>
        </w:tc>
        <w:tc>
          <w:tcPr>
            <w:tcW w:w="810" w:type="dxa"/>
            <w:vAlign w:val="center"/>
            <w:hideMark/>
          </w:tcPr>
          <w:p w14:paraId="2A36851C" w14:textId="6F9057CF"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{"citationID":"UL1vqyhC","properties":{"unsorted":false,"formattedCitation":"[5,6]","plainCitation":"[5,6]","noteIndex":0},"citationItems":[{"id":1781,"uris":["http://zotero.org/users/18222353/items/RUP2QYZH"],"itemData":{"id":1781,"type":"article-journal","abstract":"Background &amp; Aims: Cholangiocarcinoma (CCA) is a highly lethal malignancy originating from the biliary ducts. Current CCA diagnostic and prognostic assessments cannot satisfy the clinical requirement. Bile detection is rarely performed, and herein, we aim to estimate the clinical significance of bile liquid biopsy by assessing bile exosomal concentrations and components. Approach &amp; Results: Exosomes in bile and sera from CCA, pancreatic cancer, and common bile duct stone were identified and quantified by transmission electronmicroscopy, nanoparticle tracking analysis, and nanoFCM. Exosomal components were assessed by liquid chromatography with tandem mass spectrometry and microRNA sequencing (miRNA-seq). Bile exosomal concentration in different diseases had no significant difference, but miR-182-5p and miR-1835p were ectopically upregulated in CCA bile exosomes. High miR-182/183-5p in both CCA tissues and bile indicates a poor prognosis. Bile exosomal miR-182/183-5p is secreted by CCA cells and can be absorbed by biliary epithelium or CCA cells. With xenografts in humanized mice, we showed that bile exosomal miR-182/183-5p promotes CCA proliferation, invasion, and epithelial-mesenchymal transition (EMT) by targeting hydroxyprostaglandin dehydrogenase in CCA cells and mast cells (MCs), and increasing prostaglandin E2 generation, which stimulates PTGER1 and increases CCA stemness. In single-cell mRNAseq, hydroxyprostaglandin dehydrogenase is predominantly expressed in MCs. miR-182/183-5p prompts MC to release VEGF-A release from MC by increasing VEGF-A expression, which facilitates angiogenesis.","container-title":"Hepatology","DOI":"10.1097/HEP.0000000000000437","ISSN":"0270-9139","issue":"2","journalAbbreviation":"Hepatology","language":"en","page":"307-322","source":"DOI.org (Crossref)","title":"Bile exosomal miR-182/183-5p increases cholangiocarcinoma stemness and progression by targeting HPGD and increasing PGE2 generation","volume":"79","author":[{"family":"Shu","given":"Lizhuang"},{"family":"Li","given":"Xingyong"},{"family":"Liu","given":"Zengli"},{"family":"Li","given":"Kangshuai"},{"family":"Shi","given":"Anda"},{"family":"Tang","given":"Yongchang"},{"family":"Zhao","given":"Liming"},{"family":"Huang","given":"Lingling"},{"family":"Zhang","given":"Zhiyue"},{"family":"Zhang","given":"Dong"},{"family":"Huang","given":"Shaohui"},{"family":"Lian","given":"Shuo"},{"family":"Sheng","given":"Guoli"},{"family":"Yan","given":"Zhangdi"},{"family":"Zhang","given":"Zongli"},{"family":"Xu","given":"Yunfei"}],"issued":{"date-parts":[["2024",2]]}}},{"id":294,"uris":["http://zotero.org/users/18222353/items/JC43SIWF"],"itemData":{"id":294,"type":"article-journal","abstract":"Prostaglandin E2 (PGE2) is involved in cholangiocarcinoma cell proliferation, migration and invasion through E prostanoid receptors, including EP1, EP2 and  EP4. However, the functions and the mechanisms of those splice variants of EP3  receptors in promoting liver cancer cell growth and invasion remain to be  elucidated. In our previous studies, four isoforms of EP3 receptors, EP3-4,  EP3-5, EP3-6 and EP3-7 receptors, were detected in CCLP1 and HuCCT1 cells.  However, the functions of these receptors in these cells have yet to be  determined. It was reported that β-catenin is closely correlated with malignancy,  including cholangiocarcinoma. The present study was designed to examine the  effects of 4-7 isoforms of EP3 in promoting cholangiocarcinoma progression and  the mechanisms by which PGE2 increases β-catenin protein via EP3 receptors. The  results showed that PGE2 promotes cholangiocarcinoma progression via the  upregulation of β-catenin protein, and the EP3-4 receptor pathway is mainly  responsible for this regulation. These findings reveal that PGE2 upregulated the  cholangiocarcinoma cell β-catenin protein through the  EP3-4R/Src/EGFR/PI3K/AKT/GSK-3β pathway. The present study identified the  functions of EP3 and the mechanisms by which PGE2 regulates β-catenin expression  and promoted cholangiocarcinoma cell growth and invasion.","container-title":"Oncology reports","DOI":"10.3892/or.2015.4043","ISSN":"1791-2431 1021-335X","issue":"2","journalAbbreviation":"Oncol Rep","language":"en-US","note":"publisher-place: Greece\ntitleTranslation: </w:instrText>
            </w:r>
            <w:r>
              <w:rPr>
                <w:rFonts w:ascii="Times New Roman" w:eastAsia="SimSun" w:hAnsi="Times New Roman" w:cs="Times New Roman" w:hint="eastAsia"/>
                <w:color w:val="000000"/>
                <w:kern w:val="0"/>
                <w:sz w:val="15"/>
                <w:szCs w:val="15"/>
                <w14:ligatures w14:val="none"/>
              </w:rPr>
              <w:instrText>前列腺素</w:instrText>
            </w:r>
            <w:r>
              <w:rPr>
                <w:rFonts w:ascii="Times New Roman" w:eastAsia="SimSun" w:hAnsi="Times New Roman" w:cs="Times New Roman" w:hint="eastAsia"/>
                <w:color w:val="000000"/>
                <w:kern w:val="0"/>
                <w:sz w:val="15"/>
                <w:szCs w:val="15"/>
                <w14:ligatures w14:val="none"/>
              </w:rPr>
              <w:instrText>E2</w:instrText>
            </w:r>
            <w:r>
              <w:rPr>
                <w:rFonts w:ascii="Times New Roman" w:eastAsia="SimSun" w:hAnsi="Times New Roman" w:cs="Times New Roman" w:hint="eastAsia"/>
                <w:color w:val="000000"/>
                <w:kern w:val="0"/>
                <w:sz w:val="15"/>
                <w:szCs w:val="15"/>
                <w14:ligatures w14:val="none"/>
              </w:rPr>
              <w:instrText>通过</w:instrText>
            </w:r>
            <w:r>
              <w:rPr>
                <w:rFonts w:ascii="Times New Roman" w:eastAsia="SimSun" w:hAnsi="Times New Roman" w:cs="Times New Roman" w:hint="eastAsia"/>
                <w:color w:val="000000"/>
                <w:kern w:val="0"/>
                <w:sz w:val="15"/>
                <w:szCs w:val="15"/>
                <w14:ligatures w14:val="none"/>
              </w:rPr>
              <w:instrText>EP3-4</w:instrText>
            </w:r>
            <w:r>
              <w:rPr>
                <w:rFonts w:ascii="Times New Roman" w:eastAsia="SimSun" w:hAnsi="Times New Roman" w:cs="Times New Roman" w:hint="eastAsia"/>
                <w:color w:val="000000"/>
                <w:kern w:val="0"/>
                <w:sz w:val="15"/>
                <w:szCs w:val="15"/>
                <w14:ligatures w14:val="none"/>
              </w:rPr>
              <w:instrText>受体上调β</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连环蛋白表达，促进人胆管癌细胞增殖、迁移和侵袭。</w:instrText>
            </w:r>
            <w:r>
              <w:rPr>
                <w:rFonts w:ascii="Times New Roman" w:eastAsia="SimSun" w:hAnsi="Times New Roman" w:cs="Times New Roman" w:hint="eastAsia"/>
                <w:color w:val="000000"/>
                <w:kern w:val="0"/>
                <w:sz w:val="15"/>
                <w:szCs w:val="15"/>
                <w14:ligatures w14:val="none"/>
              </w:rPr>
              <w:instrText xml:space="preserve">\nTLDR: The findings reveal that PGE2 upregulated the cholangiocarcinoma cell </w:instrText>
            </w:r>
            <w:r>
              <w:rPr>
                <w:rFonts w:ascii="Times New Roman" w:eastAsia="SimSun" w:hAnsi="Times New Roman" w:cs="Times New Roman" w:hint="eastAsia"/>
                <w:color w:val="000000"/>
                <w:kern w:val="0"/>
                <w:sz w:val="15"/>
                <w:szCs w:val="15"/>
                <w14:ligatures w14:val="none"/>
              </w:rPr>
              <w:instrText>β</w:instrText>
            </w:r>
            <w:r>
              <w:rPr>
                <w:rFonts w:ascii="Times New Roman" w:eastAsia="SimSun" w:hAnsi="Times New Roman" w:cs="Times New Roman" w:hint="eastAsia"/>
                <w:color w:val="000000"/>
                <w:kern w:val="0"/>
                <w:sz w:val="15"/>
                <w:szCs w:val="15"/>
                <w14:ligatures w14:val="none"/>
              </w:rPr>
              <w:instrText>-catenin protein through the EP3-4R/Src/EGFR/PI3K/AKT/GSK-3</w:instrText>
            </w:r>
            <w:r>
              <w:rPr>
                <w:rFonts w:ascii="Times New Roman" w:eastAsia="SimSun" w:hAnsi="Times New Roman" w:cs="Times New Roman" w:hint="eastAsia"/>
                <w:color w:val="000000"/>
                <w:kern w:val="0"/>
                <w:sz w:val="15"/>
                <w:szCs w:val="15"/>
                <w14:ligatures w14:val="none"/>
              </w:rPr>
              <w:instrText>β</w:instrText>
            </w:r>
            <w:r>
              <w:rPr>
                <w:rFonts w:ascii="Times New Roman" w:eastAsia="SimSun" w:hAnsi="Times New Roman" w:cs="Times New Roman" w:hint="eastAsia"/>
                <w:color w:val="000000"/>
                <w:kern w:val="0"/>
                <w:sz w:val="15"/>
                <w:szCs w:val="15"/>
                <w14:ligatures w14:val="none"/>
              </w:rPr>
              <w:instrText xml:space="preserve"> pathway.","page":"715-726","PMID":"26058972","title":"Prostaglandin E2 p</w:instrText>
            </w:r>
            <w:r>
              <w:rPr>
                <w:rFonts w:ascii="Times New Roman" w:eastAsia="SimSun" w:hAnsi="Times New Roman" w:cs="Times New Roman"/>
                <w:color w:val="000000"/>
                <w:kern w:val="0"/>
                <w:sz w:val="15"/>
                <w:szCs w:val="15"/>
                <w14:ligatures w14:val="none"/>
              </w:rPr>
              <w:instrText xml:space="preserve">romotes human cholangiocarcinoma cell proliferation, migration and invasion through the upregulation of β-catenin expression via EP3-4 receptor.","volume":"34","author":[{"family":"Du","given":"Mingzhan"},{"family":"Shi","given":"Feng"},{"family":"Zhang","given":"Hai"},{"family":"Xia","given":"Shukai"},{"family":"Zhang","given":"Min"},{"family":"Ma","given":"Juan"},{"family":"Bai","given":"Xiaoming"},{"family":"Zhang","given":"Li"},{"family":"Wang","given":"Yipin"},{"family":"Cheng","given":"Shanyu"},{"family":"Yang","given":"Qinyi"},{"family":"Leng","given":"Jing"}],"issued":{"date-parts":[["2015",8]]}}}],"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[5,6]</w:t>
            </w:r>
            <w:r>
              <w:rPr>
                <w:rFonts w:ascii="Times New Roman" w:eastAsia="SimSun" w:hAnsi="Times New Roman" w:cs="Times New Roman"/>
                <w:color w:val="000000"/>
                <w:kern w:val="0"/>
                <w:sz w:val="15"/>
                <w:szCs w:val="15"/>
                <w14:ligatures w14:val="none"/>
              </w:rPr>
              <w:fldChar w:fldCharType="end"/>
            </w:r>
          </w:p>
        </w:tc>
      </w:tr>
      <w:tr w:rsidR="00427052" w:rsidRPr="00186A4D" w14:paraId="52383312" w14:textId="77777777" w:rsidTr="00281326">
        <w:trPr>
          <w:trHeight w:val="489"/>
        </w:trPr>
        <w:tc>
          <w:tcPr>
            <w:tcW w:w="3754" w:type="dxa"/>
            <w:vAlign w:val="center"/>
            <w:hideMark/>
          </w:tcPr>
          <w:p w14:paraId="1E85340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proofErr w:type="spellStart"/>
            <w:r w:rsidRPr="00186A4D">
              <w:rPr>
                <w:rFonts w:ascii="Times New Roman" w:eastAsia="SimSun" w:hAnsi="Times New Roman" w:cs="Times New Roman"/>
                <w:color w:val="000000"/>
                <w:kern w:val="0"/>
                <w:sz w:val="15"/>
                <w:szCs w:val="15"/>
                <w14:ligatures w14:val="none"/>
              </w:rPr>
              <w:t>Proresolving</w:t>
            </w:r>
            <w:proofErr w:type="spellEnd"/>
            <w:r w:rsidRPr="00186A4D">
              <w:rPr>
                <w:rFonts w:ascii="Times New Roman" w:eastAsia="SimSun" w:hAnsi="Times New Roman" w:cs="Times New Roman"/>
                <w:color w:val="000000"/>
                <w:kern w:val="0"/>
                <w:sz w:val="15"/>
                <w:szCs w:val="15"/>
                <w14:ligatures w14:val="none"/>
              </w:rPr>
              <w:t xml:space="preserve"> lipid imbalance involving 15-LOX-1 and 15-PGDH</w:t>
            </w:r>
          </w:p>
        </w:tc>
        <w:tc>
          <w:tcPr>
            <w:tcW w:w="3402" w:type="dxa"/>
            <w:vAlign w:val="center"/>
            <w:hideMark/>
          </w:tcPr>
          <w:p w14:paraId="772AF185"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Loss of </w:t>
            </w:r>
            <w:proofErr w:type="spellStart"/>
            <w:r w:rsidRPr="00186A4D">
              <w:rPr>
                <w:rFonts w:ascii="Times New Roman" w:eastAsia="SimSun" w:hAnsi="Times New Roman" w:cs="Times New Roman"/>
                <w:color w:val="000000"/>
                <w:kern w:val="0"/>
                <w:sz w:val="15"/>
                <w:szCs w:val="15"/>
                <w14:ligatures w14:val="none"/>
              </w:rPr>
              <w:t>proresolving</w:t>
            </w:r>
            <w:proofErr w:type="spellEnd"/>
            <w:r w:rsidRPr="00186A4D">
              <w:rPr>
                <w:rFonts w:ascii="Times New Roman" w:eastAsia="SimSun" w:hAnsi="Times New Roman" w:cs="Times New Roman"/>
                <w:color w:val="000000"/>
                <w:kern w:val="0"/>
                <w:sz w:val="15"/>
                <w:szCs w:val="15"/>
                <w14:ligatures w14:val="none"/>
              </w:rPr>
              <w:t xml:space="preserve"> control may sustain inflammatory lipid signaling; omega-3 PUFAs may restore 15-PGDH-related PGE2 inactivation</w:t>
            </w:r>
          </w:p>
        </w:tc>
        <w:tc>
          <w:tcPr>
            <w:tcW w:w="2591" w:type="dxa"/>
            <w:vAlign w:val="center"/>
            <w:hideMark/>
          </w:tcPr>
          <w:p w14:paraId="458085DC"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Mainly preclinical CCA cell studies</w:t>
            </w:r>
          </w:p>
        </w:tc>
        <w:tc>
          <w:tcPr>
            <w:tcW w:w="851" w:type="dxa"/>
            <w:vAlign w:val="center"/>
            <w:hideMark/>
          </w:tcPr>
          <w:p w14:paraId="6E9C1D37" w14:textId="4780241C"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w:t>
            </w:r>
          </w:p>
        </w:tc>
        <w:tc>
          <w:tcPr>
            <w:tcW w:w="810" w:type="dxa"/>
            <w:vAlign w:val="center"/>
            <w:hideMark/>
          </w:tcPr>
          <w:p w14:paraId="7619AE14" w14:textId="4DF132C7"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{"citationID":"j6KzskhV","properties":{"unsorted":false,"formattedCitation":"[4]","plainCitation":"[4]","noteIndex":0},"citationItems":[{"id":283,"uris":["http://zotero.org/users/18222353/items/V87N8446"],"itemData":{"id":283,"type":"article-journal","abstract":"BACKGROUND: Inflammatory lipid mediators play an important role in several cancer types. Leukotrienes (LTs), pro-inflammatory lipid mediators, are involved in  chronic inflammation and cancer progression. They are derived from arachidonic  acid by 5-lipoxygenase (5-LOX) activity. On the other hand, 15-lipoxygenase  (15-LOX-1) converts LTs into lipoxins (LXs), pro-resolving lipid mediators. LXs  are involved in the attenuation of inflammation and cancer development. PURPOSE:  We aimed to investigate the lipid mediator pathways, especially the LTs and LXs  pathways, by studying 5-LOX and 15-LOX-1 expression in human cholangiocarcinoma  (CCA) tissue. We also investigated the efficiency of zileuton (5-LOX inhibitor)  treatment and BML-111 (LXA4 analog) addition on CCA cell lines properties.  PATIENTS AND METHODS: The expression of 5-LOX and 15-LOX-1 in fifty human  cholangiocarcinoma (CCA) tissue was analyzed using immunohistochemical staining.  In addition, the effect of zileuton and BML-111 on CCA cell growth and migration  was demonstrated using a cell viability assay and wound-healing assay,  respectively. Furthermore, the molecular mechanism by which zileuton inhibits CCA  cell migration was revealed using immunofluorescent staining and western blot  analysis, respectively. RESULTS: We demonstrate that the upregulation of 5-LOX is  significantly correlated with CCA recurrent status. A positive 15-LOX-1 signal  was significantly associated with a longer survival time in CCA patients. We  found that co-expression of 5-LOX and 15-LOX-1 resulted in a relatively good  prognosis in CCA patients. In addition, zileuton could inhibit CCA cell migration  as well as BML-111. Interestingly, zileuton treatment not only downregulated  5-LOX, but also upregulated 15-LOX-1, together with reversing the  epithelial-mesenchymal transition to mesenchymal-epithelial transition phenotype  as observed in EMT marker western blot. CONCLUSION: These findings suggest that  5-LOX and 15-LOX-1 play a key role in CCA and may serve as targets for CCA  therapy.","container-title":"OncoTargets and therapy","DOI":"10.2147/OTT.S178942","ISSN":"1178-6930","journalAbbreviation":"Onco Targets Ther","language":"en-US","note":"publisher-place: New Zealan</w:instrText>
            </w:r>
            <w:r>
              <w:rPr>
                <w:rFonts w:ascii="Times New Roman" w:eastAsia="SimSun" w:hAnsi="Times New Roman" w:cs="Times New Roman" w:hint="eastAsia"/>
                <w:color w:val="000000"/>
                <w:kern w:val="0"/>
                <w:sz w:val="15"/>
                <w:szCs w:val="15"/>
                <w14:ligatures w14:val="none"/>
              </w:rPr>
              <w:instrText xml:space="preserve">d\ntitleTranslation: Zileuton </w:instrText>
            </w:r>
            <w:r>
              <w:rPr>
                <w:rFonts w:ascii="Times New Roman" w:eastAsia="SimSun" w:hAnsi="Times New Roman" w:cs="Times New Roman" w:hint="eastAsia"/>
                <w:color w:val="000000"/>
                <w:kern w:val="0"/>
                <w:sz w:val="15"/>
                <w:szCs w:val="15"/>
                <w14:ligatures w14:val="none"/>
              </w:rPr>
              <w:instrText>通过抑制</w:instrText>
            </w:r>
            <w:r>
              <w:rPr>
                <w:rFonts w:ascii="Times New Roman" w:eastAsia="SimSun" w:hAnsi="Times New Roman" w:cs="Times New Roman" w:hint="eastAsia"/>
                <w:color w:val="000000"/>
                <w:kern w:val="0"/>
                <w:sz w:val="15"/>
                <w:szCs w:val="15"/>
                <w14:ligatures w14:val="none"/>
              </w:rPr>
              <w:instrText xml:space="preserve"> Akt </w:instrText>
            </w:r>
            <w:r>
              <w:rPr>
                <w:rFonts w:ascii="Times New Roman" w:eastAsia="SimSun" w:hAnsi="Times New Roman" w:cs="Times New Roman" w:hint="eastAsia"/>
                <w:color w:val="000000"/>
                <w:kern w:val="0"/>
                <w:sz w:val="15"/>
                <w:szCs w:val="15"/>
                <w14:ligatures w14:val="none"/>
              </w:rPr>
              <w:instrText>信号通路抑制胆管癌细胞增殖和迁移。</w:instrText>
            </w:r>
            <w:r>
              <w:rPr>
                <w:rFonts w:ascii="Times New Roman" w:eastAsia="SimSun" w:hAnsi="Times New Roman" w:cs="Times New Roman" w:hint="eastAsia"/>
                <w:color w:val="000000"/>
                <w:kern w:val="0"/>
                <w:sz w:val="15"/>
                <w:szCs w:val="15"/>
                <w14:ligatures w14:val="none"/>
              </w:rPr>
              <w:instrText>\nTLDR: It is found that co-expression of 5-LOX and 15- LOX-1 resulted in a relatively good prognosis in CCA patients and may serve as targets for CCA therapy.","page":"7019-7029","PMID":"30410359","</w:instrText>
            </w:r>
            <w:r>
              <w:rPr>
                <w:rFonts w:ascii="Times New Roman" w:eastAsia="SimSun" w:hAnsi="Times New Roman" w:cs="Times New Roman"/>
                <w:color w:val="000000"/>
                <w:kern w:val="0"/>
                <w:sz w:val="15"/>
                <w:szCs w:val="15"/>
                <w14:ligatures w14:val="none"/>
              </w:rPr>
              <w:instrText xml:space="preserve">PMCID":"PMC6198876","title":"Zileuton suppresses cholangiocarcinoma cell proliferation and migration through inhibition of the Akt signaling pathway.","volume":"11","author":[{"family":"Khophai","given":"Sasikamon"},{"family":"Thanee","given":"Malinee"},{"family":"Techasen","given":"Anchalee"},{"family":"Namwat","given":"Nisana"},{"family":"Klanrit","given":"Poramate"},{"family":"Titapun","given":"Attapol"},{"family":"Jarearnrat","given":"Apiwat"},{"family":"Sa-Ngiamwibool","given":"Prakasit"},{"family":"Loilome","given":"Watcharin"}],"issued":{"date-parts":[["2018"]]}}}],"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[4]</w:t>
            </w:r>
            <w:r>
              <w:rPr>
                <w:rFonts w:ascii="Times New Roman" w:eastAsia="SimSun" w:hAnsi="Times New Roman" w:cs="Times New Roman"/>
                <w:color w:val="000000"/>
                <w:kern w:val="0"/>
                <w:sz w:val="15"/>
                <w:szCs w:val="15"/>
                <w14:ligatures w14:val="none"/>
              </w:rPr>
              <w:fldChar w:fldCharType="end"/>
            </w:r>
          </w:p>
        </w:tc>
      </w:tr>
      <w:tr w:rsidR="00427052" w:rsidRPr="00186A4D" w14:paraId="7E2BBADC" w14:textId="77777777" w:rsidTr="00281326">
        <w:trPr>
          <w:trHeight w:val="56"/>
        </w:trPr>
        <w:tc>
          <w:tcPr>
            <w:tcW w:w="3754" w:type="dxa"/>
            <w:vAlign w:val="center"/>
            <w:hideMark/>
          </w:tcPr>
          <w:p w14:paraId="572DC37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Parasite-associated FASN upregulation and fatty acid synthesis activation</w:t>
            </w:r>
          </w:p>
        </w:tc>
        <w:tc>
          <w:tcPr>
            <w:tcW w:w="3402" w:type="dxa"/>
            <w:vAlign w:val="center"/>
            <w:hideMark/>
          </w:tcPr>
          <w:p w14:paraId="11B06A5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Links Clonorchis sinensis-related inflammation to de novo fatty acid synthesis, immune remodeling, and </w:t>
            </w:r>
            <w:proofErr w:type="spellStart"/>
            <w:r w:rsidRPr="00186A4D">
              <w:rPr>
                <w:rFonts w:ascii="Times New Roman" w:eastAsia="SimSun" w:hAnsi="Times New Roman" w:cs="Times New Roman"/>
                <w:color w:val="000000"/>
                <w:kern w:val="0"/>
                <w:sz w:val="15"/>
                <w:szCs w:val="15"/>
                <w14:ligatures w14:val="none"/>
              </w:rPr>
              <w:t>iCCA</w:t>
            </w:r>
            <w:proofErr w:type="spellEnd"/>
            <w:r w:rsidRPr="00186A4D">
              <w:rPr>
                <w:rFonts w:ascii="Times New Roman" w:eastAsia="SimSun" w:hAnsi="Times New Roman" w:cs="Times New Roman"/>
                <w:color w:val="000000"/>
                <w:kern w:val="0"/>
                <w:sz w:val="15"/>
                <w:szCs w:val="15"/>
                <w14:ligatures w14:val="none"/>
              </w:rPr>
              <w:t xml:space="preserve"> progression</w:t>
            </w:r>
          </w:p>
        </w:tc>
        <w:tc>
          <w:tcPr>
            <w:tcW w:w="2591" w:type="dxa"/>
            <w:vAlign w:val="center"/>
            <w:hideMark/>
          </w:tcPr>
          <w:p w14:paraId="37ECA21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Human parasite-associated </w:t>
            </w:r>
            <w:proofErr w:type="spellStart"/>
            <w:r w:rsidRPr="00186A4D">
              <w:rPr>
                <w:rFonts w:ascii="Times New Roman" w:eastAsia="SimSun" w:hAnsi="Times New Roman" w:cs="Times New Roman"/>
                <w:color w:val="000000"/>
                <w:kern w:val="0"/>
                <w:sz w:val="15"/>
                <w:szCs w:val="15"/>
                <w14:ligatures w14:val="none"/>
              </w:rPr>
              <w:t>iCCA</w:t>
            </w:r>
            <w:proofErr w:type="spellEnd"/>
            <w:r w:rsidRPr="00186A4D">
              <w:rPr>
                <w:rFonts w:ascii="Times New Roman" w:eastAsia="SimSun" w:hAnsi="Times New Roman" w:cs="Times New Roman"/>
                <w:color w:val="000000"/>
                <w:kern w:val="0"/>
                <w:sz w:val="15"/>
                <w:szCs w:val="15"/>
                <w14:ligatures w14:val="none"/>
              </w:rPr>
              <w:t xml:space="preserve"> samples, spatial/molecular analyses, experimental exposure models</w:t>
            </w:r>
          </w:p>
        </w:tc>
        <w:tc>
          <w:tcPr>
            <w:tcW w:w="851" w:type="dxa"/>
            <w:vAlign w:val="center"/>
            <w:hideMark/>
          </w:tcPr>
          <w:p w14:paraId="0C120F77" w14:textId="0746E0FA"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2BE7FEEE" w14:textId="2528935C"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{"citationID":"ByUwBTsL","properties":{"unsorted":false,"formattedCitation":"[7,8]","plainCitation":"[7,8]","noteIndex":0},"citationItems":[{"id":266,"uris":["http://zotero.org/users/18222353/items/W5AL2JVZ"],"itemData":{"id":266,"type":"article-journal","abstract":"BACKGROUND: Clonorchis sinensis infection is an important risk factor for intrahepatic cholangiocarcinoma (ICC). C. sinensis positive (C.s+) ICC patients  had much shorter overall survival (OS) compared with C. sinensis negative (C.s-)  group. This study aims to explore the impact and underlying mechanism of C.  sinensis infection on ICC progression. METHODS: In this study, ICC patients  underwent surgery from two medical centers enrolled. RNA sequencing was used to  determine the downstream activated pathways and genes. Furthermore, we  demonstrated the potential mechanism of C. sinensis infection in promoting ICC  progression through in vitro co culture systems and two animal models. RESULTS:  Through RNA sequencing, we found fatty acid metabolism and the expression of  fatty acid synthase (FASN), a key enzyme catalyzing long-chain fatty acid  synthesis, were significantly elevated in C.s+ ICCs. Then, we found  excretory/secretory products (ESPs) secreted by C. sinensis could significantly  upregulate the expression of transcription factor E2F1, thereby promoting FASN  expression and fatty acid synthesis in tumor cells, which ultimately accelerating  tumor progression. However, the promotive effect disappeared when FASN was  knocked down. Meanwhile, ESPs could promote tumor growth, increasing FASN  expression and free fatty acid level in both subcutaneous and orthotopic mouse  models. CONCLUSION: This study indicates that C. sinensis infection could  upregulate the level of FASN and activate fatty acid synthesis pathway, thereby  accelerating ICC progression. This provides a new insight for the clinical  treatment of ICC with C. sinensis infection.","container-title":"Journal of gastroenterology and hepatology","DOI":"10.1111/jgh.16879","ISSN":"1440-1746 0815-9319","issue":"4","journalAbbreviation":"J Gastroenterol Hepatol","language":"en-US","license":"© 2025 Journal of Gastroenterology and Hepatology Foundation and John Wiley &amp; Sons Australia, Ltd.","note":"</w:instrText>
            </w:r>
            <w:r>
              <w:rPr>
                <w:rFonts w:ascii="Times New Roman" w:eastAsia="SimSun" w:hAnsi="Times New Roman" w:cs="Times New Roman" w:hint="eastAsia"/>
                <w:color w:val="000000"/>
                <w:kern w:val="0"/>
                <w:sz w:val="15"/>
                <w:szCs w:val="15"/>
                <w14:ligatures w14:val="none"/>
              </w:rPr>
              <w:instrText xml:space="preserve">publisher-place: Australia\ntitleTranslation: </w:instrText>
            </w:r>
            <w:r>
              <w:rPr>
                <w:rFonts w:ascii="Times New Roman" w:eastAsia="SimSun" w:hAnsi="Times New Roman" w:cs="Times New Roman" w:hint="eastAsia"/>
                <w:color w:val="000000"/>
                <w:kern w:val="0"/>
                <w:sz w:val="15"/>
                <w:szCs w:val="15"/>
                <w14:ligatures w14:val="none"/>
              </w:rPr>
              <w:instrText>中华支睾通过激活</w:instrText>
            </w:r>
            <w:r>
              <w:rPr>
                <w:rFonts w:ascii="Times New Roman" w:eastAsia="SimSun" w:hAnsi="Times New Roman" w:cs="Times New Roman" w:hint="eastAsia"/>
                <w:color w:val="000000"/>
                <w:kern w:val="0"/>
                <w:sz w:val="15"/>
                <w:szCs w:val="15"/>
                <w14:ligatures w14:val="none"/>
              </w:rPr>
              <w:instrText xml:space="preserve"> FASN </w:instrText>
            </w:r>
            <w:r>
              <w:rPr>
                <w:rFonts w:ascii="Times New Roman" w:eastAsia="SimSun" w:hAnsi="Times New Roman" w:cs="Times New Roman" w:hint="eastAsia"/>
                <w:color w:val="000000"/>
                <w:kern w:val="0"/>
                <w:sz w:val="15"/>
                <w:szCs w:val="15"/>
                <w14:ligatures w14:val="none"/>
              </w:rPr>
              <w:instrText>介导的脂肪酸代谢来促进肝内胆管癌的进展。</w:instrText>
            </w:r>
            <w:r>
              <w:rPr>
                <w:rFonts w:ascii="Times New Roman" w:eastAsia="SimSun" w:hAnsi="Times New Roman" w:cs="Times New Roman" w:hint="eastAsia"/>
                <w:color w:val="000000"/>
                <w:kern w:val="0"/>
                <w:sz w:val="15"/>
                <w:szCs w:val="15"/>
                <w14:ligatures w14:val="none"/>
              </w:rPr>
              <w:instrText xml:space="preserve">\nTLDR: The impact and underlying mechanism of C. sinensis infection on ICC progression is explored to explore the impact and underlying mechanism of C. sinensis infection on </w:instrText>
            </w:r>
            <w:r>
              <w:rPr>
                <w:rFonts w:ascii="Times New Roman" w:eastAsia="SimSun" w:hAnsi="Times New Roman" w:cs="Times New Roman"/>
                <w:color w:val="000000"/>
                <w:kern w:val="0"/>
                <w:sz w:val="15"/>
                <w:szCs w:val="15"/>
                <w14:ligatures w14:val="none"/>
              </w:rPr>
              <w:instrText>ICC progression.","page":"1004-1015","PMID":"39806791","title":"Clonorchis sinensis Promotes Intrahepatic Cholangiocarcinoma Progression by Activating FASN-Mediated Fatty Acid Metabolism.","volume":"40","author":[{"family":"Ren","given":"Xiaoxue"},{"family":"Wu","given":"Yanqing"},{"family":"Song","given":"Tongtong"},{"family":"Yang","given":"Qingxia"},{"family":"Zhou","given":"Qianying"},{"family":"Lin","given":"Jie"},{"family":"Xu","given":"Lixia"},{"family":"Xiang","given":"Bangde"},{"family":"Chen","given":"Zebin"},{"family":"Zhang","given":"Ying"}],"issued":{"date-parts":[["2025",4]]}}},{"id":3234,"uris":["http://zotero.org/users/18222353/items/BJ9CS2EB"],"itemData":{"id":3234,"type":"article-journal","abstract":"BACKGROUND &amp; AIMS: Intrahepatic cholangiocarcinoma (iCCA) is the second most common primary liver cancer and is highly lethal. Clonorchis sinensis (C. sinensis) infection is an important risk factor for iCCA. Here we investigated the clinical impact and underlying molecular characteristics of C. sinensis infection-related iCCA.\nMETHODS: We performed single-cell RNA sequencing, whole-exome sequencing, RNA sequencing, metabolomics and spatial transcriptomics in 251 patients with iCCA from three medical centers. Alterations in metabolism and the immune microenvironment of C. sinensis-related iCCAs were validated through an in vitro co-culture system and in a mouse model of iCCA.\nRESULTS: We revealed that C. sinensis infection was significantly associated with iCCA patients' overall survival and response to immunotherapy. Fatty acid biosynthesis and the expression of fatty acid synthase (FASN), a key enzyme catalyzing long-chain fatty acid synthesis, were significantly enriched in C. sinensis-related iCCAs. iCCA cell lines treated with excretory/secretory products of C. sinensis displayed elevated FASN and free fatty acids. The metabolic alteration of tumor cells was closely correlated with the enrichment of tumor-associated macrophage (TAM)-like macrophages and the impaired function of T cells, which led to formation of an immunosuppressive microenvironment and tumor progression. Spatial transcriptomics analysis revealed that malignant cells were in closer juxtaposition with TAM-like macrophages in C. sinensis-related iCCAs than non-C. sinensis-related iCCAs. Importantly, treatment with a FASN inhibitor significantly reversed the immunosuppressive microenvironment and enhanced anti-PD-1 efficacy in iCCA mouse models treated with excretory/secretory products from C. sinensis.\nCONCLUSIONS: We provide novel insights into metabolic alterations and the immune microenvironment in C. sinensis infection-related iCCAs. We also demonstrate that the combination of a FASN inhibitor with immunotherapy could be a promising strategy for the treatment of C.</w:instrText>
            </w:r>
            <w:r>
              <w:rPr>
                <w:rFonts w:ascii="Times New Roman" w:eastAsia="SimSun" w:hAnsi="Times New Roman" w:cs="Times New Roman" w:hint="eastAsia"/>
                <w:color w:val="000000"/>
                <w:kern w:val="0"/>
                <w:sz w:val="15"/>
                <w:szCs w:val="15"/>
                <w14:ligatures w14:val="none"/>
              </w:rPr>
              <w:instrText> </w:instrText>
            </w:r>
            <w:r>
              <w:rPr>
                <w:rFonts w:ascii="Times New Roman" w:eastAsia="SimSun" w:hAnsi="Times New Roman" w:cs="Times New Roman"/>
                <w:color w:val="000000"/>
                <w:kern w:val="0"/>
                <w:sz w:val="15"/>
                <w:szCs w:val="15"/>
                <w14:ligatures w14:val="none"/>
              </w:rPr>
              <w:instrText xml:space="preserve">sinensis-related iCCAs.\nIMPACT AND IMPLICATIONS: Clonorchis sinensis (C. sinensis)-infected patients with intrahepatic cholangiocarcinoma (iCCA) have a worse prognosis and response to immunotherapy than non-C. sinensis-infected patients with iCCA. The underlying molecular characteristics of C. sinensis infection-related iCCAs remain unclear. Herein, we demonstrate that upregulation of FASN (fatty acid synthase) and free fatty acids in C. sinensis-related iCCAs leads to formation of an immunosuppressive microenvironment and tumor progression. Thus, administration of FASN inhibitors could significantly reverse the immunosuppressive microenvironment and further enhance the efficacy of anti-PD-1 against C. sinensis-related iCCAs.","container-title":"Journal of Hepatology","DOI":"10.1016/j.jhep.2024.03.016","ISSN":"1600-0641","issue":"2","journalAbbreviation":"J. Hepatol.","language":"en","page":"265-277","PMID":"38508240","source":"PubMed","title":"FASN-mediated fatty acid biosynthesis remodels immune environment in clonorchis sinensis infection-related intrahepatic cholangiocarcinoma","volume":"81","author":[{"family":"Xu","given":"Lixia"},{"family":"Zhang","given":"Ying"},{"family":"Lin","given":"Zhilong"},{"family":"Deng","given":"Xinlang"},{"family":"Ren","given":"Xiaoxue"},{"family":"Huang","given":"Mingle"},{"family":"Li","given":"Shangru"},{"family":"Zhou","given":"Qianying"},{"family":"Fang","given":"Fei"},{"family":"Yang","given":"Qingxia"},{"family":"Zheng","given":"Gaomin"},{"family":"Chen","given":"Zebin"},{"family":"Wu","given":"Zhongdao"},{"family":"Sun","given":"Xi"},{"family":"Lin","given":"Jie"},{"family":"Shen","given":"Jingxian"},{"family":"Guo","given":"Jianping"},{"family":"Li","given":"Xiaoxing"},{"family":"Xue","given":"Tianchen"},{"family":"Tan","given":"Jing"},{"family":"Lin","given":"Xiaoxuan"},{"family":"Tan","given":"Li"},{"family":"Peng","given":"Hong"},{"family":"Shen","given":"Shunli"},{"family":"Peng","given":"Sui"},{"family":"Li","given":"Shaoqiang"},{"family":"Liang","given":"Lijian"},{"family":"Cleary","given":"James M."},{"family":"Lai","given":"Jiaming"},{"family":"Xie","given":"Yubin"},{"family":"Kuang","given":"Ming"}],"issued":{"date-parts":[["2024",8]]}}}],"schema":"https://github.com/citation-style-language/schema/raw/master/csl-citation.json"}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[7,8]</w:t>
            </w:r>
            <w:r>
              <w:rPr>
                <w:rFonts w:ascii="Times New Roman" w:eastAsia="SimSun" w:hAnsi="Times New Roman" w:cs="Times New Roman"/>
                <w:color w:val="000000"/>
                <w:kern w:val="0"/>
                <w:sz w:val="15"/>
                <w:szCs w:val="15"/>
                <w14:ligatures w14:val="none"/>
              </w:rPr>
              <w:fldChar w:fldCharType="end"/>
            </w:r>
          </w:p>
        </w:tc>
      </w:tr>
      <w:tr w:rsidR="00427052" w:rsidRPr="00186A4D" w14:paraId="55C58A22" w14:textId="77777777" w:rsidTr="00281326">
        <w:trPr>
          <w:trHeight w:val="56"/>
        </w:trPr>
        <w:tc>
          <w:tcPr>
            <w:tcW w:w="3754" w:type="dxa"/>
            <w:vAlign w:val="center"/>
            <w:hideMark/>
          </w:tcPr>
          <w:p w14:paraId="6E5B06DA"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IDH1 mutation-related lipid biosynthetic alteration</w:t>
            </w:r>
          </w:p>
        </w:tc>
        <w:tc>
          <w:tcPr>
            <w:tcW w:w="3402" w:type="dxa"/>
            <w:vAlign w:val="center"/>
            <w:hideMark/>
          </w:tcPr>
          <w:p w14:paraId="3522CD69" w14:textId="29263C7C"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Mutant IDH1 may affect lipid synthesis through PTEN/Akt/SREBP1c-related signaling; direction may be context dependent</w:t>
            </w:r>
            <w:r>
              <w:rPr>
                <w:rFonts w:ascii="Times New Roman" w:eastAsia="SimSun" w:hAnsi="Times New Roman" w:cs="Times New Roman"/>
                <w:color w:val="000000"/>
                <w:kern w:val="0"/>
                <w:sz w:val="15"/>
                <w:szCs w:val="15"/>
                <w14:ligatures w14:val="none"/>
              </w:rPr>
              <w:t>.</w:t>
            </w:r>
          </w:p>
        </w:tc>
        <w:tc>
          <w:tcPr>
            <w:tcW w:w="2591" w:type="dxa"/>
            <w:vAlign w:val="center"/>
            <w:hideMark/>
          </w:tcPr>
          <w:p w14:paraId="132F047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Mainly mechanistic and genetic-context evidence; limited direct clinical validation in CCA lipid phenotyping</w:t>
            </w:r>
          </w:p>
        </w:tc>
        <w:tc>
          <w:tcPr>
            <w:tcW w:w="851" w:type="dxa"/>
            <w:vAlign w:val="center"/>
            <w:hideMark/>
          </w:tcPr>
          <w:p w14:paraId="0DCC3D54" w14:textId="45318E7E"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C–D</w:t>
            </w:r>
          </w:p>
        </w:tc>
        <w:tc>
          <w:tcPr>
            <w:tcW w:w="810" w:type="dxa"/>
            <w:vAlign w:val="center"/>
            <w:hideMark/>
          </w:tcPr>
          <w:p w14:paraId="6F59740A" w14:textId="26A4AFCE"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{"citationID":"KyMlJYnZ","properties":{"unsorted":false,"formattedCitation":"[9]","plainCitation":"[9]","noteIndex":0},"citationItems":[{"id":168,"uris":["http://zotero.org/users/18222353/items/6N8I722R"],"itemData":{"id":168,"type":"article-journal","abstract":"Mutations in IDH1 (isocitrate dehydrogenases) such as R132H/Q/C, are frequently found in intrahepatic cholangiocarcinoma (IHCC). Mutant IDH1 proteins obtain an  abnormal activity converting α-ketoglutarate (αKG) to 2-hydroxyglutarate (2-HG),  inhibiting the activity of multiple αKG-dependent dioxygenases, leading to  metabolism disorder. Here, we depict a molecular network leading by mutant IDH1,  that regulates hepatic lipid embolism using mouse model (KI) with IDH1 R132Q  specifically knocked in liver. KI mice appear small and have notably reduced  hepatic TG and FFA levels. Technically, mutant IDH1-mediated 2-HG can stabilize  PTEN mRNA level probably depending on miR-32, activate Akt-SEBP1c signaling,  leading to lipogenesis defect. Our study identifies a new role of oncometabolite  2-HG in inhibiting hepatic lipid metabolism.","container-title":"Biochemical and biophysical research communications","DOI":"10.1016/j.bbrc.2022.11.041","ISSN":"1090-2104 0006-291X",</w:instrText>
            </w:r>
            <w:r>
              <w:rPr>
                <w:rFonts w:ascii="Times New Roman" w:eastAsia="SimSun" w:hAnsi="Times New Roman" w:cs="Times New Roman" w:hint="eastAsia"/>
                <w:color w:val="000000"/>
                <w:kern w:val="0"/>
                <w:sz w:val="15"/>
                <w:szCs w:val="15"/>
                <w14:ligatures w14:val="none"/>
              </w:rPr>
              <w:instrText xml:space="preserve">"journalAbbreviation":"Biochem Biophys Res Commun","language":"en-US","license":"Copyright © 2022 Elsevier Inc. All rights reserved.","note":"publisher-place: United States\ntitleTranslation: </w:instrText>
            </w:r>
            <w:r>
              <w:rPr>
                <w:rFonts w:ascii="Times New Roman" w:eastAsia="SimSun" w:hAnsi="Times New Roman" w:cs="Times New Roman" w:hint="eastAsia"/>
                <w:color w:val="000000"/>
                <w:kern w:val="0"/>
                <w:sz w:val="15"/>
                <w:szCs w:val="15"/>
                <w14:ligatures w14:val="none"/>
              </w:rPr>
              <w:instrText>突变体</w:instrText>
            </w:r>
            <w:r>
              <w:rPr>
                <w:rFonts w:ascii="Times New Roman" w:eastAsia="SimSun" w:hAnsi="Times New Roman" w:cs="Times New Roman" w:hint="eastAsia"/>
                <w:color w:val="000000"/>
                <w:kern w:val="0"/>
                <w:sz w:val="15"/>
                <w:szCs w:val="15"/>
                <w14:ligatures w14:val="none"/>
              </w:rPr>
              <w:instrText xml:space="preserve"> IDH1 </w:instrText>
            </w:r>
            <w:r>
              <w:rPr>
                <w:rFonts w:ascii="Times New Roman" w:eastAsia="SimSun" w:hAnsi="Times New Roman" w:cs="Times New Roman" w:hint="eastAsia"/>
                <w:color w:val="000000"/>
                <w:kern w:val="0"/>
                <w:sz w:val="15"/>
                <w:szCs w:val="15"/>
                <w14:ligatures w14:val="none"/>
              </w:rPr>
              <w:instrText>通过</w:instrText>
            </w:r>
            <w:r>
              <w:rPr>
                <w:rFonts w:ascii="Times New Roman" w:eastAsia="SimSun" w:hAnsi="Times New Roman" w:cs="Times New Roman" w:hint="eastAsia"/>
                <w:color w:val="000000"/>
                <w:kern w:val="0"/>
                <w:sz w:val="15"/>
                <w:szCs w:val="15"/>
                <w14:ligatures w14:val="none"/>
              </w:rPr>
              <w:instrText xml:space="preserve"> PTEN </w:instrText>
            </w:r>
            <w:r>
              <w:rPr>
                <w:rFonts w:ascii="Times New Roman" w:eastAsia="SimSun" w:hAnsi="Times New Roman" w:cs="Times New Roman" w:hint="eastAsia"/>
                <w:color w:val="000000"/>
                <w:kern w:val="0"/>
                <w:sz w:val="15"/>
                <w:szCs w:val="15"/>
                <w14:ligatures w14:val="none"/>
              </w:rPr>
              <w:instrText>依赖性途径减弱肝脏脂肪生成。</w:instrText>
            </w:r>
            <w:r>
              <w:rPr>
                <w:rFonts w:ascii="Times New Roman" w:eastAsia="SimSun" w:hAnsi="Times New Roman" w:cs="Times New Roman" w:hint="eastAsia"/>
                <w:color w:val="000000"/>
                <w:kern w:val="0"/>
                <w:sz w:val="15"/>
                <w:szCs w:val="15"/>
                <w14:ligatures w14:val="none"/>
              </w:rPr>
              <w:instrText>\nTLDR: A new role of oncometabo</w:instrText>
            </w:r>
            <w:r>
              <w:rPr>
                <w:rFonts w:ascii="Times New Roman" w:eastAsia="SimSun" w:hAnsi="Times New Roman" w:cs="Times New Roman"/>
                <w:color w:val="000000"/>
                <w:kern w:val="0"/>
                <w:sz w:val="15"/>
                <w:szCs w:val="15"/>
                <w14:ligatures w14:val="none"/>
              </w:rPr>
              <w:instrText xml:space="preserve">lite 2-HG is identified in inhibiting hepatic lipid metabolism, which can stabilize PTEN mRNA level probably depending on miR-32, activate Akt-SEBP1c signaling, leading to lipogenesis defect.","page":"254-258","PMID":"36410274","title":"Mutant IDH1 attenuates hepatic lipogenesis through PTEN dependent pathway.","volume":"637","author":[{"family":"Zhao","given":"Qingwen"}],"issued":{"date-parts":[["2022",12,31]]}}}],"schema":"https://github.com/citation-style-language/schema/raw/master/csl-citation.json"}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[9]</w:t>
            </w:r>
            <w:r>
              <w:rPr>
                <w:rFonts w:ascii="Times New Roman" w:eastAsia="SimSun" w:hAnsi="Times New Roman" w:cs="Times New Roman"/>
                <w:color w:val="000000"/>
                <w:kern w:val="0"/>
                <w:sz w:val="15"/>
                <w:szCs w:val="15"/>
                <w14:ligatures w14:val="none"/>
              </w:rPr>
              <w:fldChar w:fldCharType="end"/>
            </w:r>
          </w:p>
        </w:tc>
      </w:tr>
      <w:tr w:rsidR="00427052" w:rsidRPr="00186A4D" w14:paraId="7FB4F755" w14:textId="77777777" w:rsidTr="00281326">
        <w:trPr>
          <w:trHeight w:val="56"/>
        </w:trPr>
        <w:tc>
          <w:tcPr>
            <w:tcW w:w="3754" w:type="dxa"/>
            <w:vAlign w:val="center"/>
            <w:hideMark/>
          </w:tcPr>
          <w:p w14:paraId="42494D6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IDH1 mutation-associated ferroptosis sensitivity</w:t>
            </w:r>
          </w:p>
        </w:tc>
        <w:tc>
          <w:tcPr>
            <w:tcW w:w="3402" w:type="dxa"/>
            <w:vAlign w:val="center"/>
            <w:hideMark/>
          </w:tcPr>
          <w:p w14:paraId="112B293C" w14:textId="3AEB248F"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IDH1-mutant CCA cells may be more sensitive to ferroptosis-inducing stress</w:t>
            </w:r>
            <w:r>
              <w:rPr>
                <w:rFonts w:ascii="Times New Roman" w:eastAsia="SimSun" w:hAnsi="Times New Roman" w:cs="Times New Roman"/>
                <w:color w:val="000000"/>
                <w:kern w:val="0"/>
                <w:sz w:val="15"/>
                <w:szCs w:val="15"/>
                <w14:ligatures w14:val="none"/>
              </w:rPr>
              <w:t>.</w:t>
            </w:r>
          </w:p>
        </w:tc>
        <w:tc>
          <w:tcPr>
            <w:tcW w:w="2591" w:type="dxa"/>
            <w:vAlign w:val="center"/>
            <w:hideMark/>
          </w:tcPr>
          <w:p w14:paraId="3FD99AD8"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Cell-based CCA study</w:t>
            </w:r>
          </w:p>
        </w:tc>
        <w:tc>
          <w:tcPr>
            <w:tcW w:w="851" w:type="dxa"/>
            <w:vAlign w:val="center"/>
            <w:hideMark/>
          </w:tcPr>
          <w:p w14:paraId="1A162537" w14:textId="2985DA71"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w:t>
            </w:r>
          </w:p>
        </w:tc>
        <w:tc>
          <w:tcPr>
            <w:tcW w:w="810" w:type="dxa"/>
            <w:vAlign w:val="center"/>
            <w:hideMark/>
          </w:tcPr>
          <w:p w14:paraId="5E9E732A" w14:textId="09054B58"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{"citationID":"SDstSQtg","properties":{"unsorted":false,"formattedCitation":"[10]","plainCitation":"[10]","noteIndex":0},"citationItems":[{"id":149,"uris":["http://zotero.org/users/18222353/items/LCVFBEGP"],"itemData":{"id":149,"type":"article-journal","abstract":"The present study intends to clarify the hypothesis that isocitrate dehydrogenase 1 (IDH1) mutation in cholangiocarcinoma impairs tumor progression by sensitizing  cells to ferroptosis through the in vitro and in vivo experiments.  Cholangiocarcinoma RBE cell line was transfected with IDH1 R132C mutation  plasmids and treated with erastin to induce ferroptosis, which were then  microscopically photographed. Cell viability rate was calculated by trypan blue  staining. The lipid ROS level was determined by using flow cytometer. The BALB/c  nude mice were injected subcutaneously with IDH1 knockout (KO), WT, or R132C  mutation cell line, followed by injecting erastin intraperitoneally. The tumor  tissue was surgically separated for the measurement of tumor volume and weight.  The results showed that IDH1 mutant RBE cell line are sensitive to  erastin-induced ferroptosis, evidenced by the increased number of propidium  iodide-positive cells, the decreased cell viability, and increased lipid ROS  level. However, current targeted inhibitors of IDH1 mutation (AG120 and IDH305)  reversed these effects caused by IDH1 mutation. The in vivo experiment showed  that IDH1 mutation in cholangiocarcinoma impairs tumor progression by sensitizing  cells to erastin-induced ferroptosis. This study indicated that IDH1 mutation in  cholangiocarcinoma impairs tumor progression by sensitizing cells to  erastin-induced ferroptosis.","container-title":"Open medicine (Warsaw, Poland)","DOI":</w:instrText>
            </w:r>
            <w:r>
              <w:rPr>
                <w:rFonts w:ascii="Times New Roman" w:eastAsia="SimSun" w:hAnsi="Times New Roman" w:cs="Times New Roman" w:hint="eastAsia"/>
                <w:color w:val="000000"/>
                <w:kern w:val="0"/>
                <w:sz w:val="15"/>
                <w:szCs w:val="15"/>
                <w14:ligatures w14:val="none"/>
              </w:rPr>
              <w:instrText xml:space="preserve">"10.1515/med-2022-0477","ISSN":"2391-5463","issue":"1","journalAbbreviation":"Open Med (Wars)","language":"en-US","license":"© 2022 Li Su et al., published by De Gruyter.","note":"publisher-place: Poland\ntitleTranslation: </w:instrText>
            </w:r>
            <w:r>
              <w:rPr>
                <w:rFonts w:ascii="Times New Roman" w:eastAsia="SimSun" w:hAnsi="Times New Roman" w:cs="Times New Roman" w:hint="eastAsia"/>
                <w:color w:val="000000"/>
                <w:kern w:val="0"/>
                <w:sz w:val="15"/>
                <w:szCs w:val="15"/>
                <w14:ligatures w14:val="none"/>
              </w:rPr>
              <w:instrText>胆管癌中的异柠檬酸脱氢酶</w:instrText>
            </w:r>
            <w:r>
              <w:rPr>
                <w:rFonts w:ascii="Times New Roman" w:eastAsia="SimSun" w:hAnsi="Times New Roman" w:cs="Times New Roman" w:hint="eastAsia"/>
                <w:color w:val="000000"/>
                <w:kern w:val="0"/>
                <w:sz w:val="15"/>
                <w:szCs w:val="15"/>
                <w14:ligatures w14:val="none"/>
              </w:rPr>
              <w:instrText xml:space="preserve"> 1 </w:instrText>
            </w:r>
            <w:r>
              <w:rPr>
                <w:rFonts w:ascii="Times New Roman" w:eastAsia="SimSun" w:hAnsi="Times New Roman" w:cs="Times New Roman" w:hint="eastAsia"/>
                <w:color w:val="000000"/>
                <w:kern w:val="0"/>
                <w:sz w:val="15"/>
                <w:szCs w:val="15"/>
                <w14:ligatures w14:val="none"/>
              </w:rPr>
              <w:instrText>突变通过使细胞对铁死亡敏感来损害肿瘤进展。</w:instrText>
            </w:r>
            <w:r>
              <w:rPr>
                <w:rFonts w:ascii="Times New Roman" w:eastAsia="SimSun" w:hAnsi="Times New Roman" w:cs="Times New Roman" w:hint="eastAsia"/>
                <w:color w:val="000000"/>
                <w:kern w:val="0"/>
                <w:sz w:val="15"/>
                <w:szCs w:val="15"/>
                <w14:ligatures w14:val="none"/>
              </w:rPr>
              <w:instrText>\nTLDR: The in vivo experiment showed that IDH1 mutation in cholangiocarcinoma impairs tumor progression by sensitizing cells to erastin-induced ferroptosis, evidenced by the increased number of propidium iodide-positive cells, the decreased cell viab</w:instrText>
            </w:r>
            <w:r>
              <w:rPr>
                <w:rFonts w:ascii="Times New Roman" w:eastAsia="SimSun" w:hAnsi="Times New Roman" w:cs="Times New Roman"/>
                <w:color w:val="000000"/>
                <w:kern w:val="0"/>
                <w:sz w:val="15"/>
                <w:szCs w:val="15"/>
                <w14:ligatures w14:val="none"/>
              </w:rPr>
              <w:instrText xml:space="preserve">ility, and increased lipid ROS level.","page":"863-870","PMID":"35600114","PMCID":"PMC9077397","title":"Isocitrate dehydrogenase 1 mutation in cholangiocarcinoma impairs tumor progression by sensitizing cells to ferroptosis.","volume":"17","author":[{"family":"Su","given":"Li"},{"family":"Huang","given":"Yi"},{"family":"Zheng","given":"Lei"},{"family":"Zhu","given":"Zhifa"},{"family":"Wu","given":"Yue"},{"family":"Li","given":"Ping"}],"issued":{"date-parts":[["2022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[10]</w:t>
            </w:r>
            <w:r>
              <w:rPr>
                <w:rFonts w:ascii="Times New Roman" w:eastAsia="SimSun" w:hAnsi="Times New Roman" w:cs="Times New Roman"/>
                <w:color w:val="000000"/>
                <w:kern w:val="0"/>
                <w:sz w:val="15"/>
                <w:szCs w:val="15"/>
                <w14:ligatures w14:val="none"/>
              </w:rPr>
              <w:fldChar w:fldCharType="end"/>
            </w:r>
          </w:p>
        </w:tc>
      </w:tr>
      <w:tr w:rsidR="00427052" w:rsidRPr="00186A4D" w14:paraId="37F0F512" w14:textId="77777777" w:rsidTr="00281326">
        <w:trPr>
          <w:trHeight w:val="56"/>
        </w:trPr>
        <w:tc>
          <w:tcPr>
            <w:tcW w:w="3754" w:type="dxa"/>
            <w:vAlign w:val="center"/>
            <w:hideMark/>
          </w:tcPr>
          <w:p w14:paraId="6E196D1A"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Increased total cholesterol and small dense LDL cholesterol in extrahepatic CCA with cholestasis</w:t>
            </w:r>
          </w:p>
        </w:tc>
        <w:tc>
          <w:tcPr>
            <w:tcW w:w="3402" w:type="dxa"/>
            <w:vAlign w:val="center"/>
            <w:hideMark/>
          </w:tcPr>
          <w:p w14:paraId="607B5E8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Indicates cholestasis-associated lipoprotein disturbance; potential confounder for lipid biomarkers</w:t>
            </w:r>
          </w:p>
        </w:tc>
        <w:tc>
          <w:tcPr>
            <w:tcW w:w="2591" w:type="dxa"/>
            <w:vAlign w:val="center"/>
            <w:hideMark/>
          </w:tcPr>
          <w:p w14:paraId="77E54F9B" w14:textId="2481F87B"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Clinical observational study in </w:t>
            </w:r>
            <w:r>
              <w:rPr>
                <w:rFonts w:ascii="Times New Roman" w:eastAsia="SimSun" w:hAnsi="Times New Roman" w:cs="Times New Roman"/>
                <w:color w:val="000000"/>
                <w:kern w:val="0"/>
                <w:sz w:val="15"/>
                <w:szCs w:val="15"/>
                <w14:ligatures w14:val="none"/>
              </w:rPr>
              <w:t xml:space="preserve">the </w:t>
            </w:r>
            <w:proofErr w:type="spellStart"/>
            <w:r w:rsidRPr="00186A4D">
              <w:rPr>
                <w:rFonts w:ascii="Times New Roman" w:eastAsia="SimSun" w:hAnsi="Times New Roman" w:cs="Times New Roman"/>
                <w:color w:val="000000"/>
                <w:kern w:val="0"/>
                <w:sz w:val="15"/>
                <w:szCs w:val="15"/>
                <w14:ligatures w14:val="none"/>
              </w:rPr>
              <w:t>eCCA</w:t>
            </w:r>
            <w:proofErr w:type="spellEnd"/>
            <w:r w:rsidRPr="00186A4D">
              <w:rPr>
                <w:rFonts w:ascii="Times New Roman" w:eastAsia="SimSun" w:hAnsi="Times New Roman" w:cs="Times New Roman"/>
                <w:color w:val="000000"/>
                <w:kern w:val="0"/>
                <w:sz w:val="15"/>
                <w:szCs w:val="15"/>
                <w14:ligatures w14:val="none"/>
              </w:rPr>
              <w:t>/cholestasis context</w:t>
            </w:r>
          </w:p>
        </w:tc>
        <w:tc>
          <w:tcPr>
            <w:tcW w:w="851" w:type="dxa"/>
            <w:vAlign w:val="center"/>
            <w:hideMark/>
          </w:tcPr>
          <w:p w14:paraId="332BD7DC" w14:textId="0F19E769"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w:t>
            </w:r>
          </w:p>
        </w:tc>
        <w:tc>
          <w:tcPr>
            <w:tcW w:w="810" w:type="dxa"/>
            <w:vAlign w:val="center"/>
            <w:hideMark/>
          </w:tcPr>
          <w:p w14:paraId="3404D1CA" w14:textId="2401C269"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{"citationID":"zX0NzAa4","properties":{"unsorted":false,"formattedCitation":"[11]","plainCitation":"[11]","noteIndex":0},"citationItems":[{"id":3250,"uris":["http://zotero.org/users/18222353/items/EVIGUIJ4"],"itemData":{"id":3250,"type":"article-journal","abstract":"PURPOSE: Most patients diagnosed with extrahepatic cholangiocarcinoma (ECCA) exhibit cholestasis caused by obstruction of the bile duct. Cholestasis is associated with lipid disorders, but studies focused on the changing lipid parameters in patients with ECCA are lacking. Here, we observed lipid profiles in patients with ECCA and investigated whether the removal of biliary obstruction could correct dyslipidemia.\nPATIENTS AND METHODS: We consecutively included patients admitted to the hepatobiliary surgery department at the Affiliated Hospital of Xuzhou Medical University. The patients were divided into an ECCA group or a non-ECCA group based on the disease assessment. Patients with histological confirmation of ECCA were included in the ECCA group. Blood samples were collected on admission as well as five days after treatment. An automatic biochemistry analyzer was used to test liver function and serum lipid levels. Serum lipoprotein electrophoresis was performed using barbitone sodium buffer and Sudan black B.\nRESULTS: A total of 180 patients met inclusion criteria and were enrolled for this study. Of these, 76 patients were diagnosed with ECCA; all other patients were enrolled in the non-ECCA group. Total cholesterol (TC) and small and dense low-density lipoprotein cholesterol (sdLDL-C) levels were significantly elevated in the ECCA group. LDL-C levels were found to be slightly lower in the ECCA group. In the ECCA group, serum samples were detained in sample wells and lipoproteins failed to be separated. TC and sdLDL-C levels significantly decreased after cholestasis relief in the ECCA group. Lipoprotein electrophoresis revealed that patients with ECCA showed normal lipoprotein patterns after treatment.\nCONCLUSION: Patients with ECCA exhibited transiently elevated TC and sdLDL-C levels and falsely low LDL-C results. TC, sdLDL-C, and LDL-C levels could be restored to normal levels after biliary obstruction removal and cholestasis relief.","container-title":"OncoTargets and Therapy","DOI":"10.2147/OTT.S285856","ISSN":"1178-6930","journalAbbreviation":"OncoTargets Ther.","language":"en","page":"1061-1071","PMID":"33623393","PMCID":"PMC7894891","source":"PubMed","title":"Transiently elevated TC and sdLDL-C levels and falsely low LDL-C levels in patients with extrahepatic cholangiocarcinoma","volume":"14","author":[{"family":"Guo","given":"Yi"},{"family":"Zhang","given":"Yong-Gen"},{"family":"Li","given":"Hong-Chun"},{"family":"Xu","given":"Yin-Hai"}],"issued":{"date-parts":[["2021"]]}}}],"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[11]</w:t>
            </w:r>
            <w:r>
              <w:rPr>
                <w:rFonts w:ascii="Times New Roman" w:eastAsia="SimSun" w:hAnsi="Times New Roman" w:cs="Times New Roman"/>
                <w:color w:val="000000"/>
                <w:kern w:val="0"/>
                <w:sz w:val="15"/>
                <w:szCs w:val="15"/>
                <w14:ligatures w14:val="none"/>
              </w:rPr>
              <w:fldChar w:fldCharType="end"/>
            </w:r>
          </w:p>
        </w:tc>
      </w:tr>
      <w:tr w:rsidR="00427052" w:rsidRPr="00186A4D" w14:paraId="7A828423" w14:textId="77777777" w:rsidTr="00281326">
        <w:trPr>
          <w:trHeight w:val="56"/>
        </w:trPr>
        <w:tc>
          <w:tcPr>
            <w:tcW w:w="3754" w:type="dxa"/>
            <w:vAlign w:val="center"/>
            <w:hideMark/>
          </w:tcPr>
          <w:p w14:paraId="58A66A6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Bile acid-related cholangiocyte proliferation and injury signaling</w:t>
            </w:r>
          </w:p>
        </w:tc>
        <w:tc>
          <w:tcPr>
            <w:tcW w:w="3402" w:type="dxa"/>
            <w:vAlign w:val="center"/>
            <w:hideMark/>
          </w:tcPr>
          <w:p w14:paraId="034D321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Supports the concept that cholestatic bile acid exposure may create a permissive biliary niche</w:t>
            </w:r>
          </w:p>
        </w:tc>
        <w:tc>
          <w:tcPr>
            <w:tcW w:w="2591" w:type="dxa"/>
            <w:vAlign w:val="center"/>
            <w:hideMark/>
          </w:tcPr>
          <w:p w14:paraId="4386433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Animal and mechanistic bile-acid receptor studies; indirect relevance to CCA</w:t>
            </w:r>
          </w:p>
        </w:tc>
        <w:tc>
          <w:tcPr>
            <w:tcW w:w="851" w:type="dxa"/>
            <w:vAlign w:val="center"/>
            <w:hideMark/>
          </w:tcPr>
          <w:p w14:paraId="10CD5FB1" w14:textId="6FCF701F"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C–E</w:t>
            </w:r>
          </w:p>
        </w:tc>
        <w:tc>
          <w:tcPr>
            <w:tcW w:w="810" w:type="dxa"/>
            <w:vAlign w:val="center"/>
            <w:hideMark/>
          </w:tcPr>
          <w:p w14:paraId="31DCB117" w14:textId="19E58142"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{"citationID":"EcCf8aLX","properties":{"unsorted":false,"formattedCitation":"[12,13]","plainCitation":"[12,13]","noteIndex":0},"citationItems":[{"id":306,"uris":["http://zotero.org/users/18222353/items/5V6AI3AU"],"itemData":{"id":306,"type":"article-journal","abstract":"Bile duct obstruction is a potent stimulus for cholangiocyte proliferation, especially for large cholangiocytes. Our previous studies reported that  conjugated bile acids (CBAs) activate the protein kinase B (AKT) and  extracellular signal-regulated kinase 1 and 2 (ERK1/2) signaling pathways through  sphingosine 1-phosphate receptor (S1PR) 2 in hepatocytes and cholangiocarcinoma  cells. It also has been reported that taurocholate (TCA) promotes large  cholangiocyte proliferation and protects cholangiocytes from bile duct ligation  (BDL)-induced apoptosis. However, the role of S1PR2 in bile-acid-mediated  cholangiocyte proliferation and cholestatic liver injury has not been elucidated.  Here, we report that S1PR2 is the predominant S1PR expressed in cholangiocytes.  Both TCA- and sphingosine-1-phosphate (S1P)-induced activation of ERK1/2 and AKT  were inhibited by JTE-013, a specific antagonist of S1PR2, in cholangiocytes. In  addition, TCA- and S1P-induced cell proliferation and migration were inhibited by  JTE-013 and a specific short hairpin RNA of S1PR2, as well as chemical inhibitors  of ERK1/2 and AKT in mouse cholangiocytes. In BDL mice, expression of S1PR2 was  up-regulated in whole liver and cholangiocytes. S1PR2 deficiency significantly  reduced BDL-induced cholangiocyte proliferation and cholestatic injury, as  indicated by significant reductions in inflammation and liver fibrosis in S1PR2  knockout mice. Treatment of BDL mice with JTE-013 significantly reduced total  bile acid levels in serum and cholestatic liver injury. CONCLUSION: This study  suggests that CBA-induced activation of S1PR2-mediated signaling pathways plays a  critical role in obstructive cholestasis and may represent a novel therapeutic  target for cholestatic liver diseases. (Hepatology 2017;65:2005-2018).","container-title":"Hepatology (Baltimore, Md.)","DOI":"10.1002/hep.29076","ISSN":"1527-3350 0270-9139","issue":"6","journalAbbreviation":"Hepatology","language":"en-US","lice</w:instrText>
            </w:r>
            <w:r>
              <w:rPr>
                <w:rFonts w:ascii="Times New Roman" w:eastAsia="SimSun" w:hAnsi="Times New Roman" w:cs="Times New Roman" w:hint="eastAsia"/>
                <w:color w:val="000000"/>
                <w:kern w:val="0"/>
                <w:sz w:val="15"/>
                <w:szCs w:val="15"/>
                <w14:ligatures w14:val="none"/>
              </w:rPr>
              <w:instrText xml:space="preserve">nse":"© 2017 by the American Association for the Study of Liver Diseases.","note":"publisher-place: United States\ntitleTranslation: </w:instrText>
            </w:r>
            <w:r>
              <w:rPr>
                <w:rFonts w:ascii="Times New Roman" w:eastAsia="SimSun" w:hAnsi="Times New Roman" w:cs="Times New Roman" w:hint="eastAsia"/>
                <w:color w:val="000000"/>
                <w:kern w:val="0"/>
                <w:sz w:val="15"/>
                <w:szCs w:val="15"/>
                <w14:ligatures w14:val="none"/>
              </w:rPr>
              <w:instrText>鞘氨醇</w:instrText>
            </w:r>
            <w:r>
              <w:rPr>
                <w:rFonts w:ascii="Times New Roman" w:eastAsia="SimSun" w:hAnsi="Times New Roman" w:cs="Times New Roman" w:hint="eastAsia"/>
                <w:color w:val="000000"/>
                <w:kern w:val="0"/>
                <w:sz w:val="15"/>
                <w:szCs w:val="15"/>
                <w14:ligatures w14:val="none"/>
              </w:rPr>
              <w:instrText xml:space="preserve"> 1-</w:instrText>
            </w:r>
            <w:r>
              <w:rPr>
                <w:rFonts w:ascii="Times New Roman" w:eastAsia="SimSun" w:hAnsi="Times New Roman" w:cs="Times New Roman" w:hint="eastAsia"/>
                <w:color w:val="000000"/>
                <w:kern w:val="0"/>
                <w:sz w:val="15"/>
                <w:szCs w:val="15"/>
                <w14:ligatures w14:val="none"/>
              </w:rPr>
              <w:instrText>磷酸受体</w:instrText>
            </w:r>
            <w:r>
              <w:rPr>
                <w:rFonts w:ascii="Times New Roman" w:eastAsia="SimSun" w:hAnsi="Times New Roman" w:cs="Times New Roman" w:hint="eastAsia"/>
                <w:color w:val="000000"/>
                <w:kern w:val="0"/>
                <w:sz w:val="15"/>
                <w:szCs w:val="15"/>
                <w14:ligatures w14:val="none"/>
              </w:rPr>
              <w:instrText xml:space="preserve"> 2 </w:instrText>
            </w:r>
            <w:r>
              <w:rPr>
                <w:rFonts w:ascii="Times New Roman" w:eastAsia="SimSun" w:hAnsi="Times New Roman" w:cs="Times New Roman" w:hint="eastAsia"/>
                <w:color w:val="000000"/>
                <w:kern w:val="0"/>
                <w:sz w:val="15"/>
                <w:szCs w:val="15"/>
                <w14:ligatures w14:val="none"/>
              </w:rPr>
              <w:instrText>在胆汁酸诱导的小鼠胆管细胞增殖和胆汁淤积诱导肝损伤中的作用。</w:instrText>
            </w:r>
            <w:r>
              <w:rPr>
                <w:rFonts w:ascii="Times New Roman" w:eastAsia="SimSun" w:hAnsi="Times New Roman" w:cs="Times New Roman" w:hint="eastAsia"/>
                <w:color w:val="000000"/>
                <w:kern w:val="0"/>
                <w:sz w:val="15"/>
                <w:szCs w:val="15"/>
                <w14:ligatures w14:val="none"/>
              </w:rPr>
              <w:instrText>\nTLDR: This study suggests that CBA</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induced activation of S1PR2</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mediated signa</w:instrText>
            </w:r>
            <w:r>
              <w:rPr>
                <w:rFonts w:ascii="Times New Roman" w:eastAsia="SimSun" w:hAnsi="Times New Roman" w:cs="Times New Roman"/>
                <w:color w:val="000000"/>
                <w:kern w:val="0"/>
                <w:sz w:val="15"/>
                <w:szCs w:val="15"/>
                <w14:ligatures w14:val="none"/>
              </w:rPr>
              <w:instrText xml:space="preserve">ling pathways plays a critical role in obstructive cholestasis and may represent a novel therapeutic target for cholESTatic liver diseases.","page":"2005-2018","PMID":"28120434","PMCID":"PMC5444993","title":"The role of sphingosine 1-phosphate receptor 2 in bile-acid-induced cholangiocyte proliferation and cholestasis-induced liver injury in mice.","volume":"65","author":[{"family":"Wang","given":"Yongqing"},{"family":"Aoki","given":"Hiroaki"},{"family":"Yang","given":"Jing"},{"family":"Peng","given":"Kesong"},{"family":"Liu","given":"Runping"},{"family":"Li","given":"Xiaojiaoyang"},{"family":"Qiang","given":"Xiaoyan"},{"family":"Sun","given":"Lixin"},{"family":"Gurley","given":"Emily C."},{"family":"Lai","given":"Guanhua"},{"family":"Zhang","given":"Luyong"},{"family":"Liang","given":"Guang"},{"family":"Nagahashi","given":"Masayuki"},{"family":"Takabe","given":"Kazuaki"},{"family":"Pandak","given":"William M."},{"family":"Hylemon","given":"Phillip B."},{"family":"Zhou","given":"Huiping"}],"issued":{"date-parts":[["2017",6]]}}},{"id":3228,"uris":["http://zotero.org/users/18222353/items/UTJN8TZW"],"itemData":{"id":3228,"type":"article-journal","abstract":"Cholangiocarcinoma (CCA) is an often fatal primary malignancy of the intra- and extrahepatic biliary tract that is commonly associated with chronic cholestasis and significantly elevated levels of primary and conjugated bile acids (CBAs), which are correlated with bile duct obstruction (BDO). BDO has also recently been shown to promote CCA progression. However, whereas there is increasing evidence linking chronic cholestasis and abnormal bile acid profiles to CCA development and progression, the specific mechanisms by which bile acids may be acting to promote cholangiocarcinogenesis and invasive biliary tumor growth have not been fully established. Recent studies have shown that CBAs, but not free bile acids, stimulate CCA cell growth, and that an imbalance in the ratio of free to CBAs may play an important role in the tumorigenesis of CCA. Also, CBAs are able to activate extracellular signal-regulated kinase (ERK)1/2- and phosphatidylinositol-3-kinase/protein kinase B (AKT)-signaling pathways through sphingosine 1-phosphate receptor 2 (S1PR2) in rodent hepatocytes. In the current study, we demonstrate S1PR2 to be highly expressed in rat and human CCA cells, as well as in human CCA tissues. We further show that CBAs activate the ERK1/2- and AKT-signaling pathways and significantly stimulate CCA cell growth and invasion in vitro. Taurocholate (TCA)-mediated CCA cell proliferation, migration, and invasion were significantly inhibited by JTE-013, a chemical antagonist of S1PR2, or by lentiviral short hairpin RNA silencing of S1PR2. In a novel organotypic rat CCA coculture model, TCA was further found to significantly increase the growth of CCA cell spheroidal/\"duct-like\" structures, which was blocked by treatment with JTE-013.\nCONCLUSION: Our collective data support the hypothesis that CBAs promote CCA cell-invasive growth through S1PR2.","container-title":"Hepatology","DOI":"10.1002/hep.27085","ISSN":"1527-3350","issue":"3","journalAbbreviation":"Hepatology","language":"en","page":"908-918","PMID":"24700501","PMCID":"PMC4141906","publisher-place":"Baltimore, Md.","source":"PubMed","title":"Conjugated bile acids promote cholangiocarcinoma cell invasive growth through activation of sphingosine 1-phosphate receptor 2","volume":"60","author":[{"family":"Liu","given":"Runping"},{"family":"Zhao","given":"Renping"},{"family":"Zhou","given":"Xiqiao"},{"family":"Liang","given":"Xiuyin"},{"family":"Campbell","given":"Deanna J. W."},{"family":"Zhang","given":"Xiaoxuan"},{"family":"Zhang","given":"Luyong"},{"family":"Shi","given":"Ruihua"},{"family":"Wang","given":"Guangji"},{"family":"Pandak","given":"William M."},{"family":"Sirica","given":"Alphonse E."},{"family":"Hylemon","given":"Phillip B."},{"family":"Zhou","given":"Huiping"}],"issued":{"date-parts":[["2014",9]]}}}],"schema":"https://github.com/citation-style-language/schema/raw/master/csl-citation.json"}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[12,13]</w:t>
            </w:r>
            <w:r>
              <w:rPr>
                <w:rFonts w:ascii="Times New Roman" w:eastAsia="SimSun" w:hAnsi="Times New Roman" w:cs="Times New Roman"/>
                <w:color w:val="000000"/>
                <w:kern w:val="0"/>
                <w:sz w:val="15"/>
                <w:szCs w:val="15"/>
                <w14:ligatures w14:val="none"/>
              </w:rPr>
              <w:fldChar w:fldCharType="end"/>
            </w:r>
          </w:p>
        </w:tc>
      </w:tr>
      <w:tr w:rsidR="00427052" w:rsidRPr="00186A4D" w14:paraId="39BF778B" w14:textId="77777777" w:rsidTr="00281326">
        <w:trPr>
          <w:trHeight w:val="56"/>
        </w:trPr>
        <w:tc>
          <w:tcPr>
            <w:tcW w:w="3754" w:type="dxa"/>
            <w:vAlign w:val="center"/>
            <w:hideMark/>
          </w:tcPr>
          <w:p w14:paraId="2C7C83E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STAT3–BRD9–CD36 axis enhances fatty acid uptake</w:t>
            </w:r>
          </w:p>
        </w:tc>
        <w:tc>
          <w:tcPr>
            <w:tcW w:w="3402" w:type="dxa"/>
            <w:vAlign w:val="center"/>
            <w:hideMark/>
          </w:tcPr>
          <w:p w14:paraId="3FDE208C"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Couples inflammatory transcriptional signaling to CD36-mediated fatty acid metabolism and </w:t>
            </w:r>
            <w:proofErr w:type="spellStart"/>
            <w:r w:rsidRPr="00186A4D">
              <w:rPr>
                <w:rFonts w:ascii="Times New Roman" w:eastAsia="SimSun" w:hAnsi="Times New Roman" w:cs="Times New Roman"/>
                <w:color w:val="000000"/>
                <w:kern w:val="0"/>
                <w:sz w:val="15"/>
                <w:szCs w:val="15"/>
                <w14:ligatures w14:val="none"/>
              </w:rPr>
              <w:t>iCCA</w:t>
            </w:r>
            <w:proofErr w:type="spellEnd"/>
            <w:r w:rsidRPr="00186A4D">
              <w:rPr>
                <w:rFonts w:ascii="Times New Roman" w:eastAsia="SimSun" w:hAnsi="Times New Roman" w:cs="Times New Roman"/>
                <w:color w:val="000000"/>
                <w:kern w:val="0"/>
                <w:sz w:val="15"/>
                <w:szCs w:val="15"/>
                <w14:ligatures w14:val="none"/>
              </w:rPr>
              <w:t xml:space="preserve"> progression</w:t>
            </w:r>
          </w:p>
        </w:tc>
        <w:tc>
          <w:tcPr>
            <w:tcW w:w="2591" w:type="dxa"/>
            <w:vAlign w:val="center"/>
            <w:hideMark/>
          </w:tcPr>
          <w:p w14:paraId="4793619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Human </w:t>
            </w:r>
            <w:proofErr w:type="spellStart"/>
            <w:r w:rsidRPr="00186A4D">
              <w:rPr>
                <w:rFonts w:ascii="Times New Roman" w:eastAsia="SimSun" w:hAnsi="Times New Roman" w:cs="Times New Roman"/>
                <w:color w:val="000000"/>
                <w:kern w:val="0"/>
                <w:sz w:val="15"/>
                <w:szCs w:val="15"/>
                <w14:ligatures w14:val="none"/>
              </w:rPr>
              <w:t>iCCA</w:t>
            </w:r>
            <w:proofErr w:type="spellEnd"/>
            <w:r w:rsidRPr="00186A4D">
              <w:rPr>
                <w:rFonts w:ascii="Times New Roman" w:eastAsia="SimSun" w:hAnsi="Times New Roman" w:cs="Times New Roman"/>
                <w:color w:val="000000"/>
                <w:kern w:val="0"/>
                <w:sz w:val="15"/>
                <w:szCs w:val="15"/>
                <w14:ligatures w14:val="none"/>
              </w:rPr>
              <w:t xml:space="preserve"> samples, prognosis association, cell and animal functional validation</w:t>
            </w:r>
          </w:p>
        </w:tc>
        <w:tc>
          <w:tcPr>
            <w:tcW w:w="851" w:type="dxa"/>
            <w:vAlign w:val="center"/>
            <w:hideMark/>
          </w:tcPr>
          <w:p w14:paraId="7C13C9AD" w14:textId="5BA402C5"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1E2CDA4D" w14:textId="1169EFC8"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{"citationID":"NWabZ2lS","properties":{"unsorted":false,"formattedCitation":"[14]","plainCitation":"[14]","noteIndex":0},"citationItems":[{"id":317,"uris":["http://zotero.org/users/18222353/items/6NW2WDKH"],"itemData":{"id":317,"type":"article-journal","abstract":"Intrahepatic cholangiocarcinoma (ICC) is an aggressive bile-duct malignancy with high mortality rates, poor sensitivity to chemotherapy, and poor prognosis.  Treatment options are extremely limited. Bromodomain-containing protein 9 (BRD9)  has been linked to the development of various cancers, and therapies targeting  BRD9 have been found to be effective. However, the role of BRD9 in ICC has not  been examined, and the mechanism underlying the effects of BRD9 in cancer remain  unknown. In this study, we investigated the association between BRD9 expression  and ICC tumor progression, finding that high levels of BRD9 were linked to ICC  tumor growth and unfavorable prognosis. In terms of the mechanism, the  STAT3-BRD9-CD36 axis was found to be involved in ICC tumor growth. High BRD9  expression was found to promote CD36 expression, enhancing fatty acid metabolism  in tumor cells to enable more rapid proliferation, and high BRD9 levels were  influenced by elevated STAT3 expression. Treatment with the CPT1A inhibitor  Etomoxir further confirmed this mechanism by blocking lipid transfer into the  mitochondria and suppressing fatty acid oxidation, resulting in lipid  accumulation. In addition, it was found that inhibition of BRD9 reduced ICC tumor  growth and could help overcome chemoresistance. Together, the results suggest the  potential of BRD9 as a therapeutic target for intrahepatic cholangiocarcinoma and  highlight its role in regulating fatty acid metabolism in cancer cells.","container-title":"Cancer letters","DOI":"10.1016/j.canlet.2025.218066","ISSN":"1872-7980 0304-3835","journalAbbreviation":"Cancer Lett","language":"en-US","license":"Copyright © 2025 The Authors. Published by Elsevier B.V. All rights reserved.","note":"publisher-place: Ireland\nTLDR: It was found that inhibition of BRD9 reduced ICC tumor growth and could help overcome chemoresistance, suggesting the potential of BRD9 as a therapeutic target for intrahepatic cholangiocarcinoma and highlighti</w:instrText>
            </w:r>
            <w:r>
              <w:rPr>
                <w:rFonts w:ascii="Times New Roman" w:eastAsia="SimSun" w:hAnsi="Times New Roman" w:cs="Times New Roman" w:hint="eastAsia"/>
                <w:color w:val="000000"/>
                <w:kern w:val="0"/>
                <w:sz w:val="15"/>
                <w:szCs w:val="15"/>
                <w14:ligatures w14:val="none"/>
              </w:rPr>
              <w:instrText xml:space="preserve">ng its role in regulating fatty acid metabolism in cancer cells.\ntitleTranslation: STAT3 </w:instrText>
            </w:r>
            <w:r>
              <w:rPr>
                <w:rFonts w:ascii="Times New Roman" w:eastAsia="SimSun" w:hAnsi="Times New Roman" w:cs="Times New Roman" w:hint="eastAsia"/>
                <w:color w:val="000000"/>
                <w:kern w:val="0"/>
                <w:sz w:val="15"/>
                <w:szCs w:val="15"/>
                <w14:ligatures w14:val="none"/>
              </w:rPr>
              <w:instrText>诱导的</w:instrText>
            </w:r>
            <w:r>
              <w:rPr>
                <w:rFonts w:ascii="Times New Roman" w:eastAsia="SimSun" w:hAnsi="Times New Roman" w:cs="Times New Roman" w:hint="eastAsia"/>
                <w:color w:val="000000"/>
                <w:kern w:val="0"/>
                <w:sz w:val="15"/>
                <w:szCs w:val="15"/>
                <w14:ligatures w14:val="none"/>
              </w:rPr>
              <w:instrText xml:space="preserve"> BRD9 </w:instrText>
            </w:r>
            <w:r>
              <w:rPr>
                <w:rFonts w:ascii="Times New Roman" w:eastAsia="SimSun" w:hAnsi="Times New Roman" w:cs="Times New Roman" w:hint="eastAsia"/>
                <w:color w:val="000000"/>
                <w:kern w:val="0"/>
                <w:sz w:val="15"/>
                <w:szCs w:val="15"/>
                <w14:ligatures w14:val="none"/>
              </w:rPr>
              <w:instrText>激活通过增强</w:instrText>
            </w:r>
            <w:r>
              <w:rPr>
                <w:rFonts w:ascii="Times New Roman" w:eastAsia="SimSun" w:hAnsi="Times New Roman" w:cs="Times New Roman" w:hint="eastAsia"/>
                <w:color w:val="000000"/>
                <w:kern w:val="0"/>
                <w:sz w:val="15"/>
                <w:szCs w:val="15"/>
                <w14:ligatures w14:val="none"/>
              </w:rPr>
              <w:instrText xml:space="preserve"> CD36 </w:instrText>
            </w:r>
            <w:r>
              <w:rPr>
                <w:rFonts w:ascii="Times New Roman" w:eastAsia="SimSun" w:hAnsi="Times New Roman" w:cs="Times New Roman" w:hint="eastAsia"/>
                <w:color w:val="000000"/>
                <w:kern w:val="0"/>
                <w:sz w:val="15"/>
                <w:szCs w:val="15"/>
                <w14:ligatures w14:val="none"/>
              </w:rPr>
              <w:instrText>控制的脂肪酸代谢来促进肝内胆管癌的进展。</w:instrText>
            </w:r>
            <w:r>
              <w:rPr>
                <w:rFonts w:ascii="Times New Roman" w:eastAsia="SimSun" w:hAnsi="Times New Roman" w:cs="Times New Roman" w:hint="eastAsia"/>
                <w:color w:val="000000"/>
                <w:kern w:val="0"/>
                <w:sz w:val="15"/>
                <w:szCs w:val="15"/>
                <w14:ligatures w14:val="none"/>
              </w:rPr>
              <w:instrText>","page":"218066","PMID":"41033607","title":"STAT3 induced BRD9 activation promotes intrahepatic cholangiocarcinoma progress</w:instrText>
            </w:r>
            <w:r>
              <w:rPr>
                <w:rFonts w:ascii="Times New Roman" w:eastAsia="SimSun" w:hAnsi="Times New Roman" w:cs="Times New Roman"/>
                <w:color w:val="000000"/>
                <w:kern w:val="0"/>
                <w:sz w:val="15"/>
                <w:szCs w:val="15"/>
                <w14:ligatures w14:val="none"/>
              </w:rPr>
              <w:instrText xml:space="preserve">ion by enhancing CD36 controlled fatty acid metabolism.","volume":"634","author":[{"family":"Bu","given":"Yichao"},{"family":"Chen","given":"Diyu"},{"family":"Li","given":"Jie"},{"family":"Yang","given":"Rui"},{"family":"Gao","given":"Jun"},{"family":"Qu","given":"Weifeng"},{"family":"Fu","given":"Xiutao"},{"family":"Liu","given":"Weiren"},{"family":"Ding","given":"Zhenbin"},{"family":"Zhou","given":"Jian"},{"family":"Shi","given":"Yinghong"},{"family":"Fan","given":"Jia"},{"family":"Fang","given":"Yuan"},{"family":"Tang","given":"Zheng"}],"issued":{"date-parts":[["2025",9,29]]}}}],"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[14]</w:t>
            </w:r>
            <w:r>
              <w:rPr>
                <w:rFonts w:ascii="Times New Roman" w:eastAsia="SimSun" w:hAnsi="Times New Roman" w:cs="Times New Roman"/>
                <w:color w:val="000000"/>
                <w:kern w:val="0"/>
                <w:sz w:val="15"/>
                <w:szCs w:val="15"/>
                <w14:ligatures w14:val="none"/>
              </w:rPr>
              <w:fldChar w:fldCharType="end"/>
            </w:r>
          </w:p>
        </w:tc>
      </w:tr>
      <w:tr w:rsidR="00427052" w:rsidRPr="00186A4D" w14:paraId="750E01C2" w14:textId="77777777" w:rsidTr="00281326">
        <w:trPr>
          <w:trHeight w:val="56"/>
        </w:trPr>
        <w:tc>
          <w:tcPr>
            <w:tcW w:w="3754" w:type="dxa"/>
            <w:vAlign w:val="center"/>
            <w:hideMark/>
          </w:tcPr>
          <w:p w14:paraId="6DECA15B" w14:textId="69E64EAC"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AURKB–NCEH1 axis increases intracellular cholesterol accumulation</w:t>
            </w:r>
            <w:r>
              <w:rPr>
                <w:rFonts w:ascii="Times New Roman" w:eastAsia="SimSun" w:hAnsi="Times New Roman" w:cs="Times New Roman"/>
                <w:color w:val="000000"/>
                <w:kern w:val="0"/>
                <w:sz w:val="15"/>
                <w:szCs w:val="15"/>
                <w14:ligatures w14:val="none"/>
              </w:rPr>
              <w:t>.</w:t>
            </w:r>
          </w:p>
        </w:tc>
        <w:tc>
          <w:tcPr>
            <w:tcW w:w="3402" w:type="dxa"/>
            <w:vAlign w:val="center"/>
            <w:hideMark/>
          </w:tcPr>
          <w:p w14:paraId="29F716B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Promotes CCA progression and may enhance chemoimmunotherapy response when targeted</w:t>
            </w:r>
          </w:p>
        </w:tc>
        <w:tc>
          <w:tcPr>
            <w:tcW w:w="2591" w:type="dxa"/>
            <w:vAlign w:val="center"/>
            <w:hideMark/>
          </w:tcPr>
          <w:p w14:paraId="073077FB"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Human CCA samples, mechanistic experiments, therapeutic testing in preclinical models</w:t>
            </w:r>
          </w:p>
        </w:tc>
        <w:tc>
          <w:tcPr>
            <w:tcW w:w="851" w:type="dxa"/>
            <w:vAlign w:val="center"/>
            <w:hideMark/>
          </w:tcPr>
          <w:p w14:paraId="69777C72" w14:textId="3E0B204D"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27EE1E52" w14:textId="670AD323"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{"citationID":"tv1QQbnk","properties":{"unsorted":false,"formattedCitation":"[15]","plainCitation":"[15]","noteIndex":0},"citationItems":[{"id":75,"uris":["http://zotero.org/users/18222353/items/DZ63ERKS"],"itemData":{"id":75,"type":"article-journal","abstract":"BACKGROUND: Cholangiocarcinoma (CCA) is a highly lethal malignant tumour with increasing incidence. Current therapies exhibit limited benefits, which urgently  demand the identification of novel therapeutic targets. OBJECTIVE: We aimed to  identify potential therapeutic targets for CCA and broaden current therapies.  DESIGN: Potential therapeutic targets for CCA were identified by sgRNA library  screening and validated in preclinical models. Multi-omics sequencing and various  experimental approaches were performed to validate the mechanism by which Aurora  kinase B (AURKB) regulates CCA progression and the immune microenvironment,  supported by clinical samples from public data sets and Tongji Hospital cohorts.  The translational therapy was comprehensively validated in CCA organoid,  patient-derived xenograft and preclinical murine models. RESULTS: AURKB was  identified as a highly expressed and targetable kinase in CCA. Knockout of AURKB  significantly inhibited CCA progression, reduced CD8(+) T cell exhaustion and  enhanced antitumour response. Mechanistically, AURKB promoted the generation of  histone H3 lysine 9 tri-methylation (H3K9me3)/serine 10 phosphorylation, leading  to a decrease in the enrichment of H3K9me3 at the neutral cholesterol ester  hydrolase 1 (NCEH1) promoter, thereby increasing NCEH1 expression and cholesterol  levels in tumours. High AURKB expression in clinical samples predicted poorer  outcomes in patients with CCA undergoing neoadjuvant chemoimmunotherapy and was  associated with cholesterol accumulation within tumours. AURKB inhibitor or  simvastatin can suppress CCA progression and significantly enhance sensitivity to  chemoimmunotherapy. CONCLUSIONS: AURKB regulates cholesterol levels and immune  microenvironment in tumours, highlighting that targeting AURKB or adopting  cholesterol-reducing strategy holds promise for CCA treatment, especially in  conjunction with first-line chemoimmunotherapy.","container-title":"Gut","DOI":"10.1136/gutjnl-2025-335291","ISSN":"1468-3288 0017-5749","journalAbbreviation":"Gut","language":"en-US","license":"© Author(s) (or their employer(s)) 2025. Re-use permitted under CC BY-NC. No commercial re-use. See rights and permissions. Published by BMJ Group."</w:instrText>
            </w:r>
            <w:r>
              <w:rPr>
                <w:rFonts w:ascii="Times New Roman" w:eastAsia="SimSun" w:hAnsi="Times New Roman" w:cs="Times New Roman" w:hint="eastAsia"/>
                <w:color w:val="000000"/>
                <w:kern w:val="0"/>
                <w:sz w:val="15"/>
                <w:szCs w:val="15"/>
                <w14:ligatures w14:val="none"/>
              </w:rPr>
              <w:instrText xml:space="preserve">,"note":"publisher-place: England\ntitleTranslation: </w:instrText>
            </w:r>
            <w:r>
              <w:rPr>
                <w:rFonts w:ascii="Times New Roman" w:eastAsia="SimSun" w:hAnsi="Times New Roman" w:cs="Times New Roman" w:hint="eastAsia"/>
                <w:color w:val="000000"/>
                <w:kern w:val="0"/>
                <w:sz w:val="15"/>
                <w:szCs w:val="15"/>
                <w14:ligatures w14:val="none"/>
              </w:rPr>
              <w:instrText>靶向极光激酶</w:instrText>
            </w:r>
            <w:r>
              <w:rPr>
                <w:rFonts w:ascii="Times New Roman" w:eastAsia="SimSun" w:hAnsi="Times New Roman" w:cs="Times New Roman" w:hint="eastAsia"/>
                <w:color w:val="000000"/>
                <w:kern w:val="0"/>
                <w:sz w:val="15"/>
                <w:szCs w:val="15"/>
                <w14:ligatures w14:val="none"/>
              </w:rPr>
              <w:instrText xml:space="preserve"> B </w:instrText>
            </w:r>
            <w:r>
              <w:rPr>
                <w:rFonts w:ascii="Times New Roman" w:eastAsia="SimSun" w:hAnsi="Times New Roman" w:cs="Times New Roman" w:hint="eastAsia"/>
                <w:color w:val="000000"/>
                <w:kern w:val="0"/>
                <w:sz w:val="15"/>
                <w:szCs w:val="15"/>
                <w14:ligatures w14:val="none"/>
              </w:rPr>
              <w:instrText>可调节胆固醇代谢并增强胆管癌的化学免疫治疗。</w:instrText>
            </w:r>
            <w:r>
              <w:rPr>
                <w:rFonts w:ascii="Times New Roman" w:eastAsia="SimSun" w:hAnsi="Times New Roman" w:cs="Times New Roman" w:hint="eastAsia"/>
                <w:color w:val="000000"/>
                <w:kern w:val="0"/>
                <w:sz w:val="15"/>
                <w:szCs w:val="15"/>
                <w14:ligatures w14:val="none"/>
              </w:rPr>
              <w:instrText>\nTLDR: AURKB regulates cholesterol levels and immune microenvironment in tumours, highlighting that targeting AURKB or adopting cholesterol-reducing strategy holds promis</w:instrText>
            </w:r>
            <w:r>
              <w:rPr>
                <w:rFonts w:ascii="Times New Roman" w:eastAsia="SimSun" w:hAnsi="Times New Roman" w:cs="Times New Roman"/>
                <w:color w:val="000000"/>
                <w:kern w:val="0"/>
                <w:sz w:val="15"/>
                <w:szCs w:val="15"/>
                <w14:ligatures w14:val="none"/>
              </w:rPr>
              <w:instrText xml:space="preserve">e for CCA treatment, especially in conjunction with first-line chemoimmunotherapy.","page":"gutjnl-2025-335291","PMID":"40744724","title":"Targeting Aurora kinase B regulates cholesterol metabolism and enhances chemoimmunotherapy in cholangiocarcinoma.","author":[{"family":"Liu","given":"Furong"},{"family":"Chen","given":"Wei"},{"family":"Zhang","given":"Ze"},{"family":"Zeng","given":"Weifeng"},{"family":"Hu","given":"Haofan"},{"family":"Ning","given":"Shangwu"},{"family":"Liao","given":"Zhibin"},{"family":"Liu","given":"Yachong"},{"family":"Zhang","given":"Hongwei"},{"family":"Fu","given":"Qinggang"},{"family":"Zhang","given":"Bixiang"},{"family":"Chen","given":"Xiaoping"},{"family":"Zhang","given":"Wanguang"},{"family":"Zhang","given":"Zhanguo"}],"issued":{"date-parts":[["2025",8,12]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[15]</w:t>
            </w:r>
            <w:r>
              <w:rPr>
                <w:rFonts w:ascii="Times New Roman" w:eastAsia="SimSun" w:hAnsi="Times New Roman" w:cs="Times New Roman"/>
                <w:color w:val="000000"/>
                <w:kern w:val="0"/>
                <w:sz w:val="15"/>
                <w:szCs w:val="15"/>
                <w14:ligatures w14:val="none"/>
              </w:rPr>
              <w:fldChar w:fldCharType="end"/>
            </w:r>
          </w:p>
        </w:tc>
      </w:tr>
      <w:tr w:rsidR="00427052" w:rsidRPr="00186A4D" w14:paraId="6187FC97" w14:textId="77777777" w:rsidTr="00281326">
        <w:trPr>
          <w:trHeight w:val="56"/>
        </w:trPr>
        <w:tc>
          <w:tcPr>
            <w:tcW w:w="3754" w:type="dxa"/>
            <w:vAlign w:val="center"/>
            <w:hideMark/>
          </w:tcPr>
          <w:p w14:paraId="34338AD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CXCL6-driven lipid metabolism remodeling</w:t>
            </w:r>
          </w:p>
        </w:tc>
        <w:tc>
          <w:tcPr>
            <w:tcW w:w="3402" w:type="dxa"/>
            <w:vAlign w:val="center"/>
            <w:hideMark/>
          </w:tcPr>
          <w:p w14:paraId="38622E53"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Induces lipid metabolic reprogramming, NET formation, CCA progression, and immunotherapy resistance</w:t>
            </w:r>
          </w:p>
        </w:tc>
        <w:tc>
          <w:tcPr>
            <w:tcW w:w="2591" w:type="dxa"/>
            <w:vAlign w:val="center"/>
            <w:hideMark/>
          </w:tcPr>
          <w:p w14:paraId="2998064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Human samples and experimental models</w:t>
            </w:r>
          </w:p>
        </w:tc>
        <w:tc>
          <w:tcPr>
            <w:tcW w:w="851" w:type="dxa"/>
            <w:vAlign w:val="center"/>
            <w:hideMark/>
          </w:tcPr>
          <w:p w14:paraId="4835FA15" w14:textId="4BE2F08E"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59C7D01E" w14:textId="6511D7C2"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{"citationID":"Zn6c29Kl","properties":{"unsorted":false,"formattedCitation":"[16]","plainCitation":"[16]","noteIndex":0},"citationItems":[{"id":71,"uris":["http://zotero.org/users/18222353/items/YZP8VCFJ"],"itemData":{"id":71,"type":"article-journal","abstract":"The chemokine CXCL6 is identified as a pivotal regulator of biological processes across multiple malignancies. However, its function in cholangiocarcinoma (CCA)  is underexplored. Tumor profiling for CXCL6 is performed using a public database.  Both in vitro and in vivo experiments are utilized to evaluate the oncogenic  effects of CXCL6 on CCA. Additionally, RNA-Seq is employed to detect  transcriptomic changes related to CXCL6 expression in CCA cells and neutrophils.  Molecular docking, fluorescence colocalization, and Co-IP are used to elucidate a  direct interaction between JAKs and CXCR1/2. Additionally, LC-MS lipidomics and  explored the impact of CXCL6 on immunotherapy in vivo. CXCL6 is upregulated in  CCA tissues and promoted the proliferation and metastasis of CCA.  Mechanistically, CXCL6 regulated the CXCR1/2-JAK-STAT/PI3K axis in CCA via  autocrine signaling, leading to lipid metabolic reprogramming, and promoted  neutrophil extracellular traps (NETs) formation by activating the RAS/MAPK  pathway in neutrophils. Eventually, NETs formation induced immunotherapy  resistance in CCA by blocking CD8(+)T cell infiltration. CXCL6 modulates CCA  progression through the CXCR1/2-JAK-STAT/PI3K axis and reshaping its lipid  metabolism. CXCL6 also mediates immunotherapy resistance through NETs, which may  be a potential therapeutic target and biomarker for CCA.","container-title":"Advanced science (Weinheim, Baden-Wurttemberg, Germany)","DOI":"10.1002/advs.202503009",</w:instrText>
            </w:r>
            <w:r>
              <w:rPr>
                <w:rFonts w:ascii="Times New Roman" w:eastAsia="SimSun" w:hAnsi="Times New Roman" w:cs="Times New Roman" w:hint="eastAsia"/>
                <w:color w:val="000000"/>
                <w:kern w:val="0"/>
                <w:sz w:val="15"/>
                <w:szCs w:val="15"/>
                <w14:ligatures w14:val="none"/>
              </w:rPr>
              <w:instrText>"ISSN":"2198-3844","issue":"27","journalAbbreviation":"Adv Sci (Weinh)","language":"en-US","license":"© 2025 The Author(s). Advanced Science published by Wiley</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 xml:space="preserve">VCH GmbH.","note":"publisher-place: Germany\ntitleTranslation: CXCL6 </w:instrText>
            </w:r>
            <w:r>
              <w:rPr>
                <w:rFonts w:ascii="Times New Roman" w:eastAsia="SimSun" w:hAnsi="Times New Roman" w:cs="Times New Roman" w:hint="eastAsia"/>
                <w:color w:val="000000"/>
                <w:kern w:val="0"/>
                <w:sz w:val="15"/>
                <w:szCs w:val="15"/>
                <w14:ligatures w14:val="none"/>
              </w:rPr>
              <w:instrText>重塑脂质代谢并诱导胆管癌进展和免疫治疗耐药中的中性粒细胞细胞外陷阱形成。</w:instrText>
            </w:r>
            <w:r>
              <w:rPr>
                <w:rFonts w:ascii="Times New Roman" w:eastAsia="SimSun" w:hAnsi="Times New Roman" w:cs="Times New Roman" w:hint="eastAsia"/>
                <w:color w:val="000000"/>
                <w:kern w:val="0"/>
                <w:sz w:val="15"/>
                <w:szCs w:val="15"/>
                <w14:ligatures w14:val="none"/>
              </w:rPr>
              <w:instrText>\nTLDR: CXCL6 regulated the CXCR1/2</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JAK</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STAT/PI3K axis in CCA via autocrine signaling, leading to lipid metabolic reprogramming, and promoted neutrophil extracellular traps (NETs) formation by activating the RAS/MAPK pathway in neutrophils.","pa</w:instrText>
            </w:r>
            <w:r>
              <w:rPr>
                <w:rFonts w:ascii="Times New Roman" w:eastAsia="SimSun" w:hAnsi="Times New Roman" w:cs="Times New Roman"/>
                <w:color w:val="000000"/>
                <w:kern w:val="0"/>
                <w:sz w:val="15"/>
                <w:szCs w:val="15"/>
                <w14:ligatures w14:val="none"/>
              </w:rPr>
              <w:instrText xml:space="preserve">ge":"e2503009","PMID":"40305734","PMCID":"PMC12279165","title":"CXCL6 Reshapes Lipid Metabolism and Induces Neutrophil Extracellular Trap Formation in Cholangiocarcinoma Progression and Immunotherapy Resistance.","volume":"12","author":[{"family":"He","given":"Tian"},{"family":"Wang","given":"Zi-Yi"},{"family":"Xu","given":"Bin"},{"family":"Zhong","given":"Cheng-Jie"},{"family":"Wang","given":"Lu-Na"},{"family":"Shi","given":"Huan-Chen"},{"family":"Yang","given":"Zi-Yue"},{"family":"Zhou","given":"Shi-Qi"},{"family":"Li","given":"Hui"},{"family":"Hu","given":"Bo"},{"family":"Zhu","given":"Xiao-Dong"},{"family":"Shen","given":"Ying-Hao"},{"family":"Zhou","given":"Jian"},{"family":"Fan","given":"Jia"},{"family":"Sun","given":"Hui-Chuan"},{"family":"Huang","given":"Cheng"}],"issued":{"date-parts":[["2025",7]]}}}],"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[16]</w:t>
            </w:r>
            <w:r>
              <w:rPr>
                <w:rFonts w:ascii="Times New Roman" w:eastAsia="SimSun" w:hAnsi="Times New Roman" w:cs="Times New Roman"/>
                <w:color w:val="000000"/>
                <w:kern w:val="0"/>
                <w:sz w:val="15"/>
                <w:szCs w:val="15"/>
                <w14:ligatures w14:val="none"/>
              </w:rPr>
              <w:fldChar w:fldCharType="end"/>
            </w:r>
          </w:p>
        </w:tc>
      </w:tr>
      <w:tr w:rsidR="00427052" w:rsidRPr="00186A4D" w14:paraId="21A57868" w14:textId="77777777" w:rsidTr="00281326">
        <w:trPr>
          <w:trHeight w:val="56"/>
        </w:trPr>
        <w:tc>
          <w:tcPr>
            <w:tcW w:w="3754" w:type="dxa"/>
            <w:vAlign w:val="center"/>
            <w:hideMark/>
          </w:tcPr>
          <w:p w14:paraId="3D446F4B"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GPBAR1/SOX4/CXCL10-related bile acid signaling</w:t>
            </w:r>
          </w:p>
        </w:tc>
        <w:tc>
          <w:tcPr>
            <w:tcW w:w="3402" w:type="dxa"/>
            <w:vAlign w:val="center"/>
            <w:hideMark/>
          </w:tcPr>
          <w:p w14:paraId="056E750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May connect bile acid signaling to invasion, EMT, immune recruitment, and microenvironment remodeling</w:t>
            </w:r>
          </w:p>
        </w:tc>
        <w:tc>
          <w:tcPr>
            <w:tcW w:w="2591" w:type="dxa"/>
            <w:vAlign w:val="center"/>
            <w:hideMark/>
          </w:tcPr>
          <w:p w14:paraId="798C4CC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Mainly mechanistic/preclinical evidence; direct lipid-metabolic validation remains limited</w:t>
            </w:r>
          </w:p>
        </w:tc>
        <w:tc>
          <w:tcPr>
            <w:tcW w:w="851" w:type="dxa"/>
            <w:vAlign w:val="center"/>
            <w:hideMark/>
          </w:tcPr>
          <w:p w14:paraId="166A7A30" w14:textId="5C335578"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w:t>
            </w:r>
          </w:p>
        </w:tc>
        <w:tc>
          <w:tcPr>
            <w:tcW w:w="810" w:type="dxa"/>
            <w:vAlign w:val="center"/>
            <w:hideMark/>
          </w:tcPr>
          <w:p w14:paraId="0DDE3BB6" w14:textId="3802EEFE"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{"citationID":"vwnavPh7","properties":{"unsorted":false,"formattedCitation":"[15]","plainCitation":"[15]","noteIndex":0},"citationItems":[{"id":75,"uris":["http://zotero.org/users/18222353/items/DZ63ERKS"],"itemData":{"id":75,"type":"article-journal","abstract":"BACKGROUND: Cholangiocarcinoma (CCA) is a highly lethal malignant tumour with increasing incidence. Current therapies exhibit limited benefits, which urgently  demand the identification of novel therapeutic targets. OBJECTIVE: We aimed to  identify potential therapeutic targets for CCA and broaden current therapies.  DESIGN: Potential therapeutic targets for CCA were identified by sgRNA library  screening and validated in preclinical models. Multi-omics sequencing and various  experimental approaches were performed to validate the mechanism by which Aurora  kinase B (AURKB) regulates CCA progression and the immune microenvironment,  supported by clinical samples from public data sets and Tongji Hospital cohorts.  The translational therapy was comprehensively validated in CCA organoid,  patient-derived xenograft and preclinical murine models. RESULTS: AURKB was  identified as a highly expressed and targetable kinase in CCA. Knockout of AURKB  significantly inhibited CCA progression, reduced CD8(+) T cell exhaustion and  enhanced antitumour response. Mechanistically, AURKB promoted the generation of  histone H3 lysine 9 tri-methylation (H3K9me3)/serine 10 phosphorylation, leading  to a decrease in the enrichment of H3K9me3 at the neutral cholesterol ester  hydrolase 1 (NCEH1) promoter, thereby increasing NCEH1 expression and cholesterol  levels in tumours. High AURKB expression in clinical samples predicted poorer  outcomes in patients with CCA undergoing neoadjuvant chemoimmunotherapy and was  associated with cholesterol accumulation within tumours. AURKB inhibitor or  simvastatin can suppress CCA progression and significantly enhance sensitivity to  chemoimmunotherapy. CONCLUSIONS: AURKB regulates cholesterol levels and immune  microenvironment in tumours, highlighting that targeting AURKB or adopting  cholesterol-reducing strategy holds promise for CCA treatment, especially in  conjunction with first-line chemoimmunotherapy.","container-title":"Gut","DOI":"10.1136/gutjnl-2025-335291","ISSN":"1468-3288 0017-5749","journalAbbreviation":"Gut","language":"en-US","license":"© Author(s) (or their employer(s)) 2025. Re-use permitted under CC BY-NC. No commercial re-use. See rights and permissions. Published by BMJ Group."</w:instrText>
            </w:r>
            <w:r>
              <w:rPr>
                <w:rFonts w:ascii="Times New Roman" w:eastAsia="SimSun" w:hAnsi="Times New Roman" w:cs="Times New Roman" w:hint="eastAsia"/>
                <w:color w:val="000000"/>
                <w:kern w:val="0"/>
                <w:sz w:val="15"/>
                <w:szCs w:val="15"/>
                <w14:ligatures w14:val="none"/>
              </w:rPr>
              <w:instrText xml:space="preserve">,"note":"publisher-place: England\ntitleTranslation: </w:instrText>
            </w:r>
            <w:r>
              <w:rPr>
                <w:rFonts w:ascii="Times New Roman" w:eastAsia="SimSun" w:hAnsi="Times New Roman" w:cs="Times New Roman" w:hint="eastAsia"/>
                <w:color w:val="000000"/>
                <w:kern w:val="0"/>
                <w:sz w:val="15"/>
                <w:szCs w:val="15"/>
                <w14:ligatures w14:val="none"/>
              </w:rPr>
              <w:instrText>靶向极光激酶</w:instrText>
            </w:r>
            <w:r>
              <w:rPr>
                <w:rFonts w:ascii="Times New Roman" w:eastAsia="SimSun" w:hAnsi="Times New Roman" w:cs="Times New Roman" w:hint="eastAsia"/>
                <w:color w:val="000000"/>
                <w:kern w:val="0"/>
                <w:sz w:val="15"/>
                <w:szCs w:val="15"/>
                <w14:ligatures w14:val="none"/>
              </w:rPr>
              <w:instrText xml:space="preserve"> B </w:instrText>
            </w:r>
            <w:r>
              <w:rPr>
                <w:rFonts w:ascii="Times New Roman" w:eastAsia="SimSun" w:hAnsi="Times New Roman" w:cs="Times New Roman" w:hint="eastAsia"/>
                <w:color w:val="000000"/>
                <w:kern w:val="0"/>
                <w:sz w:val="15"/>
                <w:szCs w:val="15"/>
                <w14:ligatures w14:val="none"/>
              </w:rPr>
              <w:instrText>可调节胆固醇代谢并增强胆管癌的化学免疫治疗。</w:instrText>
            </w:r>
            <w:r>
              <w:rPr>
                <w:rFonts w:ascii="Times New Roman" w:eastAsia="SimSun" w:hAnsi="Times New Roman" w:cs="Times New Roman" w:hint="eastAsia"/>
                <w:color w:val="000000"/>
                <w:kern w:val="0"/>
                <w:sz w:val="15"/>
                <w:szCs w:val="15"/>
                <w14:ligatures w14:val="none"/>
              </w:rPr>
              <w:instrText>\nTLDR: AURKB regulates cholesterol levels and immune microenvironment in tumours, highlighting that targeting AURKB or adopting cholesterol-reducing strategy holds promis</w:instrText>
            </w:r>
            <w:r>
              <w:rPr>
                <w:rFonts w:ascii="Times New Roman" w:eastAsia="SimSun" w:hAnsi="Times New Roman" w:cs="Times New Roman"/>
                <w:color w:val="000000"/>
                <w:kern w:val="0"/>
                <w:sz w:val="15"/>
                <w:szCs w:val="15"/>
                <w14:ligatures w14:val="none"/>
              </w:rPr>
              <w:instrText xml:space="preserve">e for CCA treatment, especially in conjunction with first-line chemoimmunotherapy.","page":"gutjnl-2025-335291","PMID":"40744724","title":"Targeting Aurora kinase B regulates cholesterol metabolism and enhances chemoimmunotherapy in cholangiocarcinoma.","author":[{"family":"Liu","given":"Furong"},{"family":"Chen","given":"Wei"},{"family":"Zhang","given":"Ze"},{"family":"Zeng","given":"Weifeng"},{"family":"Hu","given":"Haofan"},{"family":"Ning","given":"Shangwu"},{"family":"Liao","given":"Zhibin"},{"family":"Liu","given":"Yachong"},{"family":"Zhang","given":"Hongwei"},{"family":"Fu","given":"Qinggang"},{"family":"Zhang","given":"Bixiang"},{"family":"Chen","given":"Xiaoping"},{"family":"Zhang","given":"Wanguang"},{"family":"Zhang","given":"Zhanguo"}],"issued":{"date-parts":[["2025",8,12]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[15]</w:t>
            </w:r>
            <w:r>
              <w:rPr>
                <w:rFonts w:ascii="Times New Roman" w:eastAsia="SimSun" w:hAnsi="Times New Roman" w:cs="Times New Roman"/>
                <w:color w:val="000000"/>
                <w:kern w:val="0"/>
                <w:sz w:val="15"/>
                <w:szCs w:val="15"/>
                <w14:ligatures w14:val="none"/>
              </w:rPr>
              <w:fldChar w:fldCharType="end"/>
            </w:r>
          </w:p>
        </w:tc>
      </w:tr>
      <w:tr w:rsidR="00427052" w:rsidRPr="00186A4D" w14:paraId="29B430A7" w14:textId="77777777" w:rsidTr="00281326">
        <w:trPr>
          <w:trHeight w:val="56"/>
        </w:trPr>
        <w:tc>
          <w:tcPr>
            <w:tcW w:w="3754" w:type="dxa"/>
            <w:vAlign w:val="center"/>
            <w:hideMark/>
          </w:tcPr>
          <w:p w14:paraId="445D2B2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Sphingomyelin-related immune mediation</w:t>
            </w:r>
          </w:p>
        </w:tc>
        <w:tc>
          <w:tcPr>
            <w:tcW w:w="3402" w:type="dxa"/>
            <w:vAlign w:val="center"/>
            <w:hideMark/>
          </w:tcPr>
          <w:p w14:paraId="454D215A" w14:textId="43651CB0"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Certain sphingomyelin species may influence CCA risk through immune-cell mediation</w:t>
            </w:r>
            <w:r>
              <w:rPr>
                <w:rFonts w:ascii="Times New Roman" w:eastAsia="SimSun" w:hAnsi="Times New Roman" w:cs="Times New Roman"/>
                <w:color w:val="000000"/>
                <w:kern w:val="0"/>
                <w:sz w:val="15"/>
                <w:szCs w:val="15"/>
                <w14:ligatures w14:val="none"/>
              </w:rPr>
              <w:t>.</w:t>
            </w:r>
          </w:p>
        </w:tc>
        <w:tc>
          <w:tcPr>
            <w:tcW w:w="2591" w:type="dxa"/>
            <w:vAlign w:val="center"/>
            <w:hideMark/>
          </w:tcPr>
          <w:p w14:paraId="3B055DA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Mendelian randomization and immune-cell mediation analysis</w:t>
            </w:r>
          </w:p>
        </w:tc>
        <w:tc>
          <w:tcPr>
            <w:tcW w:w="851" w:type="dxa"/>
            <w:vAlign w:val="center"/>
            <w:hideMark/>
          </w:tcPr>
          <w:p w14:paraId="57E68EFB" w14:textId="5C826B35"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D–E</w:t>
            </w:r>
          </w:p>
        </w:tc>
        <w:tc>
          <w:tcPr>
            <w:tcW w:w="810" w:type="dxa"/>
            <w:vAlign w:val="center"/>
            <w:hideMark/>
          </w:tcPr>
          <w:p w14:paraId="43081FAE" w14:textId="77DAE4DA"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{"citationID":"XqZfOAuD","properties":{"unsorted":false,"formattedCitation":"[17]","plainCitation":"[17]","noteIndex":0},"citationItems":[{"id":131,"uris":["http://zotero.org/users/18222353/items/LUPINKWM"],"itemData":{"id":131,"type":"article-journal","abstract":"The plasma lipidome and immune cells are instrumental in shaping the health profile of an organism, and their influence on diseases is profound. However, the  intricate interactions between cholangiocarcinoma (CCA) and these physiological  components have yet to be comprehensively explored. Employing Mendelian  randomization (MR), our study delved into the causal links among immune cells,  the lipidome, and CCA. The research design meticulously considered both the  direct associations and the mediating roles of immune cells within the complex  interplay between the lipidome and CCA. Our analysis uncovered significant  correlations between the levels of Sphingomyelin (d34:1), Phosphatidylcholine  (0-16:0, 22:5) and Sterol ester (27:1/16:0) and CCA. Moreover, we have pinpointed  various immune cells that play a mediating role in the impact of the lipidome on  CCA. For example, Sphingomyelin (d34:1) can impact CCA through the IgD on IgD(+)  CD38(-) unswitched memory (unsw mem) B cell (B cell panel), IgD on unsw mem (B  cell panel) and Naive CD4(+) %CD4(+) (maturation stages of T cell). The  proportion of mediating effects further sheds light on the intricate interplay  among the lipidome, immune cells, and their cumulative influence on CCA. Our  study illuminates the intricate relationship among the lipidome, immune cells,  and CCA. These findings suggest that the lipidome could serve as a promising and  potentially effective therapeutic target in the treatment of CC</w:instrText>
            </w:r>
            <w:r>
              <w:rPr>
                <w:rFonts w:ascii="Times New Roman" w:eastAsia="SimSun" w:hAnsi="Times New Roman" w:cs="Times New Roman" w:hint="eastAsia"/>
                <w:color w:val="000000"/>
                <w:kern w:val="0"/>
                <w:sz w:val="15"/>
                <w:szCs w:val="15"/>
                <w14:ligatures w14:val="none"/>
              </w:rPr>
              <w:instrText xml:space="preserve">A.","container-title":"Scientific reports","DOI":"10.1038/s41598-025-90140-x","ISSN":"2045-2322","issue":"1","journalAbbreviation":"Sci Rep","language":"en-US","license":"© 2025. The Author(s).","note":"publisher-place: England\ntitleTranslation: </w:instrText>
            </w:r>
            <w:r>
              <w:rPr>
                <w:rFonts w:ascii="Times New Roman" w:eastAsia="SimSun" w:hAnsi="Times New Roman" w:cs="Times New Roman" w:hint="eastAsia"/>
                <w:color w:val="000000"/>
                <w:kern w:val="0"/>
                <w:sz w:val="15"/>
                <w:szCs w:val="15"/>
                <w14:ligatures w14:val="none"/>
              </w:rPr>
              <w:instrText>研究免疫细胞介导的血浆脂质组和胆管癌之间的因果关系：一项介导孟德尔随机化研究。</w:instrText>
            </w:r>
            <w:r>
              <w:rPr>
                <w:rFonts w:ascii="Times New Roman" w:eastAsia="SimSun" w:hAnsi="Times New Roman" w:cs="Times New Roman" w:hint="eastAsia"/>
                <w:color w:val="000000"/>
                <w:kern w:val="0"/>
                <w:sz w:val="15"/>
                <w:szCs w:val="15"/>
                <w14:ligatures w14:val="none"/>
              </w:rPr>
              <w:instrText>\nTLDR: The research design meticulously considered both the direct associations and the mediating roles of immune cells within the complex interplay between the lipidome and CCA to suggest that the lipidome could serve as a</w:instrText>
            </w:r>
            <w:r>
              <w:rPr>
                <w:rFonts w:ascii="Times New Roman" w:eastAsia="SimSun" w:hAnsi="Times New Roman" w:cs="Times New Roman"/>
                <w:color w:val="000000"/>
                <w:kern w:val="0"/>
                <w:sz w:val="15"/>
                <w:szCs w:val="15"/>
                <w14:ligatures w14:val="none"/>
              </w:rPr>
              <w:instrText xml:space="preserve"> promising and potentially effective therapeutic target in the treatment of CCA.","page":"5807","PMID":"39962308","PMCID":"PMC11832772","title":"Investigating the causal relationship between the plasma lipidome and cholangiocarcinoma mediated by immune cells: a mediation Mendelian randomization  study.","volume":"15","author":[{"family":"Yin","given":"Heng"},{"family":"Yang","given":"Keli"},{"family":"Lou","given":"Yan"},{"family":"Zhao","given":"Yaling"}],"issued":{"date-parts":[["2025",2,17]]}}}],"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[17]</w:t>
            </w:r>
            <w:r>
              <w:rPr>
                <w:rFonts w:ascii="Times New Roman" w:eastAsia="SimSun" w:hAnsi="Times New Roman" w:cs="Times New Roman"/>
                <w:color w:val="000000"/>
                <w:kern w:val="0"/>
                <w:sz w:val="15"/>
                <w:szCs w:val="15"/>
                <w14:ligatures w14:val="none"/>
              </w:rPr>
              <w:fldChar w:fldCharType="end"/>
            </w:r>
          </w:p>
        </w:tc>
      </w:tr>
      <w:tr w:rsidR="00427052" w:rsidRPr="00186A4D" w14:paraId="45EED4ED" w14:textId="77777777" w:rsidTr="00281326">
        <w:trPr>
          <w:trHeight w:val="56"/>
        </w:trPr>
        <w:tc>
          <w:tcPr>
            <w:tcW w:w="3754" w:type="dxa"/>
            <w:vAlign w:val="center"/>
            <w:hideMark/>
          </w:tcPr>
          <w:p w14:paraId="28AE2F35"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ALOX5-derived leukotriene signaling recruits TAMs through PI3K</w:t>
            </w:r>
          </w:p>
        </w:tc>
        <w:tc>
          <w:tcPr>
            <w:tcW w:w="3402" w:type="dxa"/>
            <w:vAlign w:val="center"/>
            <w:hideMark/>
          </w:tcPr>
          <w:p w14:paraId="3D55D57A"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Remodels the immune microenvironment and promotes ICC progression</w:t>
            </w:r>
          </w:p>
        </w:tc>
        <w:tc>
          <w:tcPr>
            <w:tcW w:w="2591" w:type="dxa"/>
            <w:vAlign w:val="center"/>
            <w:hideMark/>
          </w:tcPr>
          <w:p w14:paraId="20EB8AC4"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Human tissue association, immune infiltration analysis, cell and animal experiments</w:t>
            </w:r>
          </w:p>
        </w:tc>
        <w:tc>
          <w:tcPr>
            <w:tcW w:w="851" w:type="dxa"/>
            <w:vAlign w:val="center"/>
            <w:hideMark/>
          </w:tcPr>
          <w:p w14:paraId="0737507B" w14:textId="1257B051"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701738E6" w14:textId="25FCA020"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{"citationID":"raKPoCcl","properties":{"unsorted":false,"formattedCitation":"[18]","plainCitation":"[18]","noteIndex":0},"citationItems":[{"id":80,"uris":["http://zotero.org/users/18222353/items/CAWHMFVN"],"itemData":{"id":80,"type":"article-journal","abstract":"BACKGROUND: Intrahepatic cholangiocarcinoma (ICC) is poorly treated due to the presence of an inhibitory immune microenvironment. Tumor-associated macrophages  (TAM) are an important component of TME. ALOX5 is an important lipid metabolism  enzyme in cancer progression, but the mechanism by which it regulates TAM to  promote ICC progression is unknown. The aim of this study was to investigate the  potential mechanism of TAM regulation by ALOX5 and the translational effect of  targeting ALOX5. METHODS: In this study, we investigated the association between  the spatial localization of epithelial cells and TAMs by combining scRNA-seq  analysis with multiplex immunofluorescence analysis. Through bulk sequencing  analysis and spatial analysis, lipid metabolism genes closely related to TAM  infiltration were screened. In vitro co-culture model was constructed to verify  that ALOX5 and its downstream metabolite LTB4 promote M2 macrophage migration.  Bulk sequencing after co-culture combined with single-cell analysis was performed  to identify key pathways for up-regulation of M2 macrophage migration. Finally,  the effect of CSF1R inhibitor (PLX3397) combined with ALOX5 inhibitor (Zileuton)  in vivo was investigated by by xenograft tumor formation experiment in nude mice.  RESULTS: ALOX5 in ICC cells was a key lipid metabolism gene affecting the  infiltration of M2 macrophages in TME. Mechanically, LTB4, a metabolite  downstream of ALOX5, recruited M2 macrophages to migrate around tumor cells by  binding to BLT1/BLT2 and activating the PI3K pathway, which ultimately lead to  the promotion of ICC progression. Targeting CSF1R in combination with ALOX5  inhibitor effectively reduced tumor volume and M2 macrophage infiltration  abundance. CONCLUSION: In ICC, LTB4, a metabolite secreted by ALOX5 of epithelial  cells, binded to BLT1/BLT2 on TAM surface to activate PI3K pathway and promote  TAM migration, thus promoting ICC progression. Targeting CSF1R in combination  with ALOX5 inhibitor for ICC is a promising combination therapy modality.","container-title":"Journal of translational medicine","DOI":"10.1186/s12967-023-04804-1","ISSN":"1479-5876","issue":"1","journalAbbreviation":"J Transl Med","language":"en-US","license":"© 2023. The Author(s).","note":"publisher-place: England\nTLDR: LTB4, a metabolite secreted by ALOX5 of epithelial cells, binded to BLT1/BLT2 on TAM surface to activate PI3K pathway and promote TAM migration, thus promoting ICC progression, and targeting CSF1</w:instrText>
            </w:r>
            <w:r>
              <w:rPr>
                <w:rFonts w:ascii="Times New Roman" w:eastAsia="SimSun" w:hAnsi="Times New Roman" w:cs="Times New Roman" w:hint="eastAsia"/>
                <w:color w:val="000000"/>
                <w:kern w:val="0"/>
                <w:sz w:val="15"/>
                <w:szCs w:val="15"/>
                <w14:ligatures w14:val="none"/>
              </w:rPr>
              <w:instrText>R in combination with ALOX5 inhibitor for ICC is a promising combination therapy modality.\ntitleTranslation: ALOX5</w:instrText>
            </w:r>
            <w:r>
              <w:rPr>
                <w:rFonts w:ascii="Times New Roman" w:eastAsia="SimSun" w:hAnsi="Times New Roman" w:cs="Times New Roman" w:hint="eastAsia"/>
                <w:color w:val="000000"/>
                <w:kern w:val="0"/>
                <w:sz w:val="15"/>
                <w:szCs w:val="15"/>
                <w14:ligatures w14:val="none"/>
              </w:rPr>
              <w:instrText>在调节肝内胆管癌的免疫微环境中起关键作用，通过</w:instrText>
            </w:r>
            <w:r>
              <w:rPr>
                <w:rFonts w:ascii="Times New Roman" w:eastAsia="SimSun" w:hAnsi="Times New Roman" w:cs="Times New Roman" w:hint="eastAsia"/>
                <w:color w:val="000000"/>
                <w:kern w:val="0"/>
                <w:sz w:val="15"/>
                <w:szCs w:val="15"/>
                <w14:ligatures w14:val="none"/>
              </w:rPr>
              <w:instrText>PI3K</w:instrText>
            </w:r>
            <w:r>
              <w:rPr>
                <w:rFonts w:ascii="Times New Roman" w:eastAsia="SimSun" w:hAnsi="Times New Roman" w:cs="Times New Roman" w:hint="eastAsia"/>
                <w:color w:val="000000"/>
                <w:kern w:val="0"/>
                <w:sz w:val="15"/>
                <w:szCs w:val="15"/>
                <w14:ligatures w14:val="none"/>
              </w:rPr>
              <w:instrText>通路募集肿瘤相关巨噬细胞。</w:instrText>
            </w:r>
            <w:r>
              <w:rPr>
                <w:rFonts w:ascii="Times New Roman" w:eastAsia="SimSun" w:hAnsi="Times New Roman" w:cs="Times New Roman" w:hint="eastAsia"/>
                <w:color w:val="000000"/>
                <w:kern w:val="0"/>
                <w:sz w:val="15"/>
                <w:szCs w:val="15"/>
                <w14:ligatures w14:val="none"/>
              </w:rPr>
              <w:instrText>","page":"923","PMID":"38124204","PMCID":"PMC10734103","title":"ALOX5 acts as a key role in regulati</w:instrText>
            </w:r>
            <w:r>
              <w:rPr>
                <w:rFonts w:ascii="Times New Roman" w:eastAsia="SimSun" w:hAnsi="Times New Roman" w:cs="Times New Roman"/>
                <w:color w:val="000000"/>
                <w:kern w:val="0"/>
                <w:sz w:val="15"/>
                <w:szCs w:val="15"/>
                <w14:ligatures w14:val="none"/>
              </w:rPr>
              <w:instrText xml:space="preserve">ng the immune microenvironment in intrahepatic cholangiocarcinoma, recruiting tumor-associated macrophages through  PI3K pathway.","volume":"21","author":[{"family":"Chen","given":"Jialu"},{"family":"Tang","given":"Yue"},{"family":"Qin","given":"Delong"},{"family":"Yu","given":"Xiaopeng"},{"family":"Tong","given":"Huanjun"},{"family":"Tang","given":"Chengwei"},{"family":"Tang","given":"Zhaohui"}],"issued":{"date-parts":[["2023",12,20]]}}}],"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34C55">
              <w:rPr>
                <w:rFonts w:ascii="Times New Roman" w:hAnsi="Times New Roman" w:cs="Times New Roman"/>
                <w:sz w:val="15"/>
              </w:rPr>
              <w:t>[18]</w:t>
            </w:r>
            <w:r>
              <w:rPr>
                <w:rFonts w:ascii="Times New Roman" w:eastAsia="SimSun" w:hAnsi="Times New Roman" w:cs="Times New Roman"/>
                <w:color w:val="000000"/>
                <w:kern w:val="0"/>
                <w:sz w:val="15"/>
                <w:szCs w:val="15"/>
                <w14:ligatures w14:val="none"/>
              </w:rPr>
              <w:fldChar w:fldCharType="end"/>
            </w:r>
          </w:p>
        </w:tc>
      </w:tr>
      <w:tr w:rsidR="00427052" w:rsidRPr="00186A4D" w14:paraId="60AC3488" w14:textId="77777777" w:rsidTr="00281326">
        <w:trPr>
          <w:trHeight w:val="56"/>
        </w:trPr>
        <w:tc>
          <w:tcPr>
            <w:tcW w:w="3754" w:type="dxa"/>
            <w:vAlign w:val="center"/>
            <w:hideMark/>
          </w:tcPr>
          <w:p w14:paraId="127070A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Tumor lipid mediators reshape TAM and T-cell function</w:t>
            </w:r>
          </w:p>
        </w:tc>
        <w:tc>
          <w:tcPr>
            <w:tcW w:w="3402" w:type="dxa"/>
            <w:vAlign w:val="center"/>
            <w:hideMark/>
          </w:tcPr>
          <w:p w14:paraId="7E9E788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Supports a bidirectional lipid–immune amplification loop</w:t>
            </w:r>
          </w:p>
        </w:tc>
        <w:tc>
          <w:tcPr>
            <w:tcW w:w="2591" w:type="dxa"/>
            <w:vAlign w:val="center"/>
            <w:hideMark/>
          </w:tcPr>
          <w:p w14:paraId="2082C64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Integrated evidence from AA/TAM, ALOX5/TAM, CXCL6/NETs, and lipidome–immune mediation studies</w:t>
            </w:r>
          </w:p>
        </w:tc>
        <w:tc>
          <w:tcPr>
            <w:tcW w:w="851" w:type="dxa"/>
            <w:vAlign w:val="center"/>
            <w:hideMark/>
          </w:tcPr>
          <w:p w14:paraId="53FDA015" w14:textId="4913C1A8"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B–C</w:t>
            </w:r>
          </w:p>
        </w:tc>
        <w:tc>
          <w:tcPr>
            <w:tcW w:w="810" w:type="dxa"/>
            <w:vAlign w:val="center"/>
            <w:hideMark/>
          </w:tcPr>
          <w:p w14:paraId="43F31CFF" w14:textId="55607F64" w:rsidR="00427052" w:rsidRPr="00186A4D" w:rsidRDefault="00334C55"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sidR="003E144F">
              <w:rPr>
                <w:rFonts w:ascii="Times New Roman" w:eastAsia="SimSun" w:hAnsi="Times New Roman" w:cs="Times New Roman"/>
                <w:color w:val="000000"/>
                <w:kern w:val="0"/>
                <w:sz w:val="15"/>
                <w:szCs w:val="15"/>
                <w14:ligatures w14:val="none"/>
              </w:rPr>
              <w:instrText xml:space="preserve"> ADDIN ZOTERO_ITEM CSL_CITATION {"citationID":"Er8zhBZM","properties":{"unsorted":false,"formattedCitation":"[17,18]","plainCitation":"[17,18]","noteIndex":0},"citationItems":[{"id":131,"uris":["http://zotero.org/users/18222353/items/LUPINKWM"],"itemData":{"id":131,"type":"article-journal","abstract":"The plasma lipidome and immune cells are instrumental in shaping the health profile of an organism, and their influence on diseases is profound. However, the  intricate interactions between cholangiocarcinoma (CCA) and these physiological  components have yet to be comprehensively explored. Employing Mendelian  randomization (MR), our study delved into the causal links among immune cells,  the lipidome, and CCA. The research design meticulously considered both the  direct associations and the mediating roles of immune cells within the complex  interplay between the lipidome and CCA. Our analysis uncovered significant  correlations between the levels of Sphingomyelin (d34:1), Phosphatidylcholine  (0-16:0, 22:5) and Sterol ester (27:1/16:0) and CCA. Moreover, we have pinpointed  various immune cells that play a mediating role in the impact of the lipidome on  CCA. For example, Sphingomyelin (d34:1) can impact CCA through the IgD on IgD(+)  CD38(-) unswitched memory (unsw mem) B cell (B cell panel), IgD on unsw mem (B  cell panel) and Naive CD4(+) %CD4(+) (maturation stages of T cell). The  proportion of mediating effects further sheds light on the intricate interplay  among the lipidome, immune cells, and their cumulative influence on CCA. Our  study illuminates the intricate relationship among the lipidome, immune cells,  and CCA. These findings suggest that the lipidome could serve as a promising and  potentially effective therapeutic target in the treatment</w:instrText>
            </w:r>
            <w:r w:rsidR="003E144F">
              <w:rPr>
                <w:rFonts w:ascii="Times New Roman" w:eastAsia="SimSun" w:hAnsi="Times New Roman" w:cs="Times New Roman" w:hint="eastAsia"/>
                <w:color w:val="000000"/>
                <w:kern w:val="0"/>
                <w:sz w:val="15"/>
                <w:szCs w:val="15"/>
                <w14:ligatures w14:val="none"/>
              </w:rPr>
              <w:instrText xml:space="preserve"> of CCA.","container-title":"Scientific reports","DOI":"10.1038/s41598-025-90140-x","ISSN":"2045-2322","issue":"1","journalAbbreviation":"Sci Rep","language":"en-US","license":"© 2025. The Author(s).","note":"publisher-place: England\ntitleTranslation: </w:instrText>
            </w:r>
            <w:r w:rsidR="003E144F">
              <w:rPr>
                <w:rFonts w:ascii="Times New Roman" w:eastAsia="SimSun" w:hAnsi="Times New Roman" w:cs="Times New Roman" w:hint="eastAsia"/>
                <w:color w:val="000000"/>
                <w:kern w:val="0"/>
                <w:sz w:val="15"/>
                <w:szCs w:val="15"/>
                <w14:ligatures w14:val="none"/>
              </w:rPr>
              <w:instrText>研究免疫细胞介导的血浆脂质组和胆管癌之间的因果关系：一项介导孟德尔随机化研究。</w:instrText>
            </w:r>
            <w:r w:rsidR="003E144F">
              <w:rPr>
                <w:rFonts w:ascii="Times New Roman" w:eastAsia="SimSun" w:hAnsi="Times New Roman" w:cs="Times New Roman" w:hint="eastAsia"/>
                <w:color w:val="000000"/>
                <w:kern w:val="0"/>
                <w:sz w:val="15"/>
                <w:szCs w:val="15"/>
                <w14:ligatures w14:val="none"/>
              </w:rPr>
              <w:instrText>\nTLDR: The research design meticulously considered both the direct associations and the mediating roles of immune cells within the complex interplay between the lipidome and CCA to suggest that the lipidome could serv</w:instrText>
            </w:r>
            <w:r w:rsidR="003E144F">
              <w:rPr>
                <w:rFonts w:ascii="Times New Roman" w:eastAsia="SimSun" w:hAnsi="Times New Roman" w:cs="Times New Roman"/>
                <w:color w:val="000000"/>
                <w:kern w:val="0"/>
                <w:sz w:val="15"/>
                <w:szCs w:val="15"/>
                <w14:ligatures w14:val="none"/>
              </w:rPr>
              <w:instrText>e as a promising and potentially effective therapeutic target in the treatment of CCA.","page":"5807","PMID":"39962308","PMCID":"PMC11832772","title":"Investigating the causal relationship between the plasma lipidome and cholangiocarcinoma mediated by immune cells: a mediation Mendelian randomization  study.","volume":"15","author":[{"family":"Yin","given":"Heng"},{"family":"Yang","given":"Keli"},{"family":"Lou","given":"Yan"},{"family":"Zhao","given":"Yaling"}],"issued":{"date-parts":[["2025",2,17]]}}},{"id":80,"uris":["http://zotero.org/users/18222353/items/CAWHMFVN"],"itemData":{"id":80,"type":"article-journal","abstract":"BACKGROUND: Intrahepatic cholangiocarcinoma (ICC) is poorly treated due to the presence of an inhibitory immune microenvironment. Tumor-associated macrophages  (TAM) are an important component of TME. ALOX5 is an important lipid metabolism  enzyme in cancer progression, but the mechanism by which it regulates TAM to  promote ICC progression is unknown. The aim of this study was to investigate the  potential mechanism of TAM regulation by ALOX5 and the translational effect of  targeting ALOX5. METHODS: In this study, we investigated the association between  the spatial localization of epithelial cells and TAMs by combining scRNA-seq  analysis with multiplex immunofluorescence analysis. Through bulk sequencing  analysis and spatial analysis, lipid metabolism genes closely related to TAM  infiltration were screened. In vitro co-culture model was constructed to verify  that ALOX5 and its downstream metabolite LTB4 promote M2 macrophage migration.  Bulk sequencing after co-culture combined with single-cell analysis was performed  to identify key pathways for up-regulation of M2 macrophage migration. Finally,  the effect of CSF1R inhibitor (PLX3397) combined with ALOX5 inhibitor (Zileuton)  in vivo was investigated by by xenograft tumor formation experiment in nude mice.  RESULTS: ALOX5 in ICC cells was a key lipid metabolism gene affecting the  infiltration of M2 macrophages in TME. Mechanically, LTB4, a metabolite  downstream of ALOX5, recruited M2 macrophages to migrate around tumor cells by  binding to BLT1/BLT2 and activating the PI3K pathway, which ultimately lead to  the promotion of ICC progression. Targeting CSF1R in combination with ALOX5  inhibitor effectively reduced tumor volume and M2 macrophage infiltration  abundance. CONCLUSION: In ICC, LTB4, a metabolite secreted by ALOX5 of epithelial  cells, binded to BLT1/BLT2 on TAM surface to activate PI3K pathway and promote  TAM migration, thus promoting ICC progression. Targeting CSF1R in combination  with ALOX5 inhibitor for ICC is a promising combination therapy modality.","container-title":"Journal of translational medicine","DOI":"10.1186/s12967-023-04804-1","ISSN":"1479-5876","issue":"1","journalAbbreviation":"J Transl Med","language":"en-US","license":"© 2023. The Author(s).","note":"publisher-place: England\nTLDR: LTB4, a metabolite secreted by ALOX5 of epithelial cells, binded to BLT1/BLT2 on TAM surface to activate PI3K p</w:instrText>
            </w:r>
            <w:r w:rsidR="003E144F">
              <w:rPr>
                <w:rFonts w:ascii="Times New Roman" w:eastAsia="SimSun" w:hAnsi="Times New Roman" w:cs="Times New Roman" w:hint="eastAsia"/>
                <w:color w:val="000000"/>
                <w:kern w:val="0"/>
                <w:sz w:val="15"/>
                <w:szCs w:val="15"/>
                <w14:ligatures w14:val="none"/>
              </w:rPr>
              <w:instrText>athway and promote TAM migration, thus promoting ICC progression, and targeting CSF1R in combination with ALOX5 inhibitor for ICC is a promising combination therapy modality.\ntitleTranslation: ALOX5</w:instrText>
            </w:r>
            <w:r w:rsidR="003E144F">
              <w:rPr>
                <w:rFonts w:ascii="Times New Roman" w:eastAsia="SimSun" w:hAnsi="Times New Roman" w:cs="Times New Roman" w:hint="eastAsia"/>
                <w:color w:val="000000"/>
                <w:kern w:val="0"/>
                <w:sz w:val="15"/>
                <w:szCs w:val="15"/>
                <w14:ligatures w14:val="none"/>
              </w:rPr>
              <w:instrText>在调节肝内胆管癌的免疫微环境中起关键作用，通过</w:instrText>
            </w:r>
            <w:r w:rsidR="003E144F">
              <w:rPr>
                <w:rFonts w:ascii="Times New Roman" w:eastAsia="SimSun" w:hAnsi="Times New Roman" w:cs="Times New Roman" w:hint="eastAsia"/>
                <w:color w:val="000000"/>
                <w:kern w:val="0"/>
                <w:sz w:val="15"/>
                <w:szCs w:val="15"/>
                <w14:ligatures w14:val="none"/>
              </w:rPr>
              <w:instrText>PI3K</w:instrText>
            </w:r>
            <w:r w:rsidR="003E144F">
              <w:rPr>
                <w:rFonts w:ascii="Times New Roman" w:eastAsia="SimSun" w:hAnsi="Times New Roman" w:cs="Times New Roman" w:hint="eastAsia"/>
                <w:color w:val="000000"/>
                <w:kern w:val="0"/>
                <w:sz w:val="15"/>
                <w:szCs w:val="15"/>
                <w14:ligatures w14:val="none"/>
              </w:rPr>
              <w:instrText>通路募集肿瘤相关巨噬细胞。</w:instrText>
            </w:r>
            <w:r w:rsidR="003E144F">
              <w:rPr>
                <w:rFonts w:ascii="Times New Roman" w:eastAsia="SimSun" w:hAnsi="Times New Roman" w:cs="Times New Roman" w:hint="eastAsia"/>
                <w:color w:val="000000"/>
                <w:kern w:val="0"/>
                <w:sz w:val="15"/>
                <w:szCs w:val="15"/>
                <w14:ligatures w14:val="none"/>
              </w:rPr>
              <w:instrText>","page":"923","</w:instrText>
            </w:r>
            <w:r w:rsidR="003E144F">
              <w:rPr>
                <w:rFonts w:ascii="Times New Roman" w:eastAsia="SimSun" w:hAnsi="Times New Roman" w:cs="Times New Roman"/>
                <w:color w:val="000000"/>
                <w:kern w:val="0"/>
                <w:sz w:val="15"/>
                <w:szCs w:val="15"/>
                <w14:ligatures w14:val="none"/>
              </w:rPr>
              <w:instrText xml:space="preserve">PMID":"38124204","PMCID":"PMC10734103","title":"ALOX5 acts as a key role in regulating the immune microenvironment in intrahepatic cholangiocarcinoma, recruiting tumor-associated macrophages through  PI3K pathway.","volume":"21","author":[{"family":"Chen","given":"Jialu"},{"family":"Tang","given":"Yue"},{"family":"Qin","given":"Delong"},{"family":"Yu","given":"Xiaopeng"},{"family":"Tong","given":"Huanjun"},{"family":"Tang","given":"Chengwei"},{"family":"Tang","given":"Zhaohui"}],"issued":{"date-parts":[["2023",12,20]]}}}],"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003E144F" w:rsidRPr="003E144F">
              <w:rPr>
                <w:rFonts w:ascii="Times New Roman" w:hAnsi="Times New Roman" w:cs="Times New Roman"/>
                <w:sz w:val="15"/>
              </w:rPr>
              <w:t>[17,18]</w:t>
            </w:r>
            <w:r>
              <w:rPr>
                <w:rFonts w:ascii="Times New Roman" w:eastAsia="SimSun" w:hAnsi="Times New Roman" w:cs="Times New Roman"/>
                <w:color w:val="000000"/>
                <w:kern w:val="0"/>
                <w:sz w:val="15"/>
                <w:szCs w:val="15"/>
                <w14:ligatures w14:val="none"/>
              </w:rPr>
              <w:fldChar w:fldCharType="end"/>
            </w:r>
          </w:p>
        </w:tc>
      </w:tr>
      <w:tr w:rsidR="00427052" w:rsidRPr="00186A4D" w14:paraId="0F839975" w14:textId="77777777" w:rsidTr="00281326">
        <w:trPr>
          <w:trHeight w:val="56"/>
        </w:trPr>
        <w:tc>
          <w:tcPr>
            <w:tcW w:w="3754" w:type="dxa"/>
            <w:vAlign w:val="center"/>
            <w:hideMark/>
          </w:tcPr>
          <w:p w14:paraId="3D944241"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Increased fatty acid uptake, triglyceride storage, and FAO enrichment</w:t>
            </w:r>
          </w:p>
        </w:tc>
        <w:tc>
          <w:tcPr>
            <w:tcW w:w="3402" w:type="dxa"/>
            <w:vAlign w:val="center"/>
            <w:hideMark/>
          </w:tcPr>
          <w:p w14:paraId="7BBE847D"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Provides adaptive energy metabolism for proliferative or metabolically stressed CCA cells</w:t>
            </w:r>
          </w:p>
        </w:tc>
        <w:tc>
          <w:tcPr>
            <w:tcW w:w="2591" w:type="dxa"/>
            <w:vAlign w:val="center"/>
            <w:hideMark/>
          </w:tcPr>
          <w:p w14:paraId="56ED972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Human CCA samples, CCA cell models, proteomic/metabolic evidence</w:t>
            </w:r>
          </w:p>
        </w:tc>
        <w:tc>
          <w:tcPr>
            <w:tcW w:w="851" w:type="dxa"/>
            <w:vAlign w:val="center"/>
            <w:hideMark/>
          </w:tcPr>
          <w:p w14:paraId="73CDD5F0" w14:textId="15F926A5"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3A955FA9" w14:textId="5A1E3598"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{"citationID":"CitmVYCA","properties":{"unsorted":false,"formattedCitation":"[1]","plainCitation":"[1]","noteIndex":0},"citationItems":[{"id":3128,"uris":["http://zotero.org/users/18222353/items/4Z2P5BGW"],"itemData":{"id":3128,"type":"article-journal","abstract":"Background and Aims: Cholangiocarcinoma (CCA) includes a heterogeneous group of biliary cancers with a dismal prognosis. We investigated if lipid metabolism is disrupted in CCA and its role in tumor proliferation.","container-title":"Hepatology","DOI":"10.1002/hep.32344","ISSN":"0270-9139, 1527-3350","issue":"6","journalAbbreviation":"Hepatology","language":"en","page":"1617-1633","source":"DOI.org (Crossref)","title":"Cholangiocarcinoma progression depends on the uptake and metabolization of extracellular lipids","volume":"76","author":[{"family":"Ruiz De Gauna","given":"Mikel"},{"family":"Biancaniello","given":"Francesca"},{"family":"González-Romero","given":"Francisco"},{"family":"Rodrigues","given":"Pedro M."},{"family":"Lapitz","given":"Ainhoa"},{"family":"Gómez-Santos","given":"Beatriz"},{"family":"Olaizola","given":"Paula"},{"family":"Di Matteo","given":"Sabina"},{"family":"Aurrekoetxea","given":"Igor"},{"family":"Labiano","given":"Ibone"},{"family":"Nieva-Zuluaga","given":"Ane"},{"family":"Benito-Vicente","given":"Asier"},{"family":"Perugorria","given":"María J."},{"family":"Apodaka-Biguri","given":"Maider"},{"family":"Paiva","given":"Nuno A."},{"family":"Sáenz De Urturi","given":"Diego"},{"family":"Buqué","given":"Xabier"},{"family":"Delgado","given":"Igotz"},{"family":"Martín","given":"César"},{"family":"Azkargorta","given":"Mikel"},{"family":"Elortza","given":"Felix"},{"family":"Calvisi","given":"Diego F."},{"family":"Andersen","given":"Jesper B."},{"family":"Alvaro","given":"Domenico"},{"family":"Cardinale","given":"Vincenzo"},{"family":"Bujanda","given":"Luis"},{"family":"Banales","given":"Jesús M."},{"family":"Aspichueta","given":"Patricia"}],"issued":{"date-parts":[["2022",12]]}}}],"schema":"https://github.com/citation-style-language/schema/raw/master/csl-citation.json"}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[1]</w:t>
            </w:r>
            <w:r>
              <w:rPr>
                <w:rFonts w:ascii="Times New Roman" w:eastAsia="SimSun" w:hAnsi="Times New Roman" w:cs="Times New Roman"/>
                <w:color w:val="000000"/>
                <w:kern w:val="0"/>
                <w:sz w:val="15"/>
                <w:szCs w:val="15"/>
                <w14:ligatures w14:val="none"/>
              </w:rPr>
              <w:fldChar w:fldCharType="end"/>
            </w:r>
          </w:p>
        </w:tc>
      </w:tr>
      <w:tr w:rsidR="00427052" w:rsidRPr="00186A4D" w14:paraId="5A82CDC7" w14:textId="77777777" w:rsidTr="00281326">
        <w:trPr>
          <w:trHeight w:val="56"/>
        </w:trPr>
        <w:tc>
          <w:tcPr>
            <w:tcW w:w="3754" w:type="dxa"/>
            <w:vAlign w:val="center"/>
            <w:hideMark/>
          </w:tcPr>
          <w:p w14:paraId="727C7938"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Omega-3 PUFA-mediated suppression of migration and TWIST</w:t>
            </w:r>
          </w:p>
        </w:tc>
        <w:tc>
          <w:tcPr>
            <w:tcW w:w="3402" w:type="dxa"/>
            <w:vAlign w:val="center"/>
            <w:hideMark/>
          </w:tcPr>
          <w:p w14:paraId="2C434F22"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Suggests that lipid composition can modulate metastatic traits</w:t>
            </w:r>
          </w:p>
        </w:tc>
        <w:tc>
          <w:tcPr>
            <w:tcW w:w="2591" w:type="dxa"/>
            <w:vAlign w:val="center"/>
            <w:hideMark/>
          </w:tcPr>
          <w:p w14:paraId="2D3F9382"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CCA cell and zebrafish/preclinical models</w:t>
            </w:r>
          </w:p>
        </w:tc>
        <w:tc>
          <w:tcPr>
            <w:tcW w:w="851" w:type="dxa"/>
            <w:vAlign w:val="center"/>
            <w:hideMark/>
          </w:tcPr>
          <w:p w14:paraId="7B0AB8FE" w14:textId="3AE5AB32"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w:t>
            </w:r>
          </w:p>
        </w:tc>
        <w:tc>
          <w:tcPr>
            <w:tcW w:w="810" w:type="dxa"/>
            <w:vAlign w:val="center"/>
            <w:hideMark/>
          </w:tcPr>
          <w:p w14:paraId="6567CF26" w14:textId="6460F880"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GOHz4bV7","properties":{"unsorted":false,"formattedCitation":"[19]","plainCitation":"[19]","noteIndex":0},"citationItems":[{"id":318,"uris":["http://zotero.org/users/18222353/items/6PELXTLX"],"itemData":{"id":318,"type":"article-journal","abstract":"Cholangiocarcinoma (CCA) is a highly malignant cancer of the bile duct, which has a five-year survival rate less than 5% due to a high metastasis rate and lack of  therapeutic options. Although omega-3 polyunsaturated fatty acids (n-3 PUFAs)  have been shown to inhibit the proliferation of CCA cells, the effects on CCA  metastasis have not been previously reported. In this study, we first assessed  the proliferation, migration and invasion effects of n-3 PUFA-based fish oil on  human CCA cells. Then, we investigated PUFA effects on metastasis in vivo by  xenografting CCA cells into zebrafish larvae that overexpress a critical n-3 PUFA  synthesis gene, Δ6 fatty acid desaturase. The results indicated that n-3  PUFA-based fish oil suppresses CCA cell growth, potentially by blocking the cell  cycle at G(2)/M phase, and it inhibits migration and invasion potential with  coincident downregulation of migration-related genes. Furthermore, zebrafish  endogenous n-3 PUFAs appear to suppress CCA metastasis by inhibiting the  expression of twist, a key regulator of tumor metastasis. Interestingly, only  long chain n-3 PUFAs could inhibit the expression of twist in CCA cells.  Together, our results suggest that n-3 PUFAs, especially DHA, may inhibit  proliferation and metastasis of CCA cells by inhibiting the expression of twist.","container-title":"The Journal of nutritional biochemistry","DOI":"10.1016/j.jnutbio.2019.108245","ISSN":"1873-4847 0955-2863","journalAbbreviation"</w:instrText>
            </w:r>
            <w:r>
              <w:rPr>
                <w:rFonts w:ascii="Times New Roman" w:eastAsia="SimSun" w:hAnsi="Times New Roman" w:cs="Times New Roman" w:hint="eastAsia"/>
                <w:color w:val="000000"/>
                <w:kern w:val="0"/>
                <w:sz w:val="15"/>
                <w:szCs w:val="15"/>
                <w14:ligatures w14:val="none"/>
              </w:rPr>
              <w:instrText>:"J Nutr Biochem","language":"en-US","license":"Copyright © 2019 Elsevier Inc. All rights reserved.","note":"publisher-place: United States\ntitleTranslation: Omega-3</w:instrText>
            </w:r>
            <w:r>
              <w:rPr>
                <w:rFonts w:ascii="Times New Roman" w:eastAsia="SimSun" w:hAnsi="Times New Roman" w:cs="Times New Roman" w:hint="eastAsia"/>
                <w:color w:val="000000"/>
                <w:kern w:val="0"/>
                <w:sz w:val="15"/>
                <w:szCs w:val="15"/>
                <w14:ligatures w14:val="none"/>
              </w:rPr>
              <w:instrText>多不饱和脂肪酸通过抑制扭曲来抑制人胆管癌细胞的转移特征。</w:instrText>
            </w:r>
            <w:r>
              <w:rPr>
                <w:rFonts w:ascii="Times New Roman" w:eastAsia="SimSun" w:hAnsi="Times New Roman" w:cs="Times New Roman" w:hint="eastAsia"/>
                <w:color w:val="000000"/>
                <w:kern w:val="0"/>
                <w:sz w:val="15"/>
                <w:szCs w:val="15"/>
                <w14:ligatures w14:val="none"/>
              </w:rPr>
              <w:instrText>\nTLDR: The results suggest that n-3 PUFAs, especially DHA, m</w:instrText>
            </w:r>
            <w:r>
              <w:rPr>
                <w:rFonts w:ascii="Times New Roman" w:eastAsia="SimSun" w:hAnsi="Times New Roman" w:cs="Times New Roman"/>
                <w:color w:val="000000"/>
                <w:kern w:val="0"/>
                <w:sz w:val="15"/>
                <w:szCs w:val="15"/>
                <w14:ligatures w14:val="none"/>
              </w:rPr>
              <w:instrText xml:space="preserve">ay inhibit proliferation and metastasis of CCA cells by inhibiting the expression of twist, a key regulator of tumor metastasis.","page":"108245","PMID":"31678746","title":"Omega-3 polyunsaturated fatty acids suppress metastatic features of human cholangiocarcinoma cells by suppressing twist.","volume":"74","author":[{"family":"Lin","given":"Chia-Ray"},{"family":"Chu","given":"Tsan-Mei"},{"family":"Luo","given":"Anin"},{"family":"Huang","given":"Shin-Jie"},{"family":"Chou","given":"Hsin-Yiu"},{"family":"Lu","given":"Ming-Wei"},{"family":"Wu","given":"Jen-Leih"}],"issued":{"date-parts":[["2019",12]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[19]</w:t>
            </w:r>
            <w:r>
              <w:rPr>
                <w:rFonts w:ascii="Times New Roman" w:eastAsia="SimSun" w:hAnsi="Times New Roman" w:cs="Times New Roman"/>
                <w:color w:val="000000"/>
                <w:kern w:val="0"/>
                <w:sz w:val="15"/>
                <w:szCs w:val="15"/>
                <w14:ligatures w14:val="none"/>
              </w:rPr>
              <w:fldChar w:fldCharType="end"/>
            </w:r>
          </w:p>
        </w:tc>
      </w:tr>
      <w:tr w:rsidR="00427052" w:rsidRPr="00186A4D" w14:paraId="195D2E69" w14:textId="77777777" w:rsidTr="00281326">
        <w:trPr>
          <w:trHeight w:val="56"/>
        </w:trPr>
        <w:tc>
          <w:tcPr>
            <w:tcW w:w="3754" w:type="dxa"/>
            <w:vAlign w:val="center"/>
            <w:hideMark/>
          </w:tcPr>
          <w:p w14:paraId="66E69B5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Adipocyte-derived fatty acids and FABP4-mediated lipid uptake</w:t>
            </w:r>
          </w:p>
        </w:tc>
        <w:tc>
          <w:tcPr>
            <w:tcW w:w="3402" w:type="dxa"/>
            <w:vAlign w:val="center"/>
            <w:hideMark/>
          </w:tcPr>
          <w:p w14:paraId="37E225C8"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Promotes CCA lipid accumulation and metastatic behavior</w:t>
            </w:r>
          </w:p>
        </w:tc>
        <w:tc>
          <w:tcPr>
            <w:tcW w:w="2591" w:type="dxa"/>
            <w:vAlign w:val="center"/>
            <w:hideMark/>
          </w:tcPr>
          <w:p w14:paraId="79D046F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Coculture, in vitro and in vivo CCA models; limited human-context support</w:t>
            </w:r>
          </w:p>
        </w:tc>
        <w:tc>
          <w:tcPr>
            <w:tcW w:w="851" w:type="dxa"/>
            <w:vAlign w:val="center"/>
            <w:hideMark/>
          </w:tcPr>
          <w:p w14:paraId="463E6ADC" w14:textId="5A07880B"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C–B</w:t>
            </w:r>
          </w:p>
        </w:tc>
        <w:tc>
          <w:tcPr>
            <w:tcW w:w="810" w:type="dxa"/>
            <w:vAlign w:val="center"/>
            <w:hideMark/>
          </w:tcPr>
          <w:p w14:paraId="6396558F" w14:textId="03F9AE68"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{"citationID":"GgA6Xoft","properties":{"unsorted":false,"formattedCitation":"[20]","plainCitation":"[20]","noteIndex":0},"citationItems":[{"id":155,"uris":["http://zotero.org/users/18222353/items/S57UKTZ2"],"itemData":{"id":155,"type":"article-journal","abstract":"BACKGROUND: The early occurrence regional nodal and distant metastases cholangiocarcinoma (CCA) is one of the major reasons for its poor prognosis.  However, the related mechanisms are largely elusive. Recently, increasing  evidences indicate that adipocytes might be involved in the proliferation,  homing, migration and invasion of several malignancies. In the present study, we  attempt to determine the effects and possible mechanisms of adipocytes on  regulating progression of CCA. METHODS: Adipocyte-CCA cell co-culture system and  CCA metastasis mice model were used to determine the effects of adipocytes on CCA  metastasis. We identified the biological functions and possible mechanisms of  adipocyte-derived fatty acid binding protein 4 (FABP4) in regulating the  adipocyte-induced CCA metastasis and epithelial-mesenchymal transition (EMT)  phenotypes, both in vitro and in vivo. RESULTS: Adipocyte-CCA cell co-culture  promotes the in vitro and in vivo tumor metastasis, leading to increased  adipocyte-derived fatty acid absorbance and intracellular lipids of CCA cells,  which indicates adipocytes might function as the energy source for CCA  progression by providing free fatty acids. Further, highly expressed FABP4  protein was identified in adipose tissues and fully differentiated adipocytes,  and upregulated FABP4 was also detected by qRT-PCR assay in CCA cells  co-cultivated with adipose extracts as compared to parental CCA cells. The  specific FABP4 inhibitor BMS309403 significantly impaired adipocyte-induced CCA  metastasis and EMT phenotypes both in vitro and in vivo. CONCLUSIONS: Together,  the results demonstrate that the adipocyte-CCA interaction and the energy  extraction of CCA cells from adipocytes are crucial for the invasion, migration  and EMT of CCA cells. FABP4 from adipocytes mediates these adipocyte-induced  variations in CCA cells, which could serve as a potential target for the  treatment of CCA.","container-title":"Journal of experimental &amp; clinical cancer research : CR","DOI":"10.1186/s13046-017-0641-y","ISSN":"1756-9966 0392-9078","issue":"1","journalAbbreviation":"J Exp Clin Cancer Res","language":"en-US","note":"publisher-place: England\nTLDR: The results demonstrate that the adipocyte-CCA </w:instrText>
            </w:r>
            <w:r>
              <w:rPr>
                <w:rFonts w:ascii="Times New Roman" w:eastAsia="SimSun" w:hAnsi="Times New Roman" w:cs="Times New Roman" w:hint="eastAsia"/>
                <w:color w:val="000000"/>
                <w:kern w:val="0"/>
                <w:sz w:val="15"/>
                <w:szCs w:val="15"/>
                <w14:ligatures w14:val="none"/>
              </w:rPr>
              <w:instrText xml:space="preserve">interaction and the energy extraction of CCA cells from adipocytes are crucial for the invasion, migration and EMT of C CA cells.\ntitleTranslation: </w:instrText>
            </w:r>
            <w:r>
              <w:rPr>
                <w:rFonts w:ascii="Times New Roman" w:eastAsia="SimSun" w:hAnsi="Times New Roman" w:cs="Times New Roman" w:hint="eastAsia"/>
                <w:color w:val="000000"/>
                <w:kern w:val="0"/>
                <w:sz w:val="15"/>
                <w:szCs w:val="15"/>
                <w14:ligatures w14:val="none"/>
              </w:rPr>
              <w:instrText>脂肪细胞通过脂肪酸结合蛋白促进胆管癌转移</w:instrText>
            </w:r>
            <w:r>
              <w:rPr>
                <w:rFonts w:ascii="Times New Roman" w:eastAsia="SimSun" w:hAnsi="Times New Roman" w:cs="Times New Roman" w:hint="eastAsia"/>
                <w:color w:val="000000"/>
                <w:kern w:val="0"/>
                <w:sz w:val="15"/>
                <w:szCs w:val="15"/>
                <w14:ligatures w14:val="none"/>
              </w:rPr>
              <w:instrText xml:space="preserve"> 4.","page":"183","PMID":"29237483","PMCID":"PMC5729422","title":"Adipocytes promote c</w:instrText>
            </w:r>
            <w:r>
              <w:rPr>
                <w:rFonts w:ascii="Times New Roman" w:eastAsia="SimSun" w:hAnsi="Times New Roman" w:cs="Times New Roman"/>
                <w:color w:val="000000"/>
                <w:kern w:val="0"/>
                <w:sz w:val="15"/>
                <w:szCs w:val="15"/>
                <w14:ligatures w14:val="none"/>
              </w:rPr>
              <w:instrText xml:space="preserve">holangiocarcinoma metastasis through fatty acid binding protein 4.","volume":"36","author":[{"family":"Nie","given":"Jihua"},{"family":"Zhang","given":"Jingying"},{"family":"Wang","given":"Lili"},{"family":"Lu","given":"Lunjie"},{"family":"Yuan","given":"Qian"},{"family":"An","given":"Fangmei"},{"family":"Zhang","given":"Shuyu"},{"family":"Jiao","given":"Yang"}],"issued":{"date-parts":[["2017",12,13]]}}}],"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[20]</w:t>
            </w:r>
            <w:r>
              <w:rPr>
                <w:rFonts w:ascii="Times New Roman" w:eastAsia="SimSun" w:hAnsi="Times New Roman" w:cs="Times New Roman"/>
                <w:color w:val="000000"/>
                <w:kern w:val="0"/>
                <w:sz w:val="15"/>
                <w:szCs w:val="15"/>
                <w14:ligatures w14:val="none"/>
              </w:rPr>
              <w:fldChar w:fldCharType="end"/>
            </w:r>
          </w:p>
        </w:tc>
      </w:tr>
      <w:tr w:rsidR="00427052" w:rsidRPr="00186A4D" w14:paraId="6AC28535" w14:textId="77777777" w:rsidTr="00281326">
        <w:trPr>
          <w:trHeight w:val="56"/>
        </w:trPr>
        <w:tc>
          <w:tcPr>
            <w:tcW w:w="3754" w:type="dxa"/>
            <w:vAlign w:val="center"/>
            <w:hideMark/>
          </w:tcPr>
          <w:p w14:paraId="366DBB4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Oleic acid–</w:t>
            </w:r>
            <w:proofErr w:type="spellStart"/>
            <w:r w:rsidRPr="00186A4D">
              <w:rPr>
                <w:rFonts w:ascii="Times New Roman" w:eastAsia="SimSun" w:hAnsi="Times New Roman" w:cs="Times New Roman"/>
                <w:color w:val="000000"/>
                <w:kern w:val="0"/>
                <w:sz w:val="15"/>
                <w:szCs w:val="15"/>
                <w14:ligatures w14:val="none"/>
              </w:rPr>
              <w:t>PPARγ</w:t>
            </w:r>
            <w:proofErr w:type="spellEnd"/>
            <w:r w:rsidRPr="00186A4D">
              <w:rPr>
                <w:rFonts w:ascii="Times New Roman" w:eastAsia="SimSun" w:hAnsi="Times New Roman" w:cs="Times New Roman"/>
                <w:color w:val="000000"/>
                <w:kern w:val="0"/>
                <w:sz w:val="15"/>
                <w:szCs w:val="15"/>
                <w14:ligatures w14:val="none"/>
              </w:rPr>
              <w:t>–FABP4 positive feedback loop</w:t>
            </w:r>
          </w:p>
        </w:tc>
        <w:tc>
          <w:tcPr>
            <w:tcW w:w="3402" w:type="dxa"/>
            <w:vAlign w:val="center"/>
            <w:hideMark/>
          </w:tcPr>
          <w:p w14:paraId="2AB656C1"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Fuels CCA lymph node colonization by enhancing fatty acid uptake and oxidation</w:t>
            </w:r>
          </w:p>
        </w:tc>
        <w:tc>
          <w:tcPr>
            <w:tcW w:w="2591" w:type="dxa"/>
            <w:vAlign w:val="center"/>
            <w:hideMark/>
          </w:tcPr>
          <w:p w14:paraId="302AFA4A" w14:textId="0AA04B0B"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Single-cell analysis, patient-derived organoids, animal models, </w:t>
            </w:r>
            <w:r>
              <w:rPr>
                <w:rFonts w:ascii="Times New Roman" w:eastAsia="SimSun" w:hAnsi="Times New Roman" w:cs="Times New Roman"/>
                <w:color w:val="000000"/>
                <w:kern w:val="0"/>
                <w:sz w:val="15"/>
                <w:szCs w:val="15"/>
                <w14:ligatures w14:val="none"/>
              </w:rPr>
              <w:t xml:space="preserve">and the </w:t>
            </w:r>
            <w:r w:rsidRPr="00186A4D">
              <w:rPr>
                <w:rFonts w:ascii="Times New Roman" w:eastAsia="SimSun" w:hAnsi="Times New Roman" w:cs="Times New Roman"/>
                <w:color w:val="000000"/>
                <w:kern w:val="0"/>
                <w:sz w:val="15"/>
                <w:szCs w:val="15"/>
                <w14:ligatures w14:val="none"/>
              </w:rPr>
              <w:t>lymph node metastasis context</w:t>
            </w:r>
          </w:p>
        </w:tc>
        <w:tc>
          <w:tcPr>
            <w:tcW w:w="851" w:type="dxa"/>
            <w:vAlign w:val="center"/>
            <w:hideMark/>
          </w:tcPr>
          <w:p w14:paraId="7BD0A9FE" w14:textId="4CCAF7DB"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0F166F8F" w14:textId="7ECC823A"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{"citationID":"a9nVQdgJ","properties":{"unsorted":false,"formattedCitation":"[21]","plainCitation":"[21]","noteIndex":0},"citationItems":[{"id":64,"uris":["http://zotero.org/users/18222353/items/8HSD9PDA"],"itemData":{"id":64,"type":"article-journal","abstract":"BACKGROUND AND AIMS: Lymph node metastasis is a significant risk factor for patients with cholangiocarcinoma, but the mechanisms underlying  cholangiocarcinoma colonization in the lymph node microenvironment remain  unclear. We aimed to determine whether metabolic reprogramming fueled the  adaptation and remodeling of cholangiocarcinoma cells to the lymph node  microenvironment. APPROACH AND RESULTS: Here, we applied single-cell RNA  sequencing of primary tumor lesions and paired lymph node metastases from  patients with cholangiocarcinoma and revealed significantly reduced intertumor  heterogeneity and syntropic lipid metabolic reprogramming of cholangiocarcinoma  after metastasis to lymph nodes, which was verified by pan-cancer single-cell RNA  sequencing analysis, highlighting the essential role of lipid metabolism in tumor  colonization in lymph nodes. Metabolomics and in vivo CRISPR/Cas9 screening  identified PPARγ as a crucial regulator in fueling cholangiocarcinoma  colonization in lymph nodes through the oleic acid-PPARγ-fatty acid-binding  protein 4 positive feedback loop by upregulating fatty acid uptake and oxidation.  Patient-derived organoids and animal models have demonstrated that blocking this  loop impairs cholangiocarcinoma proliferation and colonization in the lymph node  microenvironment and is superior to systemic inhibition of fatty acid oxidation.  PPARγ-regulated fatty acid metabolic reprogramming in cholangiocarcinoma also  contributes to the immune-suppressive niche in lymph node metastases by producing  kynurenine and was found to be associated with tumor relapse, immune-suppressive  lymph node microenvironment, and poor immune checkpoint blockade response.  CONCLUSIONS: Our results reveal the role of the oleic acid-PPARγ-fatty  acid-binding protein 4 loop in fueling cholangiocarcinoma colonization in lymph  nodes and demonstrate that PPARγ-regulated lipid metabolic reprogramming is a  promising therapeutic target for relieving cholangiocarcinoma lymph node  metastasis burden and reducing further progression.","container-title":"Hepatology (Baltimore, Md.)","DOI":"10.1097/HEP.0000000000000784","ISSN":"1527-3350 0270-9139","issue":"1","journalAbbreviation":"Hepatology","language":"en-US","l</w:instrText>
            </w:r>
            <w:r>
              <w:rPr>
                <w:rFonts w:ascii="Times New Roman" w:eastAsia="SimSun" w:hAnsi="Times New Roman" w:cs="Times New Roman" w:hint="eastAsia"/>
                <w:color w:val="000000"/>
                <w:kern w:val="0"/>
                <w:sz w:val="15"/>
                <w:szCs w:val="15"/>
                <w14:ligatures w14:val="none"/>
              </w:rPr>
              <w:instrText xml:space="preserve">icense":"Copyright © 2024 American Association for the Study of Liver Diseases.","note":"publisher-place: United States\ntitleTranslation: </w:instrText>
            </w:r>
            <w:r>
              <w:rPr>
                <w:rFonts w:ascii="Times New Roman" w:eastAsia="SimSun" w:hAnsi="Times New Roman" w:cs="Times New Roman" w:hint="eastAsia"/>
                <w:color w:val="000000"/>
                <w:kern w:val="0"/>
                <w:sz w:val="15"/>
                <w:szCs w:val="15"/>
                <w14:ligatures w14:val="none"/>
              </w:rPr>
              <w:instrText>油酸</w:instrText>
            </w:r>
            <w:r>
              <w:rPr>
                <w:rFonts w:ascii="Times New Roman" w:eastAsia="SimSun" w:hAnsi="Times New Roman" w:cs="Times New Roman" w:hint="eastAsia"/>
                <w:color w:val="000000"/>
                <w:kern w:val="0"/>
                <w:sz w:val="15"/>
                <w:szCs w:val="15"/>
                <w14:ligatures w14:val="none"/>
              </w:rPr>
              <w:instrText>-PPAR</w:instrText>
            </w:r>
            <w:r>
              <w:rPr>
                <w:rFonts w:ascii="Times New Roman" w:eastAsia="SimSun" w:hAnsi="Times New Roman" w:cs="Times New Roman" w:hint="eastAsia"/>
                <w:color w:val="000000"/>
                <w:kern w:val="0"/>
                <w:sz w:val="15"/>
                <w:szCs w:val="15"/>
                <w14:ligatures w14:val="none"/>
              </w:rPr>
              <w:instrText>γ</w:instrText>
            </w:r>
            <w:r>
              <w:rPr>
                <w:rFonts w:ascii="Times New Roman" w:eastAsia="SimSun" w:hAnsi="Times New Roman" w:cs="Times New Roman" w:hint="eastAsia"/>
                <w:color w:val="000000"/>
                <w:kern w:val="0"/>
                <w:sz w:val="15"/>
                <w:szCs w:val="15"/>
                <w14:ligatures w14:val="none"/>
              </w:rPr>
              <w:instrText xml:space="preserve">-FABP4 </w:instrText>
            </w:r>
            <w:r>
              <w:rPr>
                <w:rFonts w:ascii="Times New Roman" w:eastAsia="SimSun" w:hAnsi="Times New Roman" w:cs="Times New Roman" w:hint="eastAsia"/>
                <w:color w:val="000000"/>
                <w:kern w:val="0"/>
                <w:sz w:val="15"/>
                <w:szCs w:val="15"/>
                <w14:ligatures w14:val="none"/>
              </w:rPr>
              <w:instrText>环促进胆管癌在淋巴结转移微环境中的定植。</w:instrText>
            </w:r>
            <w:r>
              <w:rPr>
                <w:rFonts w:ascii="Times New Roman" w:eastAsia="SimSun" w:hAnsi="Times New Roman" w:cs="Times New Roman" w:hint="eastAsia"/>
                <w:color w:val="000000"/>
                <w:kern w:val="0"/>
                <w:sz w:val="15"/>
                <w:szCs w:val="15"/>
                <w14:ligatures w14:val="none"/>
              </w:rPr>
              <w:instrText>\nTLDR: It is demonstrated that PPAR</w:instrText>
            </w:r>
            <w:r>
              <w:rPr>
                <w:rFonts w:ascii="Times New Roman" w:eastAsia="SimSun" w:hAnsi="Times New Roman" w:cs="Times New Roman" w:hint="eastAsia"/>
                <w:color w:val="000000"/>
                <w:kern w:val="0"/>
                <w:sz w:val="15"/>
                <w:szCs w:val="15"/>
                <w14:ligatures w14:val="none"/>
              </w:rPr>
              <w:instrText>γ</w:instrText>
            </w:r>
            <w:r>
              <w:rPr>
                <w:rFonts w:ascii="Times New Roman" w:eastAsia="SimSun" w:hAnsi="Times New Roman" w:cs="Times New Roman" w:hint="eastAsia"/>
                <w:color w:val="000000"/>
                <w:kern w:val="0"/>
                <w:sz w:val="15"/>
                <w:szCs w:val="15"/>
                <w14:ligatures w14:val="none"/>
              </w:rPr>
              <w:instrText xml:space="preserve">-regulated lipid metabolic reprogramming is </w:instrText>
            </w:r>
            <w:r>
              <w:rPr>
                <w:rFonts w:ascii="Times New Roman" w:eastAsia="SimSun" w:hAnsi="Times New Roman" w:cs="Times New Roman"/>
                <w:color w:val="000000"/>
                <w:kern w:val="0"/>
                <w:sz w:val="15"/>
                <w:szCs w:val="15"/>
                <w14:ligatures w14:val="none"/>
              </w:rPr>
              <w:instrText xml:space="preserve">a promising therapeutic target for relieving cholangiocarcinoma lymph node metastasis burden and reducing further progression.","page":"69-86","PMID":"38377465","title":"Oleic acid-PPARγ-FABP4 loop fuels cholangiocarcinoma colonization in lymph node metastases microenvironment.","volume":"80","author":[{"family":"Zhang","given":"Honghua"},{"family":"Zhu","given":"Ke"},{"family":"Zhang","given":"Rui"},{"family":"Guo","given":"Yabin"},{"family":"Wang","given":"Jin"},{"family":"Liu","given":"Chaoqun"},{"family":"Lu","given":"Xinjun"},{"family":"Zhou","given":"Ziyu"},{"family":"Wu","given":"Wenrui"},{"family":"Zhang","given":"Fapeng"},{"family":"Song","given":"Zhixiao"},{"family":"Lin","given":"Shusheng"},{"family":"Yang","given":"Caini"},{"family":"Li","given":"Xiuxian"},{"family":"Liu","given":"Yang"},{"family":"Tang","given":"Qibin"},{"family":"Yu","given":"Xianhuan"},{"family":"Xu","given":"Leibo"},{"family":"Liu","given":"Chao"}],"issued":{"date-parts":[["2024",7,1]]}}}],"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[21]</w:t>
            </w:r>
            <w:r>
              <w:rPr>
                <w:rFonts w:ascii="Times New Roman" w:eastAsia="SimSun" w:hAnsi="Times New Roman" w:cs="Times New Roman"/>
                <w:color w:val="000000"/>
                <w:kern w:val="0"/>
                <w:sz w:val="15"/>
                <w:szCs w:val="15"/>
                <w14:ligatures w14:val="none"/>
              </w:rPr>
              <w:fldChar w:fldCharType="end"/>
            </w:r>
          </w:p>
        </w:tc>
      </w:tr>
      <w:tr w:rsidR="00427052" w:rsidRPr="00186A4D" w14:paraId="7708AC1F" w14:textId="77777777" w:rsidTr="00281326">
        <w:trPr>
          <w:trHeight w:val="56"/>
        </w:trPr>
        <w:tc>
          <w:tcPr>
            <w:tcW w:w="3754" w:type="dxa"/>
            <w:vAlign w:val="center"/>
            <w:hideMark/>
          </w:tcPr>
          <w:p w14:paraId="346616F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ACLY regulates saturated/unsaturated fatty acid balance and lipid peroxidation</w:t>
            </w:r>
          </w:p>
        </w:tc>
        <w:tc>
          <w:tcPr>
            <w:tcW w:w="3402" w:type="dxa"/>
            <w:vAlign w:val="center"/>
            <w:hideMark/>
          </w:tcPr>
          <w:p w14:paraId="4B8BD72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Affects ferroptosis sensitivity and may create a therapeutic vulnerability</w:t>
            </w:r>
          </w:p>
        </w:tc>
        <w:tc>
          <w:tcPr>
            <w:tcW w:w="2591" w:type="dxa"/>
            <w:vAlign w:val="center"/>
            <w:hideMark/>
          </w:tcPr>
          <w:p w14:paraId="4EC9A95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CCA tissue analysis, cell experiments, ferroptosis-inducer sensitivity testing</w:t>
            </w:r>
          </w:p>
        </w:tc>
        <w:tc>
          <w:tcPr>
            <w:tcW w:w="851" w:type="dxa"/>
            <w:vAlign w:val="center"/>
            <w:hideMark/>
          </w:tcPr>
          <w:p w14:paraId="297254F6" w14:textId="2E6507F6"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B–C</w:t>
            </w:r>
          </w:p>
        </w:tc>
        <w:tc>
          <w:tcPr>
            <w:tcW w:w="810" w:type="dxa"/>
            <w:vAlign w:val="center"/>
            <w:hideMark/>
          </w:tcPr>
          <w:p w14:paraId="2232197E" w14:textId="6A228DE0"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{"citationID":"KEcrlqx8","properties":{"unsorted":false,"formattedCitation":"[22]","plainCitation":"[22]","noteIndex":0},"citationItems":[{"id":79,"uris":["http://zotero.org/users/18222353/items/JLK3JRET"],"itemData":{"id":79,"type":"article-journal","abstract":"BACKGROUND AND AIM: Cholangiocarcinoma (CCA) is a rare cancer, yet its incidence and mortality rates have been steadily increasing globally over the past few  decades. Currently, there are no effective targeted treatment strategies  available for patients. ACLY (ATP Citrate Lyase), a key enzyme in de novo  lipogenesis, is aberrantly expressed in several tumors and is associated with  malignant progression. However, its role and mechanisms in CCA have not yet been  elucidated. METHODS: The expression of ACLY in CCA was assessed using  transcriptomic profiles and tissue microarrays. Kaplan-Meier curves were employed  to evaluate the prognostic significance of ACLY in CCA. Functional enrichment  analysis was used to explore the potential mechanisms of ACLY in CCA. A series of  assays were conducted to examine the effects of ACLY on the proliferation and  migration of CCA cells. Ferroptosis inducers and inhibitors, along with lipid  peroxide probes and MDA assay kits, were utilized to explore the role of ACLY in  ferroptosis within CCA. Additionally, lipid-depleted fetal bovine serum and  several fatty acids were used to evaluate the impact of fatty acids on  ferroptosis induced by ACLY inhibition. Correlation analyses were performed to  elucidate the relationship between ACLY and tumor stemness as well as tumor  microenvironment. RESULTS: The expression of ACLY was found to be higher in CCA  tissues compared to adjacent normal tissues. Patients with elevated ACLY  expression demonstrated poorer overall survival outcomes. ACLY were closed  associated with fatty acid metabolism and tumor-initiating cells. Knockdown of  ACLY did not significantly impact the proliferation and migration of CCA cells.  However, ACLY inhibition led to increased accumulation of lipid peroxides and  enhanced sensitivity of CCA cells to ferroptosis inducers. Polyunsaturated fatty  acids were observed to inhibit the proliferation of ACLY-knockdown cells;  nonetheless, this inhibitory effect was diminished when the cells were cultured  in medium supplemented with lipid-depleted fetal bovine serum. Additionally, ACLY  expression was negatively correlated with immune cell infiltration and immune  scores in CCA. CONCLUSION: ACLY promotes ferroptosis by disrupting the balance of  saturated and unsaturated fatty acids. ACLY may therefore serve as a potential  diagnostic and therapeutic target for CCA.","container-title":"Frontiers in immunology","DOI":"10.3389/fimmu.2024.1477267","ISSN":"1664-3224","jo</w:instrText>
            </w:r>
            <w:r>
              <w:rPr>
                <w:rFonts w:ascii="Times New Roman" w:eastAsia="SimSun" w:hAnsi="Times New Roman" w:cs="Times New Roman" w:hint="eastAsia"/>
                <w:color w:val="000000"/>
                <w:kern w:val="0"/>
                <w:sz w:val="15"/>
                <w:szCs w:val="15"/>
                <w14:ligatures w14:val="none"/>
              </w:rPr>
              <w:instrText>urnalAbbreviation":"Front Immunol","language":"en-US","license":"Copyright © 2024 Sun, Zhao, Wang, Liu, Wei, Xu, Wang and Yang.","note":"publisher-place: Switzerland\ntitleTranslation: ACLY</w:instrText>
            </w:r>
            <w:r>
              <w:rPr>
                <w:rFonts w:ascii="Times New Roman" w:eastAsia="SimSun" w:hAnsi="Times New Roman" w:cs="Times New Roman" w:hint="eastAsia"/>
                <w:color w:val="000000"/>
                <w:kern w:val="0"/>
                <w:sz w:val="15"/>
                <w:szCs w:val="15"/>
                <w14:ligatures w14:val="none"/>
              </w:rPr>
              <w:instrText>在胆管癌中的病理意义及潜在机制</w:instrText>
            </w:r>
            <w:r>
              <w:rPr>
                <w:rFonts w:ascii="Times New Roman" w:eastAsia="SimSun" w:hAnsi="Times New Roman" w:cs="Times New Roman" w:hint="eastAsia"/>
                <w:color w:val="000000"/>
                <w:kern w:val="0"/>
                <w:sz w:val="15"/>
                <w:szCs w:val="15"/>
                <w14:ligatures w14:val="none"/>
              </w:rPr>
              <w:instrText>.\nTLDR: ACY promotes ferroptosis by disrupting the</w:instrText>
            </w:r>
            <w:r>
              <w:rPr>
                <w:rFonts w:ascii="Times New Roman" w:eastAsia="SimSun" w:hAnsi="Times New Roman" w:cs="Times New Roman"/>
                <w:color w:val="000000"/>
                <w:kern w:val="0"/>
                <w:sz w:val="15"/>
                <w:szCs w:val="15"/>
                <w14:ligatures w14:val="none"/>
              </w:rPr>
              <w:instrText xml:space="preserve"> balance of saturated and unsaturated fatty acids and may serve as a potential diagnostic and therapeutic target for Cholangiocarcinoma.","page":"1477267","PMID":"39399493","PMCID":"PMC11466796","title":"The pathological significance and potential mechanism of ACLY in cholangiocarcinoma.","volume":"15","author":[{"family":"Sun","given":"Xiaoyan"},{"family":"Zhao","given":"Xiaofang"},{"family":"Wang","given":"Senyan"},{"family":"Liu","given":"Qi"},{"family":"Wei","given":"Wenjuan"},{"family":"Xu","given":"Jing"},{"family":"Wang","given":"Hongyang"},{"family":"Yang","given":"Wen"}],"issued":{"date-parts":[["2024"]]}}}],"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[22]</w:t>
            </w:r>
            <w:r>
              <w:rPr>
                <w:rFonts w:ascii="Times New Roman" w:eastAsia="SimSun" w:hAnsi="Times New Roman" w:cs="Times New Roman"/>
                <w:color w:val="000000"/>
                <w:kern w:val="0"/>
                <w:sz w:val="15"/>
                <w:szCs w:val="15"/>
                <w14:ligatures w14:val="none"/>
              </w:rPr>
              <w:fldChar w:fldCharType="end"/>
            </w:r>
          </w:p>
        </w:tc>
      </w:tr>
      <w:tr w:rsidR="00427052" w:rsidRPr="00186A4D" w14:paraId="471E0AB7" w14:textId="77777777" w:rsidTr="00281326">
        <w:trPr>
          <w:trHeight w:val="56"/>
        </w:trPr>
        <w:tc>
          <w:tcPr>
            <w:tcW w:w="3754" w:type="dxa"/>
            <w:vAlign w:val="center"/>
            <w:hideMark/>
          </w:tcPr>
          <w:p w14:paraId="3BF3D07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MUC1–</w:t>
            </w:r>
            <w:proofErr w:type="spellStart"/>
            <w:r w:rsidRPr="00186A4D">
              <w:rPr>
                <w:rFonts w:ascii="Times New Roman" w:eastAsia="SimSun" w:hAnsi="Times New Roman" w:cs="Times New Roman"/>
                <w:color w:val="000000"/>
                <w:kern w:val="0"/>
                <w:sz w:val="15"/>
                <w:szCs w:val="15"/>
                <w14:ligatures w14:val="none"/>
              </w:rPr>
              <w:t>Src</w:t>
            </w:r>
            <w:proofErr w:type="spellEnd"/>
            <w:r w:rsidRPr="00186A4D">
              <w:rPr>
                <w:rFonts w:ascii="Times New Roman" w:eastAsia="SimSun" w:hAnsi="Times New Roman" w:cs="Times New Roman"/>
                <w:color w:val="000000"/>
                <w:kern w:val="0"/>
                <w:sz w:val="15"/>
                <w:szCs w:val="15"/>
                <w14:ligatures w14:val="none"/>
              </w:rPr>
              <w:t>–USP10–NMT1–FSP1 axis drives ferroptosis resistance</w:t>
            </w:r>
          </w:p>
        </w:tc>
        <w:tc>
          <w:tcPr>
            <w:tcW w:w="3402" w:type="dxa"/>
            <w:vAlign w:val="center"/>
            <w:hideMark/>
          </w:tcPr>
          <w:p w14:paraId="139143CB"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Enhances FSP1 stability and membrane localization, reducing </w:t>
            </w:r>
            <w:proofErr w:type="spellStart"/>
            <w:r w:rsidRPr="00186A4D">
              <w:rPr>
                <w:rFonts w:ascii="Times New Roman" w:eastAsia="SimSun" w:hAnsi="Times New Roman" w:cs="Times New Roman"/>
                <w:color w:val="000000"/>
                <w:kern w:val="0"/>
                <w:sz w:val="15"/>
                <w:szCs w:val="15"/>
                <w14:ligatures w14:val="none"/>
              </w:rPr>
              <w:t>ferroptotic</w:t>
            </w:r>
            <w:proofErr w:type="spellEnd"/>
            <w:r w:rsidRPr="00186A4D">
              <w:rPr>
                <w:rFonts w:ascii="Times New Roman" w:eastAsia="SimSun" w:hAnsi="Times New Roman" w:cs="Times New Roman"/>
                <w:color w:val="000000"/>
                <w:kern w:val="0"/>
                <w:sz w:val="15"/>
                <w:szCs w:val="15"/>
                <w14:ligatures w14:val="none"/>
              </w:rPr>
              <w:t xml:space="preserve"> vulnerability</w:t>
            </w:r>
          </w:p>
        </w:tc>
        <w:tc>
          <w:tcPr>
            <w:tcW w:w="2591" w:type="dxa"/>
            <w:vAlign w:val="center"/>
            <w:hideMark/>
          </w:tcPr>
          <w:p w14:paraId="46E27F1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Human ICC data and mechanistic in vitro/in vivo validation</w:t>
            </w:r>
          </w:p>
        </w:tc>
        <w:tc>
          <w:tcPr>
            <w:tcW w:w="851" w:type="dxa"/>
            <w:vAlign w:val="center"/>
            <w:hideMark/>
          </w:tcPr>
          <w:p w14:paraId="7A316B1D" w14:textId="179B3626"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54E743BA" w14:textId="68926CA3"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{"citationID":"ggstpQcj","properties":{"unsorted":false,"formattedCitation":"[23]","plainCitation":"[23]","noteIndex":0},"citationItems":[{"id":229,"uris":["http://zotero.org/users/18222353/items/36IZKIGZ"],"itemData":{"id":229,"type":"article-journal","abstract":"BACKGROUND: Intrahepatic cholangiocarcinoma (ICC) exhibits poor prognosis and limited therapeutic options. Ferroptosis represents a promising therapeutic  strategy, yet resistance mechanisms remain poorly understood. This study  investigated the role of mucin 1 (MUC1) in regulating ferroptosis sensitivity in  ICC. METHODS: Bioinformatic analyses of GEO and TCGA datasets identified  ferroptosis-related factors in ICC. MUC1 expression was validated in ICC cell  lines and clinical specimens. Ferroptosis sensitivity was assessed through  RSL3-induced cell death assays, lipid peroxidation measurements, and iron  detection. Mechanistic studies employed immunoprecipitation-mass spectrometry,  co-immunoprecipitation, kinase assays, and deubiquitination assays. In vivo  efficacy was evaluated using subcutaneous tumor models. RESULTS: MUC1 was  identified as a critical ferroptosis suppressor in ICC. MUC1 overexpression  conferred RSL3 resistance by inhibiting lipid peroxidation and reducing ferrous  iron accumulation, independent of the GPX4-glutathione pathway. Mechanistically,  MUC1 recruited Src kinase, which phosphorylated deubiquitinating enzyme  ubiquitin-specific protease 10 (USP10) at tyrosines 359 and 364, enhancing  ferroptosis suppressor protein 1 (FSP1) deubiquitination at lysine 246 and  stabilizing FSP1 protein. Concurrently, Src phosphorylated N-myristoyltransferase  1 (NMT1) at tyrosine 41, augmenting FSP1 membrane localization through  myristoylation. This dual mechanism potentiated the FSP1- coenzyme Q10 (CoQ10)  antioxidant system. MUC1 knockdown significantly enhanced ferroptotic sensitivity  in vitro and suppressed tumor growth in vivo. CONCLUSIONS: MUC1 orchestrates  ferroptosis resistance in ICC through the Src-USP10/NMT1-FSP1 axis. Targeting  this signaling cascade represents a potential therapeutic strategy for overcoming  ferroptosis resistance in ICC. KEY POINTS: MUC1 suppresses ferroptosis in ICC via  Src-mediated post-translational modifications. Src phosphorylation of USP10  stabilizes FSP1 by removing K48-linked polyubiquitin. Src activates NMT1 to  enhance FSP1 myristoylation and membrane localization.","container-title":"Clinical and translational medicine","DOI":"10.1002/ctm2.70495","ISSN":"2001-1326","issue":"10","journalAbbreviation":"Clin Transl Med","language":"en-US","license":"© 2025 The Author(s). Clinical and Translational Medicine published by John Wiley &amp; Sons Australia, Ltd on behalf of Shanghai Institute of Clinical Bioinformati</w:instrText>
            </w:r>
            <w:r>
              <w:rPr>
                <w:rFonts w:ascii="Times New Roman" w:eastAsia="SimSun" w:hAnsi="Times New Roman" w:cs="Times New Roman" w:hint="eastAsia"/>
                <w:color w:val="000000"/>
                <w:kern w:val="0"/>
                <w:sz w:val="15"/>
                <w:szCs w:val="15"/>
                <w14:ligatures w14:val="none"/>
              </w:rPr>
              <w:instrText>cs.","note":"publisher-place: United States\nTLDR: MUC1 orchestrates ferroptosis resistance in ICC through the Src</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USP10/NMT1</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FSP1</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 xml:space="preserve">FSP1 axis and targeting this signaling cascade represents a potential therapeutic strategy for overcoming ferroptosis resistance in ICC.\ntitleTranslation: MUC1 </w:instrText>
            </w:r>
            <w:r>
              <w:rPr>
                <w:rFonts w:ascii="Times New Roman" w:eastAsia="SimSun" w:hAnsi="Times New Roman" w:cs="Times New Roman" w:hint="eastAsia"/>
                <w:color w:val="000000"/>
                <w:kern w:val="0"/>
                <w:sz w:val="15"/>
                <w:szCs w:val="15"/>
                <w14:ligatures w14:val="none"/>
              </w:rPr>
              <w:instrText>通过</w:instrText>
            </w:r>
            <w:r>
              <w:rPr>
                <w:rFonts w:ascii="Times New Roman" w:eastAsia="SimSun" w:hAnsi="Times New Roman" w:cs="Times New Roman" w:hint="eastAsia"/>
                <w:color w:val="000000"/>
                <w:kern w:val="0"/>
                <w:sz w:val="15"/>
                <w:szCs w:val="15"/>
                <w14:ligatures w14:val="none"/>
              </w:rPr>
              <w:instrText xml:space="preserve"> Src </w:instrText>
            </w:r>
            <w:r>
              <w:rPr>
                <w:rFonts w:ascii="Times New Roman" w:eastAsia="SimSun" w:hAnsi="Times New Roman" w:cs="Times New Roman" w:hint="eastAsia"/>
                <w:color w:val="000000"/>
                <w:kern w:val="0"/>
                <w:sz w:val="15"/>
                <w:szCs w:val="15"/>
                <w14:ligatures w14:val="none"/>
              </w:rPr>
              <w:instrText>介导的</w:instrText>
            </w:r>
            <w:r>
              <w:rPr>
                <w:rFonts w:ascii="Times New Roman" w:eastAsia="SimSun" w:hAnsi="Times New Roman" w:cs="Times New Roman" w:hint="eastAsia"/>
                <w:color w:val="000000"/>
                <w:kern w:val="0"/>
                <w:sz w:val="15"/>
                <w:szCs w:val="15"/>
                <w14:ligatures w14:val="none"/>
              </w:rPr>
              <w:instrText xml:space="preserve"> FSP1 </w:instrText>
            </w:r>
            <w:r>
              <w:rPr>
                <w:rFonts w:ascii="Times New Roman" w:eastAsia="SimSun" w:hAnsi="Times New Roman" w:cs="Times New Roman" w:hint="eastAsia"/>
                <w:color w:val="000000"/>
                <w:kern w:val="0"/>
                <w:sz w:val="15"/>
                <w:szCs w:val="15"/>
                <w14:ligatures w14:val="none"/>
              </w:rPr>
              <w:instrText>去泛素化和肉豆蔻酰化驱动</w:instrText>
            </w:r>
            <w:r>
              <w:rPr>
                <w:rFonts w:ascii="Times New Roman" w:eastAsia="SimSun" w:hAnsi="Times New Roman" w:cs="Times New Roman" w:hint="eastAsia"/>
                <w:color w:val="000000"/>
                <w:kern w:val="0"/>
                <w:sz w:val="15"/>
                <w:szCs w:val="15"/>
                <w14:ligatures w14:val="none"/>
              </w:rPr>
              <w:instrText xml:space="preserve"> ICC </w:instrText>
            </w:r>
            <w:r>
              <w:rPr>
                <w:rFonts w:ascii="Times New Roman" w:eastAsia="SimSun" w:hAnsi="Times New Roman" w:cs="Times New Roman" w:hint="eastAsia"/>
                <w:color w:val="000000"/>
                <w:kern w:val="0"/>
                <w:sz w:val="15"/>
                <w:szCs w:val="15"/>
                <w14:ligatures w14:val="none"/>
              </w:rPr>
              <w:instrText>中的铁死亡抗性。</w:instrText>
            </w:r>
            <w:r>
              <w:rPr>
                <w:rFonts w:ascii="Times New Roman" w:eastAsia="SimSun" w:hAnsi="Times New Roman" w:cs="Times New Roman" w:hint="eastAsia"/>
                <w:color w:val="000000"/>
                <w:kern w:val="0"/>
                <w:sz w:val="15"/>
                <w:szCs w:val="15"/>
                <w14:ligatures w14:val="none"/>
              </w:rPr>
              <w:instrText>","page":"e70495","PMID":"41068561","PMCID":"PMC12510807","title":"MUC1 drives ferroptosis resistance in ICC via Src-mediated FSP1 deubiquitination and myristoylation.","volume"</w:instrText>
            </w:r>
            <w:r>
              <w:rPr>
                <w:rFonts w:ascii="Times New Roman" w:eastAsia="SimSun" w:hAnsi="Times New Roman" w:cs="Times New Roman"/>
                <w:color w:val="000000"/>
                <w:kern w:val="0"/>
                <w:sz w:val="15"/>
                <w:szCs w:val="15"/>
                <w14:ligatures w14:val="none"/>
              </w:rPr>
              <w:instrText xml:space="preserve">:"15","author":[{"family":"Zhao","given":"Yuqiao"},{"family":"Yang","given":"Shifeng"},{"family":"Huang","given":"Lei"},{"family":"Liu","given":"Xuyun"},{"family":"Han","given":"Qixiang"},{"family":"Niu","given":"Qichao"},{"family":"Li","given":"Siyi"},{"family":"Zhou","given":"Chuanlie"},{"family":"Sun","given":"Boshi"},{"family":"Yang","given":"Yanmei"},{"family":"Zhang","given":"Xinyu"}],"issued":{"date-parts":[["2025",10]]}}}],"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[23]</w:t>
            </w:r>
            <w:r>
              <w:rPr>
                <w:rFonts w:ascii="Times New Roman" w:eastAsia="SimSun" w:hAnsi="Times New Roman" w:cs="Times New Roman"/>
                <w:color w:val="000000"/>
                <w:kern w:val="0"/>
                <w:sz w:val="15"/>
                <w:szCs w:val="15"/>
                <w14:ligatures w14:val="none"/>
              </w:rPr>
              <w:fldChar w:fldCharType="end"/>
            </w:r>
          </w:p>
        </w:tc>
      </w:tr>
      <w:tr w:rsidR="00427052" w:rsidRPr="00186A4D" w14:paraId="335096DD" w14:textId="77777777" w:rsidTr="00281326">
        <w:trPr>
          <w:trHeight w:val="56"/>
        </w:trPr>
        <w:tc>
          <w:tcPr>
            <w:tcW w:w="3754" w:type="dxa"/>
            <w:vAlign w:val="center"/>
            <w:hideMark/>
          </w:tcPr>
          <w:p w14:paraId="6CFC849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SQLE/FDFT1-mediated cholesterol synthesis</w:t>
            </w:r>
          </w:p>
        </w:tc>
        <w:tc>
          <w:tcPr>
            <w:tcW w:w="3402" w:type="dxa"/>
            <w:vAlign w:val="center"/>
            <w:hideMark/>
          </w:tcPr>
          <w:p w14:paraId="2E78C63E"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Associated with drug-resistant phenotypes and cholesterol-directed vulnerability</w:t>
            </w:r>
          </w:p>
        </w:tc>
        <w:tc>
          <w:tcPr>
            <w:tcW w:w="2591" w:type="dxa"/>
            <w:vAlign w:val="center"/>
            <w:hideMark/>
          </w:tcPr>
          <w:p w14:paraId="6A5A036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Preclinical CCA drug-resistance and pharmacological studies</w:t>
            </w:r>
          </w:p>
        </w:tc>
        <w:tc>
          <w:tcPr>
            <w:tcW w:w="851" w:type="dxa"/>
            <w:vAlign w:val="center"/>
            <w:hideMark/>
          </w:tcPr>
          <w:p w14:paraId="1A406553" w14:textId="387900E2"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w:t>
            </w:r>
          </w:p>
        </w:tc>
        <w:tc>
          <w:tcPr>
            <w:tcW w:w="810" w:type="dxa"/>
            <w:vAlign w:val="center"/>
            <w:hideMark/>
          </w:tcPr>
          <w:p w14:paraId="337BE6C3" w14:textId="49F1D6DA"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{"citationID":"heg9A7U4","properties":{"unsorted":false,"formattedCitation":"[24]","plainCitation":"[24]","noteIndex":0},"citationItems":[{"id":226,"uris":["http://zotero.org/users/18222353/items/H25MD7CA"],"itemData":{"id":226,"type":"article-journal","abstract":"BACKGROUND: Intrahepatic Cholangiocarcinoma (ICC) is a highly aggressive malignancy with limited treatment options. Identifying novel therapeutic agents  for ICC is crucial. Numerous natural compounds have demonstrated remarkable  anti-tumor activities and can enhance the efficacy of chemotherapy. Thus, our  study aimed to screen natural compounds for their anti-ICC effects. METHODS: A  total of 640 natural compounds were screened using a cell viability assay to  identify potential compounds that could inhibit the proliferation of ICC cells.  The anti-ICC effects of Lycorine Hydrochloride (LY) were confirmed through cell  proliferation, colony formation, cell cycle, migration, and invasion assays, as  well as in xenograft models. Bioinformatics analyses and validation experiments  (Quantitative real-time PCR, Western blot, and immunostaining assays) were  utilized to investigate the roles of genes (SQLE, FDFT1, and PTPN11) in ICC. RNA  sequencing and immunofluorescence staining were performed to elucidate underlying  molecular mechanisms. RESULTS: LY was identified as a potential ICC inhibitor,  exhibiting anti-ICC effects both in vitro and in vivo. Mechanistically, LY  inhibited cholesterol synthesis in tumor cells by down-regulating the expression  of SQLE and FDFT1. The knockdown of SQLE or FDFT1 significantly inhibited ICC  cell proliferation and colony formation. RNA sequencing confirmed that inhibition  of FDFT1 suppressed the cholesterol biosynthesis pathway, while SQLE inhibition  affected specific oncogenic pathways. Additionally, immunofluorescence staining  revealed that down-regulation of SQLE reduced PTPN11 expression and inhibited its  nuclear translocation. Furthermore, pharmacological inhibition of SQLE and FDFT1  by LY significantly enhanced sensitivity to several common chemotherapeutic drugs  for ICC. Notably, the combination of LY and Gemcitabine (GEM) displayed the most  potent synergistic anti-tumor effect across various tumor types. CONCLUSION:  These findings identify Lycorine Hydrochloride as a promising treatment  alternative for ICC and propose a novel combination strategy (LY + GEM) for  treating multiple solid tumors.","container-title":"Cell communication and signaling : CCS","DOI":"10.1186/s12964-025-02318-5","ISSN":"1478-811X","issue":"1","journalAbbreviation":"Cell Commun Signal","language":"en-US","license":"© 2025. The Author(s).","note":"publisher-place: England\nTLDR: Lycorine Hydrochloride was identified as a potential ICC inhibitor, exhibiting anti-ICC effects both in vitro and in vivo and a novel combination strategy (LY + GEM) for treating multiple solid tumors is proposed.\ntitleTranslation: </w:instrText>
            </w:r>
            <w:r>
              <w:rPr>
                <w:rFonts w:ascii="Times New Roman" w:eastAsia="SimSun" w:hAnsi="Times New Roman" w:cs="Times New Roman" w:hint="eastAsia"/>
                <w:color w:val="000000"/>
                <w:kern w:val="0"/>
                <w:sz w:val="15"/>
                <w:szCs w:val="15"/>
                <w14:ligatures w14:val="none"/>
              </w:rPr>
              <w:instrText>盐酸番茄碱通过胆固醇生物合成和</w:instrText>
            </w:r>
            <w:r>
              <w:rPr>
                <w:rFonts w:ascii="Times New Roman" w:eastAsia="SimSun" w:hAnsi="Times New Roman" w:cs="Times New Roman"/>
                <w:color w:val="000000"/>
                <w:kern w:val="0"/>
                <w:sz w:val="15"/>
                <w:szCs w:val="15"/>
                <w14:ligatures w14:val="none"/>
              </w:rPr>
              <w:instrText>PTPN11</w:instrText>
            </w:r>
            <w:r>
              <w:rPr>
                <w:rFonts w:ascii="Times New Roman" w:eastAsia="SimSun" w:hAnsi="Times New Roman" w:cs="Times New Roman" w:hint="eastAsia"/>
                <w:color w:val="000000"/>
                <w:kern w:val="0"/>
                <w:sz w:val="15"/>
                <w:szCs w:val="15"/>
                <w14:ligatures w14:val="none"/>
              </w:rPr>
              <w:instrText>核易位抑制胆管癌。</w:instrText>
            </w:r>
            <w:r>
              <w:rPr>
                <w:rFonts w:ascii="Times New Roman" w:eastAsia="SimSun" w:hAnsi="Times New Roman" w:cs="Times New Roman"/>
                <w:color w:val="000000"/>
                <w:kern w:val="0"/>
                <w:sz w:val="15"/>
                <w:szCs w:val="15"/>
                <w14:ligatures w14:val="none"/>
              </w:rPr>
              <w:instrText xml:space="preserve">\nabstractTranslation: </w:instrText>
            </w:r>
            <w:r>
              <w:rPr>
                <w:rFonts w:ascii="Times New Roman" w:eastAsia="SimSun" w:hAnsi="Times New Roman" w:cs="Times New Roman" w:hint="eastAsia"/>
                <w:color w:val="000000"/>
                <w:kern w:val="0"/>
                <w:sz w:val="15"/>
                <w:szCs w:val="15"/>
                <w14:ligatures w14:val="none"/>
              </w:rPr>
              <w:instrText>背景：肝内胆管癌（</w:instrText>
            </w:r>
            <w:r>
              <w:rPr>
                <w:rFonts w:ascii="Times New Roman" w:eastAsia="SimSun" w:hAnsi="Times New Roman" w:cs="Times New Roman"/>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）是一种高度侵袭性的恶性肿瘤，治疗选择有限。识别</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的新治疗药物至关重要。许多天然化合物已展现出显著的抗肿瘤活性，能够提升化疗的疗效。因此，我们的研究旨在筛选天然化合物的抗</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效应。方法：共筛查了</w:instrText>
            </w:r>
            <w:r>
              <w:rPr>
                <w:rFonts w:ascii="Times New Roman" w:eastAsia="SimSun" w:hAnsi="Times New Roman" w:cs="Times New Roman" w:hint="eastAsia"/>
                <w:color w:val="000000"/>
                <w:kern w:val="0"/>
                <w:sz w:val="15"/>
                <w:szCs w:val="15"/>
                <w14:ligatures w14:val="none"/>
              </w:rPr>
              <w:instrText>640</w:instrText>
            </w:r>
            <w:r>
              <w:rPr>
                <w:rFonts w:ascii="Times New Roman" w:eastAsia="SimSun" w:hAnsi="Times New Roman" w:cs="Times New Roman" w:hint="eastAsia"/>
                <w:color w:val="000000"/>
                <w:kern w:val="0"/>
                <w:sz w:val="15"/>
                <w:szCs w:val="15"/>
                <w14:ligatures w14:val="none"/>
              </w:rPr>
              <w:instrText>种天然化合物，使用细胞存活率检测，以识别可能抑制</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细胞增殖的潜在化合物。</w:instrText>
            </w:r>
            <w:r>
              <w:rPr>
                <w:rFonts w:ascii="Times New Roman" w:eastAsia="SimSun" w:hAnsi="Times New Roman" w:cs="Times New Roman" w:hint="eastAsia"/>
                <w:color w:val="000000"/>
                <w:kern w:val="0"/>
                <w:sz w:val="15"/>
                <w:szCs w:val="15"/>
                <w14:ligatures w14:val="none"/>
              </w:rPr>
              <w:instrText xml:space="preserve"> </w:instrText>
            </w:r>
            <w:r>
              <w:rPr>
                <w:rFonts w:ascii="Times New Roman" w:eastAsia="SimSun" w:hAnsi="Times New Roman" w:cs="Times New Roman" w:hint="eastAsia"/>
                <w:color w:val="000000"/>
                <w:kern w:val="0"/>
                <w:sz w:val="15"/>
                <w:szCs w:val="15"/>
                <w14:ligatures w14:val="none"/>
              </w:rPr>
              <w:instrText>石梨碱盐酸盐（</w:instrText>
            </w:r>
            <w:r>
              <w:rPr>
                <w:rFonts w:ascii="Times New Roman" w:eastAsia="SimSun" w:hAnsi="Times New Roman" w:cs="Times New Roman" w:hint="eastAsia"/>
                <w:color w:val="000000"/>
                <w:kern w:val="0"/>
                <w:sz w:val="15"/>
                <w:szCs w:val="15"/>
                <w14:ligatures w14:val="none"/>
              </w:rPr>
              <w:instrText>LY</w:instrText>
            </w:r>
            <w:r>
              <w:rPr>
                <w:rFonts w:ascii="Times New Roman" w:eastAsia="SimSun" w:hAnsi="Times New Roman" w:cs="Times New Roman" w:hint="eastAsia"/>
                <w:color w:val="000000"/>
                <w:kern w:val="0"/>
                <w:sz w:val="15"/>
                <w:szCs w:val="15"/>
                <w14:ligatures w14:val="none"/>
              </w:rPr>
              <w:instrText>）的抗</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作用通过细胞增殖、菌落形成、细胞周期、迁移和入侵检测，以及异种移植模型得到证实。利用生物信息学分析和验证实验（定量实时</w:instrText>
            </w:r>
            <w:r>
              <w:rPr>
                <w:rFonts w:ascii="Times New Roman" w:eastAsia="SimSun" w:hAnsi="Times New Roman" w:cs="Times New Roman" w:hint="eastAsia"/>
                <w:color w:val="000000"/>
                <w:kern w:val="0"/>
                <w:sz w:val="15"/>
                <w:szCs w:val="15"/>
                <w14:ligatures w14:val="none"/>
              </w:rPr>
              <w:instrText>PCR</w:instrText>
            </w:r>
            <w:r>
              <w:rPr>
                <w:rFonts w:ascii="Times New Roman" w:eastAsia="SimSun" w:hAnsi="Times New Roman" w:cs="Times New Roman" w:hint="eastAsia"/>
                <w:color w:val="000000"/>
                <w:kern w:val="0"/>
                <w:sz w:val="15"/>
                <w:szCs w:val="15"/>
                <w14:ligatures w14:val="none"/>
              </w:rPr>
              <w:instrText>、西印迹和免疫染色检测）研究基因（</w:instrText>
            </w:r>
            <w:r>
              <w:rPr>
                <w:rFonts w:ascii="Times New Roman" w:eastAsia="SimSun" w:hAnsi="Times New Roman" w:cs="Times New Roman" w:hint="eastAsia"/>
                <w:color w:val="000000"/>
                <w:kern w:val="0"/>
                <w:sz w:val="15"/>
                <w:szCs w:val="15"/>
                <w14:ligatures w14:val="none"/>
              </w:rPr>
              <w:instrText>SQLE</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FDFT1</w:instrText>
            </w:r>
            <w:r>
              <w:rPr>
                <w:rFonts w:ascii="Times New Roman" w:eastAsia="SimSun" w:hAnsi="Times New Roman" w:cs="Times New Roman" w:hint="eastAsia"/>
                <w:color w:val="000000"/>
                <w:kern w:val="0"/>
                <w:sz w:val="15"/>
                <w:szCs w:val="15"/>
                <w14:ligatures w14:val="none"/>
              </w:rPr>
              <w:instrText>和</w:instrText>
            </w:r>
            <w:r>
              <w:rPr>
                <w:rFonts w:ascii="Times New Roman" w:eastAsia="SimSun" w:hAnsi="Times New Roman" w:cs="Times New Roman" w:hint="eastAsia"/>
                <w:color w:val="000000"/>
                <w:kern w:val="0"/>
                <w:sz w:val="15"/>
                <w:szCs w:val="15"/>
                <w14:ligatures w14:val="none"/>
              </w:rPr>
              <w:instrText>PTPN11</w:instrText>
            </w:r>
            <w:r>
              <w:rPr>
                <w:rFonts w:ascii="Times New Roman" w:eastAsia="SimSun" w:hAnsi="Times New Roman" w:cs="Times New Roman" w:hint="eastAsia"/>
                <w:color w:val="000000"/>
                <w:kern w:val="0"/>
                <w:sz w:val="15"/>
                <w:szCs w:val="15"/>
                <w14:ligatures w14:val="none"/>
              </w:rPr>
              <w:instrText>）在</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中的作用。进行了</w:instrText>
            </w:r>
            <w:r>
              <w:rPr>
                <w:rFonts w:ascii="Times New Roman" w:eastAsia="SimSun" w:hAnsi="Times New Roman" w:cs="Times New Roman" w:hint="eastAsia"/>
                <w:color w:val="000000"/>
                <w:kern w:val="0"/>
                <w:sz w:val="15"/>
                <w:szCs w:val="15"/>
                <w14:ligatures w14:val="none"/>
              </w:rPr>
              <w:instrText>RNA</w:instrText>
            </w:r>
            <w:r>
              <w:rPr>
                <w:rFonts w:ascii="Times New Roman" w:eastAsia="SimSun" w:hAnsi="Times New Roman" w:cs="Times New Roman" w:hint="eastAsia"/>
                <w:color w:val="000000"/>
                <w:kern w:val="0"/>
                <w:sz w:val="15"/>
                <w:szCs w:val="15"/>
                <w14:ligatures w14:val="none"/>
              </w:rPr>
              <w:instrText>测序和免疫荧光染色以阐明其分子机制。结果：</w:instrText>
            </w:r>
            <w:r>
              <w:rPr>
                <w:rFonts w:ascii="Times New Roman" w:eastAsia="SimSun" w:hAnsi="Times New Roman" w:cs="Times New Roman" w:hint="eastAsia"/>
                <w:color w:val="000000"/>
                <w:kern w:val="0"/>
                <w:sz w:val="15"/>
                <w:szCs w:val="15"/>
                <w14:ligatures w14:val="none"/>
              </w:rPr>
              <w:instrText>LI</w:instrText>
            </w:r>
            <w:r>
              <w:rPr>
                <w:rFonts w:ascii="Times New Roman" w:eastAsia="SimSun" w:hAnsi="Times New Roman" w:cs="Times New Roman" w:hint="eastAsia"/>
                <w:color w:val="000000"/>
                <w:kern w:val="0"/>
                <w:sz w:val="15"/>
                <w:szCs w:val="15"/>
                <w14:ligatures w14:val="none"/>
              </w:rPr>
              <w:instrText>被鉴定为潜在的</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抑制剂，在体外和体内均表现出抗</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效应。机制上，</w:instrText>
            </w:r>
            <w:r>
              <w:rPr>
                <w:rFonts w:ascii="Times New Roman" w:eastAsia="SimSun" w:hAnsi="Times New Roman" w:cs="Times New Roman" w:hint="eastAsia"/>
                <w:color w:val="000000"/>
                <w:kern w:val="0"/>
                <w:sz w:val="15"/>
                <w:szCs w:val="15"/>
                <w14:ligatures w14:val="none"/>
              </w:rPr>
              <w:instrText>LY</w:instrText>
            </w:r>
            <w:r>
              <w:rPr>
                <w:rFonts w:ascii="Times New Roman" w:eastAsia="SimSun" w:hAnsi="Times New Roman" w:cs="Times New Roman" w:hint="eastAsia"/>
                <w:color w:val="000000"/>
                <w:kern w:val="0"/>
                <w:sz w:val="15"/>
                <w:szCs w:val="15"/>
                <w14:ligatures w14:val="none"/>
              </w:rPr>
              <w:instrText>通过下调</w:instrText>
            </w:r>
            <w:r>
              <w:rPr>
                <w:rFonts w:ascii="Times New Roman" w:eastAsia="SimSun" w:hAnsi="Times New Roman" w:cs="Times New Roman" w:hint="eastAsia"/>
                <w:color w:val="000000"/>
                <w:kern w:val="0"/>
                <w:sz w:val="15"/>
                <w:szCs w:val="15"/>
                <w14:ligatures w14:val="none"/>
              </w:rPr>
              <w:instrText>SQLE</w:instrText>
            </w:r>
            <w:r>
              <w:rPr>
                <w:rFonts w:ascii="Times New Roman" w:eastAsia="SimSun" w:hAnsi="Times New Roman" w:cs="Times New Roman" w:hint="eastAsia"/>
                <w:color w:val="000000"/>
                <w:kern w:val="0"/>
                <w:sz w:val="15"/>
                <w:szCs w:val="15"/>
                <w14:ligatures w14:val="none"/>
              </w:rPr>
              <w:instrText>和</w:instrText>
            </w:r>
            <w:r>
              <w:rPr>
                <w:rFonts w:ascii="Times New Roman" w:eastAsia="SimSun" w:hAnsi="Times New Roman" w:cs="Times New Roman" w:hint="eastAsia"/>
                <w:color w:val="000000"/>
                <w:kern w:val="0"/>
                <w:sz w:val="15"/>
                <w:szCs w:val="15"/>
                <w14:ligatures w14:val="none"/>
              </w:rPr>
              <w:instrText>FDFT1</w:instrText>
            </w:r>
            <w:r>
              <w:rPr>
                <w:rFonts w:ascii="Times New Roman" w:eastAsia="SimSun" w:hAnsi="Times New Roman" w:cs="Times New Roman" w:hint="eastAsia"/>
                <w:color w:val="000000"/>
                <w:kern w:val="0"/>
                <w:sz w:val="15"/>
                <w:szCs w:val="15"/>
                <w14:ligatures w14:val="none"/>
              </w:rPr>
              <w:instrText>的表达，抑制肿瘤细胞中的胆固醇合成。敲低</w:instrText>
            </w:r>
            <w:r>
              <w:rPr>
                <w:rFonts w:ascii="Times New Roman" w:eastAsia="SimSun" w:hAnsi="Times New Roman" w:cs="Times New Roman" w:hint="eastAsia"/>
                <w:color w:val="000000"/>
                <w:kern w:val="0"/>
                <w:sz w:val="15"/>
                <w:szCs w:val="15"/>
                <w14:ligatures w14:val="none"/>
              </w:rPr>
              <w:instrText>SQLE</w:instrText>
            </w:r>
            <w:r>
              <w:rPr>
                <w:rFonts w:ascii="Times New Roman" w:eastAsia="SimSun" w:hAnsi="Times New Roman" w:cs="Times New Roman" w:hint="eastAsia"/>
                <w:color w:val="000000"/>
                <w:kern w:val="0"/>
                <w:sz w:val="15"/>
                <w:szCs w:val="15"/>
                <w14:ligatures w14:val="none"/>
              </w:rPr>
              <w:instrText>或</w:instrText>
            </w:r>
            <w:r>
              <w:rPr>
                <w:rFonts w:ascii="Times New Roman" w:eastAsia="SimSun" w:hAnsi="Times New Roman" w:cs="Times New Roman" w:hint="eastAsia"/>
                <w:color w:val="000000"/>
                <w:kern w:val="0"/>
                <w:sz w:val="15"/>
                <w:szCs w:val="15"/>
                <w14:ligatures w14:val="none"/>
              </w:rPr>
              <w:instrText>FDFT1</w:instrText>
            </w:r>
            <w:r>
              <w:rPr>
                <w:rFonts w:ascii="Times New Roman" w:eastAsia="SimSun" w:hAnsi="Times New Roman" w:cs="Times New Roman" w:hint="eastAsia"/>
                <w:color w:val="000000"/>
                <w:kern w:val="0"/>
                <w:sz w:val="15"/>
                <w:szCs w:val="15"/>
                <w14:ligatures w14:val="none"/>
              </w:rPr>
              <w:instrText>显著抑制了</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细胞的增殖和菌落形成。</w:instrText>
            </w:r>
            <w:r>
              <w:rPr>
                <w:rFonts w:ascii="Times New Roman" w:eastAsia="SimSun" w:hAnsi="Times New Roman" w:cs="Times New Roman" w:hint="eastAsia"/>
                <w:color w:val="000000"/>
                <w:kern w:val="0"/>
                <w:sz w:val="15"/>
                <w:szCs w:val="15"/>
                <w14:ligatures w14:val="none"/>
              </w:rPr>
              <w:instrText>RNA</w:instrText>
            </w:r>
            <w:r>
              <w:rPr>
                <w:rFonts w:ascii="Times New Roman" w:eastAsia="SimSun" w:hAnsi="Times New Roman" w:cs="Times New Roman" w:hint="eastAsia"/>
                <w:color w:val="000000"/>
                <w:kern w:val="0"/>
                <w:sz w:val="15"/>
                <w:szCs w:val="15"/>
                <w14:ligatures w14:val="none"/>
              </w:rPr>
              <w:instrText>测序证实，抑制</w:instrText>
            </w:r>
            <w:r>
              <w:rPr>
                <w:rFonts w:ascii="Times New Roman" w:eastAsia="SimSun" w:hAnsi="Times New Roman" w:cs="Times New Roman" w:hint="eastAsia"/>
                <w:color w:val="000000"/>
                <w:kern w:val="0"/>
                <w:sz w:val="15"/>
                <w:szCs w:val="15"/>
                <w14:ligatures w14:val="none"/>
              </w:rPr>
              <w:instrText>FDFT1</w:instrText>
            </w:r>
            <w:r>
              <w:rPr>
                <w:rFonts w:ascii="Times New Roman" w:eastAsia="SimSun" w:hAnsi="Times New Roman" w:cs="Times New Roman" w:hint="eastAsia"/>
                <w:color w:val="000000"/>
                <w:kern w:val="0"/>
                <w:sz w:val="15"/>
                <w:szCs w:val="15"/>
                <w14:ligatures w14:val="none"/>
              </w:rPr>
              <w:instrText>抑制胆固醇生物合成通路，而</w:instrText>
            </w:r>
            <w:r>
              <w:rPr>
                <w:rFonts w:ascii="Times New Roman" w:eastAsia="SimSun" w:hAnsi="Times New Roman" w:cs="Times New Roman" w:hint="eastAsia"/>
                <w:color w:val="000000"/>
                <w:kern w:val="0"/>
                <w:sz w:val="15"/>
                <w:szCs w:val="15"/>
                <w14:ligatures w14:val="none"/>
              </w:rPr>
              <w:instrText>SQLE</w:instrText>
            </w:r>
            <w:r>
              <w:rPr>
                <w:rFonts w:ascii="Times New Roman" w:eastAsia="SimSun" w:hAnsi="Times New Roman" w:cs="Times New Roman" w:hint="eastAsia"/>
                <w:color w:val="000000"/>
                <w:kern w:val="0"/>
                <w:sz w:val="15"/>
                <w:szCs w:val="15"/>
                <w14:ligatures w14:val="none"/>
              </w:rPr>
              <w:instrText>抑制则影响特定致癌通路。此外，免疫荧光染色显示，</w:instrText>
            </w:r>
            <w:r>
              <w:rPr>
                <w:rFonts w:ascii="Times New Roman" w:eastAsia="SimSun" w:hAnsi="Times New Roman" w:cs="Times New Roman" w:hint="eastAsia"/>
                <w:color w:val="000000"/>
                <w:kern w:val="0"/>
                <w:sz w:val="15"/>
                <w:szCs w:val="15"/>
                <w14:ligatures w14:val="none"/>
              </w:rPr>
              <w:instrText>SQLE</w:instrText>
            </w:r>
            <w:r>
              <w:rPr>
                <w:rFonts w:ascii="Times New Roman" w:eastAsia="SimSun" w:hAnsi="Times New Roman" w:cs="Times New Roman" w:hint="eastAsia"/>
                <w:color w:val="000000"/>
                <w:kern w:val="0"/>
                <w:sz w:val="15"/>
                <w:szCs w:val="15"/>
                <w14:ligatures w14:val="none"/>
              </w:rPr>
              <w:instrText>的下调降低了</w:instrText>
            </w:r>
            <w:r>
              <w:rPr>
                <w:rFonts w:ascii="Times New Roman" w:eastAsia="SimSun" w:hAnsi="Times New Roman" w:cs="Times New Roman" w:hint="eastAsia"/>
                <w:color w:val="000000"/>
                <w:kern w:val="0"/>
                <w:sz w:val="15"/>
                <w:szCs w:val="15"/>
                <w14:ligatures w14:val="none"/>
              </w:rPr>
              <w:instrText>PTPN11</w:instrText>
            </w:r>
            <w:r>
              <w:rPr>
                <w:rFonts w:ascii="Times New Roman" w:eastAsia="SimSun" w:hAnsi="Times New Roman" w:cs="Times New Roman" w:hint="eastAsia"/>
                <w:color w:val="000000"/>
                <w:kern w:val="0"/>
                <w:sz w:val="15"/>
                <w:szCs w:val="15"/>
                <w14:ligatures w14:val="none"/>
              </w:rPr>
              <w:instrText>表达并抑制其核易位。此外，</w:instrText>
            </w:r>
            <w:r>
              <w:rPr>
                <w:rFonts w:ascii="Times New Roman" w:eastAsia="SimSun" w:hAnsi="Times New Roman" w:cs="Times New Roman" w:hint="eastAsia"/>
                <w:color w:val="000000"/>
                <w:kern w:val="0"/>
                <w:sz w:val="15"/>
                <w:szCs w:val="15"/>
                <w14:ligatures w14:val="none"/>
              </w:rPr>
              <w:instrText>LY</w:instrText>
            </w:r>
            <w:r>
              <w:rPr>
                <w:rFonts w:ascii="Times New Roman" w:eastAsia="SimSun" w:hAnsi="Times New Roman" w:cs="Times New Roman" w:hint="eastAsia"/>
                <w:color w:val="000000"/>
                <w:kern w:val="0"/>
                <w:sz w:val="15"/>
                <w:szCs w:val="15"/>
                <w14:ligatures w14:val="none"/>
              </w:rPr>
              <w:instrText>对</w:instrText>
            </w:r>
            <w:r>
              <w:rPr>
                <w:rFonts w:ascii="Times New Roman" w:eastAsia="SimSun" w:hAnsi="Times New Roman" w:cs="Times New Roman" w:hint="eastAsia"/>
                <w:color w:val="000000"/>
                <w:kern w:val="0"/>
                <w:sz w:val="15"/>
                <w:szCs w:val="15"/>
                <w14:ligatures w14:val="none"/>
              </w:rPr>
              <w:instrText>SQLE</w:instrText>
            </w:r>
            <w:r>
              <w:rPr>
                <w:rFonts w:ascii="Times New Roman" w:eastAsia="SimSun" w:hAnsi="Times New Roman" w:cs="Times New Roman" w:hint="eastAsia"/>
                <w:color w:val="000000"/>
                <w:kern w:val="0"/>
                <w:sz w:val="15"/>
                <w:szCs w:val="15"/>
                <w14:ligatures w14:val="none"/>
              </w:rPr>
              <w:instrText>和</w:instrText>
            </w:r>
            <w:r>
              <w:rPr>
                <w:rFonts w:ascii="Times New Roman" w:eastAsia="SimSun" w:hAnsi="Times New Roman" w:cs="Times New Roman" w:hint="eastAsia"/>
                <w:color w:val="000000"/>
                <w:kern w:val="0"/>
                <w:sz w:val="15"/>
                <w:szCs w:val="15"/>
                <w14:ligatures w14:val="none"/>
              </w:rPr>
              <w:instrText>FDFT1</w:instrText>
            </w:r>
            <w:r>
              <w:rPr>
                <w:rFonts w:ascii="Times New Roman" w:eastAsia="SimSun" w:hAnsi="Times New Roman" w:cs="Times New Roman" w:hint="eastAsia"/>
                <w:color w:val="000000"/>
                <w:kern w:val="0"/>
                <w:sz w:val="15"/>
                <w:szCs w:val="15"/>
                <w14:ligatures w14:val="none"/>
              </w:rPr>
              <w:instrText>的药理抑制显著提高了对多种常见化疗药物的敏感性。值得注意的是，</w:instrText>
            </w:r>
            <w:r>
              <w:rPr>
                <w:rFonts w:ascii="Times New Roman" w:eastAsia="SimSun" w:hAnsi="Times New Roman" w:cs="Times New Roman" w:hint="eastAsia"/>
                <w:color w:val="000000"/>
                <w:kern w:val="0"/>
                <w:sz w:val="15"/>
                <w:szCs w:val="15"/>
                <w14:ligatures w14:val="none"/>
              </w:rPr>
              <w:instrText>LY</w:instrText>
            </w:r>
            <w:r>
              <w:rPr>
                <w:rFonts w:ascii="Times New Roman" w:eastAsia="SimSun" w:hAnsi="Times New Roman" w:cs="Times New Roman" w:hint="eastAsia"/>
                <w:color w:val="000000"/>
                <w:kern w:val="0"/>
                <w:sz w:val="15"/>
                <w:szCs w:val="15"/>
                <w14:ligatures w14:val="none"/>
              </w:rPr>
              <w:instrText>和吉西他滨（</w:instrText>
            </w:r>
            <w:r>
              <w:rPr>
                <w:rFonts w:ascii="Times New Roman" w:eastAsia="SimSun" w:hAnsi="Times New Roman" w:cs="Times New Roman" w:hint="eastAsia"/>
                <w:color w:val="000000"/>
                <w:kern w:val="0"/>
                <w:sz w:val="15"/>
                <w:szCs w:val="15"/>
                <w14:ligatures w14:val="none"/>
              </w:rPr>
              <w:instrText>GEM</w:instrText>
            </w:r>
            <w:r>
              <w:rPr>
                <w:rFonts w:ascii="Times New Roman" w:eastAsia="SimSun" w:hAnsi="Times New Roman" w:cs="Times New Roman" w:hint="eastAsia"/>
                <w:color w:val="000000"/>
                <w:kern w:val="0"/>
                <w:sz w:val="15"/>
                <w:szCs w:val="15"/>
                <w14:ligatures w14:val="none"/>
              </w:rPr>
              <w:instrText>）的组合在多种肿瘤类型中展现出最强的协同抗肿瘤效果。结论：这些发现表明石梨碱盐酸盐是</w:instrText>
            </w:r>
            <w:r>
              <w:rPr>
                <w:rFonts w:ascii="Times New Roman" w:eastAsia="SimSun" w:hAnsi="Times New Roman" w:cs="Times New Roman" w:hint="eastAsia"/>
                <w:color w:val="000000"/>
                <w:kern w:val="0"/>
                <w:sz w:val="15"/>
                <w:szCs w:val="15"/>
                <w14:ligatures w14:val="none"/>
              </w:rPr>
              <w:instrText>ICC</w:instrText>
            </w:r>
            <w:r>
              <w:rPr>
                <w:rFonts w:ascii="Times New Roman" w:eastAsia="SimSun" w:hAnsi="Times New Roman" w:cs="Times New Roman" w:hint="eastAsia"/>
                <w:color w:val="000000"/>
                <w:kern w:val="0"/>
                <w:sz w:val="15"/>
                <w:szCs w:val="15"/>
                <w14:ligatures w14:val="none"/>
              </w:rPr>
              <w:instrText>治疗的有前景替代方案，并提出了一种新颖的联合策略（</w:instrText>
            </w:r>
            <w:r>
              <w:rPr>
                <w:rFonts w:ascii="Times New Roman" w:eastAsia="SimSun" w:hAnsi="Times New Roman" w:cs="Times New Roman" w:hint="eastAsia"/>
                <w:color w:val="000000"/>
                <w:kern w:val="0"/>
                <w:sz w:val="15"/>
                <w:szCs w:val="15"/>
                <w14:ligatures w14:val="none"/>
              </w:rPr>
              <w:instrText>LY + GEM</w:instrText>
            </w:r>
            <w:r>
              <w:rPr>
                <w:rFonts w:ascii="Times New Roman" w:eastAsia="SimSun" w:hAnsi="Times New Roman" w:cs="Times New Roman" w:hint="eastAsia"/>
                <w:color w:val="000000"/>
                <w:kern w:val="0"/>
                <w:sz w:val="15"/>
                <w:szCs w:val="15"/>
                <w14:ligatures w14:val="none"/>
              </w:rPr>
              <w:instrText>）用于治疗多重实体肿瘤。</w:instrText>
            </w:r>
            <w:r>
              <w:rPr>
                <w:rFonts w:ascii="Times New Roman" w:eastAsia="SimSun" w:hAnsi="Times New Roman" w:cs="Times New Roman" w:hint="eastAsia"/>
                <w:color w:val="000000"/>
                <w:kern w:val="0"/>
                <w:sz w:val="15"/>
                <w:szCs w:val="15"/>
                <w14:ligatures w14:val="none"/>
              </w:rPr>
              <w:instrText>","page":"315","PMID":"40598214","PMCID":"PMC12220003","title":"Lycorine hydrochloride inhibits cholangiocarcinoma through cholesterol biosynthesis and PTPN11 n</w:instrText>
            </w:r>
            <w:r>
              <w:rPr>
                <w:rFonts w:ascii="Times New Roman" w:eastAsia="SimSun" w:hAnsi="Times New Roman" w:cs="Times New Roman"/>
                <w:color w:val="000000"/>
                <w:kern w:val="0"/>
                <w:sz w:val="15"/>
                <w:szCs w:val="15"/>
                <w14:ligatures w14:val="none"/>
              </w:rPr>
              <w:instrText xml:space="preserve">uclear translocation.","volume":"23","author":[{"family":"Zhao","given":"Fengyun"},{"family":"Peng","given":"Shuxian"},{"family":"Zou","given":"Liming"},{"family":"Zhong","given":"Mingtian"},{"family":"Huang","given":"Yanni"},{"family":"Wang","given":"Ping"},{"family":"Ji","given":"Mingfang"},{"family":"Ma","given":"Xiaodong"},{"family":"Li","given":"Fugui"}],"issued":{"date-parts":[["2025",7,1]]}}}],"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[24]</w:t>
            </w:r>
            <w:r>
              <w:rPr>
                <w:rFonts w:ascii="Times New Roman" w:eastAsia="SimSun" w:hAnsi="Times New Roman" w:cs="Times New Roman"/>
                <w:color w:val="000000"/>
                <w:kern w:val="0"/>
                <w:sz w:val="15"/>
                <w:szCs w:val="15"/>
                <w14:ligatures w14:val="none"/>
              </w:rPr>
              <w:fldChar w:fldCharType="end"/>
            </w:r>
          </w:p>
        </w:tc>
      </w:tr>
      <w:tr w:rsidR="00427052" w:rsidRPr="00186A4D" w14:paraId="2532DA1A" w14:textId="77777777" w:rsidTr="00281326">
        <w:trPr>
          <w:trHeight w:val="56"/>
        </w:trPr>
        <w:tc>
          <w:tcPr>
            <w:tcW w:w="3754" w:type="dxa"/>
            <w:vAlign w:val="center"/>
            <w:hideMark/>
          </w:tcPr>
          <w:p w14:paraId="008CFBD1"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MAL2–EGFR/PI3K/AKT/SREBP1 lipid metabolic reprogramming</w:t>
            </w:r>
          </w:p>
        </w:tc>
        <w:tc>
          <w:tcPr>
            <w:tcW w:w="3402" w:type="dxa"/>
            <w:vAlign w:val="center"/>
            <w:hideMark/>
          </w:tcPr>
          <w:p w14:paraId="3BA5447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Promotes lipid accumulation and contributes to ICC progression and cisplatin resistance</w:t>
            </w:r>
          </w:p>
        </w:tc>
        <w:tc>
          <w:tcPr>
            <w:tcW w:w="2591" w:type="dxa"/>
            <w:vAlign w:val="center"/>
            <w:hideMark/>
          </w:tcPr>
          <w:p w14:paraId="4E3F496A" w14:textId="3DB60310"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Single-cell RNA sequencing, transcriptomic/metabolomic analysis, organoid</w:t>
            </w:r>
            <w:r>
              <w:rPr>
                <w:rFonts w:ascii="Times New Roman" w:eastAsia="SimSun" w:hAnsi="Times New Roman" w:cs="Times New Roman"/>
                <w:color w:val="000000"/>
                <w:kern w:val="0"/>
                <w:sz w:val="15"/>
                <w:szCs w:val="15"/>
                <w14:ligatures w14:val="none"/>
              </w:rPr>
              <w:t>,</w:t>
            </w:r>
            <w:r w:rsidRPr="00186A4D">
              <w:rPr>
                <w:rFonts w:ascii="Times New Roman" w:eastAsia="SimSun" w:hAnsi="Times New Roman" w:cs="Times New Roman"/>
                <w:color w:val="000000"/>
                <w:kern w:val="0"/>
                <w:sz w:val="15"/>
                <w:szCs w:val="15"/>
                <w14:ligatures w14:val="none"/>
              </w:rPr>
              <w:t xml:space="preserve"> and functional validation</w:t>
            </w:r>
          </w:p>
        </w:tc>
        <w:tc>
          <w:tcPr>
            <w:tcW w:w="851" w:type="dxa"/>
            <w:vAlign w:val="center"/>
            <w:hideMark/>
          </w:tcPr>
          <w:p w14:paraId="6CF04CCF" w14:textId="1523B6F8"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59BF9137" w14:textId="3019E5DC"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{"citationID":"kFqGL1L9","properties":{"unsorted":false,"formattedCitation":"[25]","plainCitation":"[25]","noteIndex":0},"citationItems":[{"id":463,"uris":["http://zotero.org/users/18222353/items/IDQNRPGR"],"itemData":{"id":463,"type":"article-journal","abstract":"Intrahepatic cholangiocarcinoma (ICC) is a highly aggressive cancer characterized by a poor prognosis and resistance to chemotherapy. In this study, utilizing scRNA-seq, we discovered that the tetra-transmembrane protein mal, T cell differentiation protein 2 (MAL2), exhibited specific enrichment in ICC cancer cells and was strongly associated with a poor prognosis. The inhibition of MAL2 effectively suppressed cell proliferation, invasion, and migration. Transcriptomics and metabolomics analyses suggested that MAL2 promoted lipid accumulation in ICC by stabilizing EGFR membrane localization and activated the PI3K/AKT/SREBP-1 axis. Molecular docking and Co-IP proved that MAL2 interacted directly with EGFR. Based on constructed ICC organoids, the downregulation of MAL2 enhanced apoptosis and sensitized ICC cells to cisplatin. Lastly, we conducted a virtual screen to identify sarizotan, a small molecule inhibitor of MAL2, and successfully validated its ability to inhibit MAL2 function. Our findings highlight the tumorigenic role of MAL2 and its involvement in cisplatin sensitivity, suggesting the potential for novel combination therapeutic strategies in ICC.","container-title":"Cell Death and Disease","DOI":"10.1038/s41419-024-06775-7","ISSN":"2041-4889","issue":"6","journalAbbreviation":"Cell Death Dis","language":"en","note":"TLDR: The discovery that the tetra-transmembrane protein mal, T cell differentiation protein 2 (MAL2), exhibited specific enrichment in ICC cancer cells and was strongly associated with a poor prognosis is discovered, suggesting the potential for novel combination therapeutic strategies in ICC.","page":"411","PMID":"38866777","PMCID":"PMC11169275","source":"PubMed","title":"MAL2 reprograms lipid metabolism in intrahepatic cholangiocarcinoma via EGFR/SREBP-1 pathway based on single-cell RNA sequencing","volume":"15","author":[{"family":"Huang","given":"Tian"},{"family":"Cao","given":"Hengsong"},{"family":"Liu","given":"Chuan"},{"family":"Sun","given":"Xiaohu"},{"family":"Dai","given":"Shipeng"},{"family":"Liu","given":"Li"},{"family":"Wang","given":"Yuliang"},{"family":"Guo","given":"Cheng"},{"family":"Wang","given":"Xuehao"},{"family":"Gao","given":"Yun"},{"family":"Tang","given":"Weiwei"},{"family":"Xia","given":"Yongxiang"}],"issued":{"date-parts":[["2024",6,12]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[25]</w:t>
            </w:r>
            <w:r>
              <w:rPr>
                <w:rFonts w:ascii="Times New Roman" w:eastAsia="SimSun" w:hAnsi="Times New Roman" w:cs="Times New Roman"/>
                <w:color w:val="000000"/>
                <w:kern w:val="0"/>
                <w:sz w:val="15"/>
                <w:szCs w:val="15"/>
                <w14:ligatures w14:val="none"/>
              </w:rPr>
              <w:fldChar w:fldCharType="end"/>
            </w:r>
          </w:p>
        </w:tc>
      </w:tr>
      <w:tr w:rsidR="00427052" w:rsidRPr="00186A4D" w14:paraId="5084408E" w14:textId="77777777" w:rsidTr="00281326">
        <w:trPr>
          <w:trHeight w:val="56"/>
        </w:trPr>
        <w:tc>
          <w:tcPr>
            <w:tcW w:w="3754" w:type="dxa"/>
            <w:vAlign w:val="center"/>
            <w:hideMark/>
          </w:tcPr>
          <w:p w14:paraId="4ECB98B4"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Lipid metabolism reprogramming targeted by mitochondrial drug delivery systems</w:t>
            </w:r>
          </w:p>
        </w:tc>
        <w:tc>
          <w:tcPr>
            <w:tcW w:w="3402" w:type="dxa"/>
            <w:vAlign w:val="center"/>
            <w:hideMark/>
          </w:tcPr>
          <w:p w14:paraId="73AE1D4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Reprograms lipid metabolism to overcome drug resistance in </w:t>
            </w:r>
            <w:proofErr w:type="spellStart"/>
            <w:r w:rsidRPr="00186A4D">
              <w:rPr>
                <w:rFonts w:ascii="Times New Roman" w:eastAsia="SimSun" w:hAnsi="Times New Roman" w:cs="Times New Roman"/>
                <w:color w:val="000000"/>
                <w:kern w:val="0"/>
                <w:sz w:val="15"/>
                <w:szCs w:val="15"/>
                <w14:ligatures w14:val="none"/>
              </w:rPr>
              <w:t>iCCA</w:t>
            </w:r>
            <w:proofErr w:type="spellEnd"/>
            <w:r w:rsidRPr="00186A4D">
              <w:rPr>
                <w:rFonts w:ascii="Times New Roman" w:eastAsia="SimSun" w:hAnsi="Times New Roman" w:cs="Times New Roman"/>
                <w:color w:val="000000"/>
                <w:kern w:val="0"/>
                <w:sz w:val="15"/>
                <w:szCs w:val="15"/>
                <w14:ligatures w14:val="none"/>
              </w:rPr>
              <w:t xml:space="preserve"> models</w:t>
            </w:r>
          </w:p>
        </w:tc>
        <w:tc>
          <w:tcPr>
            <w:tcW w:w="2591" w:type="dxa"/>
            <w:vAlign w:val="center"/>
            <w:hideMark/>
          </w:tcPr>
          <w:p w14:paraId="79A668E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Preclinical drug-delivery and mechanistic experiments</w:t>
            </w:r>
          </w:p>
        </w:tc>
        <w:tc>
          <w:tcPr>
            <w:tcW w:w="851" w:type="dxa"/>
            <w:vAlign w:val="center"/>
            <w:hideMark/>
          </w:tcPr>
          <w:p w14:paraId="00149CED" w14:textId="162F0BE8"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w:t>
            </w:r>
          </w:p>
        </w:tc>
        <w:tc>
          <w:tcPr>
            <w:tcW w:w="810" w:type="dxa"/>
            <w:vAlign w:val="center"/>
            <w:hideMark/>
          </w:tcPr>
          <w:p w14:paraId="31D4EC91" w14:textId="210B686B" w:rsidR="00427052" w:rsidRPr="00186A4D" w:rsidRDefault="003E144F"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{"citationID":"DNab0Ozd","properties":{"unsorted":false,"formattedCitation":"[26]","plainCitation":"[26]","noteIndex":0},"citationItems":[{"id":187,"uris":["http://zotero.org/users/18222353/items/CWWHVCLC"],"itemData":{"id":187,"type":"article-journal","abstract":"The challenge of drug resistance in intrahepatic cholangiocarcinoma (ICC) is intricately linked with lipid metabolism reprogramming. The hepatic lipase (HL)  and the membrane receptor CD36 are overexpressed in BGJ398-resistant ICC cells,  while they are essential for lipid uptake, further enhancing lipid utilization in  ICC. Herein, a metal-organic framework-based drug delivery system  (OB@D-pMOF/CaP-AC, DDS), has been developed. The specifically designed DDS  exhibits a successive targeting property, enabling it to precisely target ICC  cells and their mitochondria. By specifically targeting the mitochondria, DDS  produces reactive oxygen species (ROS) through its sonodynamic therapy effect,  achieving a more potent reduction in ATP levels compared to non-targeted  approaches, through the impairment of mitochondrial function. Additionally, the  DDS strategically minimizes lipid uptake through the incorporation of the anti-HL  drug, Orlistat, and anti-CD36 monoclonal antibody, reducing lipid-derived energy  production. This dual-action strategy on both mitochondria and lipids can hinder  energy utilization to restore drug sensitivity to BGJ398 in ICC. Moreover, an  orthotopic mice model of drug-resistant ICC was developed, which serves as an  exacting platform for evaluating the multifunction of designed DDS. Upon in vivo  experiments with this model, the DDS demonstrated exceptional capabilities in  suppressing tumor growth, reprogramming lipid metabolism and improving immune  response, thereby overcoming drug resistance. These findings underscore the  mitochondria-targeted DDS as a promising and innovative solution in ICC drug  resistance.","container-title":"Biomaterials","DOI":"10.1016/j.biomaterials.2024.1226</w:instrText>
            </w:r>
            <w:r>
              <w:rPr>
                <w:rFonts w:ascii="Times New Roman" w:eastAsia="SimSun" w:hAnsi="Times New Roman" w:cs="Times New Roman" w:hint="eastAsia"/>
                <w:color w:val="000000"/>
                <w:kern w:val="0"/>
                <w:sz w:val="15"/>
                <w:szCs w:val="15"/>
                <w14:ligatures w14:val="none"/>
              </w:rPr>
              <w:instrText xml:space="preserve">09","ISSN":"1878-5905 0142-9612","journalAbbreviation":"Biomaterials","language":"en-US","license":"Copyright © 2024 Elsevier Ltd. All rights reserved.","note":"publisher-place: Netherlands\ntitleTranslation: </w:instrText>
            </w:r>
            <w:r>
              <w:rPr>
                <w:rFonts w:ascii="Times New Roman" w:eastAsia="SimSun" w:hAnsi="Times New Roman" w:cs="Times New Roman" w:hint="eastAsia"/>
                <w:color w:val="000000"/>
                <w:kern w:val="0"/>
                <w:sz w:val="15"/>
                <w:szCs w:val="15"/>
                <w14:ligatures w14:val="none"/>
              </w:rPr>
              <w:instrText>线粒体靶向药物递送系统通过重编程脂质代谢克服肝内胆管癌的耐药性。</w:instrText>
            </w:r>
            <w:r>
              <w:rPr>
                <w:rFonts w:ascii="Times New Roman" w:eastAsia="SimSun" w:hAnsi="Times New Roman" w:cs="Times New Roman" w:hint="eastAsia"/>
                <w:color w:val="000000"/>
                <w:kern w:val="0"/>
                <w:sz w:val="15"/>
                <w:szCs w:val="15"/>
                <w14:ligatures w14:val="none"/>
              </w:rPr>
              <w:instrText>\nTLDR: The DD</w:instrText>
            </w:r>
            <w:r>
              <w:rPr>
                <w:rFonts w:ascii="Times New Roman" w:eastAsia="SimSun" w:hAnsi="Times New Roman" w:cs="Times New Roman"/>
                <w:color w:val="000000"/>
                <w:kern w:val="0"/>
                <w:sz w:val="15"/>
                <w:szCs w:val="15"/>
                <w14:ligatures w14:val="none"/>
              </w:rPr>
              <w:instrText xml:space="preserve">S demonstrated exceptional capabilities in suppressing tumor growth, reprogramming lipid metabolism and improving immune response, thereby overcoming drug resistance, and underscore the mitochondria-targeted DDS as a promising and innovative solution in ICC drug resistance.","page":"122609","PMID":"38754290","title":"Mitochondria targeted drug delivery system overcoming drug resistance in intrahepatic cholangiocarcinoma by reprogramming lipid metabolism.","volume":"309","author":[{"family":"Duan","given":"Yi"},{"family":"Deng","given":"Mengqiong"},{"family":"Liu","given":"Bin"},{"family":"Meng","given":"Xianwei"},{"family":"Liao","given":"Jinghan"},{"family":"Qiu","given":"Yijie"},{"family":"Wu","given":"Zhihua"},{"family":"Lin","given":"Jiangtao"},{"family":"Dong","given":"Yi"},{"family":"Duan","given":"Yourong"},{"family":"Sun","given":"Ying"}],"issued":{"date-parts":[["2024",9]]}}}],"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144F">
              <w:rPr>
                <w:rFonts w:ascii="Times New Roman" w:hAnsi="Times New Roman" w:cs="Times New Roman"/>
                <w:sz w:val="15"/>
              </w:rPr>
              <w:t>[26]</w:t>
            </w:r>
            <w:r>
              <w:rPr>
                <w:rFonts w:ascii="Times New Roman" w:eastAsia="SimSun" w:hAnsi="Times New Roman" w:cs="Times New Roman"/>
                <w:color w:val="000000"/>
                <w:kern w:val="0"/>
                <w:sz w:val="15"/>
                <w:szCs w:val="15"/>
                <w14:ligatures w14:val="none"/>
              </w:rPr>
              <w:fldChar w:fldCharType="end"/>
            </w:r>
          </w:p>
        </w:tc>
      </w:tr>
      <w:tr w:rsidR="00427052" w:rsidRPr="00186A4D" w14:paraId="2627C23F" w14:textId="77777777" w:rsidTr="00281326">
        <w:trPr>
          <w:trHeight w:val="56"/>
        </w:trPr>
        <w:tc>
          <w:tcPr>
            <w:tcW w:w="3754" w:type="dxa"/>
            <w:vAlign w:val="center"/>
            <w:hideMark/>
          </w:tcPr>
          <w:p w14:paraId="251A4645"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Reduced serum </w:t>
            </w:r>
            <w:proofErr w:type="gramStart"/>
            <w:r w:rsidRPr="00186A4D">
              <w:rPr>
                <w:rFonts w:ascii="Times New Roman" w:eastAsia="SimSun" w:hAnsi="Times New Roman" w:cs="Times New Roman"/>
                <w:color w:val="000000"/>
                <w:kern w:val="0"/>
                <w:sz w:val="15"/>
                <w:szCs w:val="15"/>
                <w14:ligatures w14:val="none"/>
              </w:rPr>
              <w:t>PC(</w:t>
            </w:r>
            <w:proofErr w:type="gramEnd"/>
            <w:r w:rsidRPr="00186A4D">
              <w:rPr>
                <w:rFonts w:ascii="Times New Roman" w:eastAsia="SimSun" w:hAnsi="Times New Roman" w:cs="Times New Roman"/>
                <w:color w:val="000000"/>
                <w:kern w:val="0"/>
                <w:sz w:val="15"/>
                <w:szCs w:val="15"/>
                <w14:ligatures w14:val="none"/>
              </w:rPr>
              <w:t xml:space="preserve">34:3) and </w:t>
            </w:r>
            <w:proofErr w:type="gramStart"/>
            <w:r w:rsidRPr="00186A4D">
              <w:rPr>
                <w:rFonts w:ascii="Times New Roman" w:eastAsia="SimSun" w:hAnsi="Times New Roman" w:cs="Times New Roman"/>
                <w:color w:val="000000"/>
                <w:kern w:val="0"/>
                <w:sz w:val="15"/>
                <w:szCs w:val="15"/>
                <w14:ligatures w14:val="none"/>
              </w:rPr>
              <w:t>PC(</w:t>
            </w:r>
            <w:proofErr w:type="gramEnd"/>
            <w:r w:rsidRPr="00186A4D">
              <w:rPr>
                <w:rFonts w:ascii="Times New Roman" w:eastAsia="SimSun" w:hAnsi="Times New Roman" w:cs="Times New Roman"/>
                <w:color w:val="000000"/>
                <w:kern w:val="0"/>
                <w:sz w:val="15"/>
                <w:szCs w:val="15"/>
                <w14:ligatures w14:val="none"/>
              </w:rPr>
              <w:t>14:0/16:1)</w:t>
            </w:r>
          </w:p>
        </w:tc>
        <w:tc>
          <w:tcPr>
            <w:tcW w:w="3402" w:type="dxa"/>
            <w:vAlign w:val="center"/>
            <w:hideMark/>
          </w:tcPr>
          <w:p w14:paraId="7C067B3C"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Helps distinguish CCA from benign biliary disease, including PSC, in selected cohorts</w:t>
            </w:r>
          </w:p>
        </w:tc>
        <w:tc>
          <w:tcPr>
            <w:tcW w:w="2591" w:type="dxa"/>
            <w:vAlign w:val="center"/>
            <w:hideMark/>
          </w:tcPr>
          <w:p w14:paraId="1FB2B984"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Serum metabolomics with discovery and validation cohorts</w:t>
            </w:r>
          </w:p>
        </w:tc>
        <w:tc>
          <w:tcPr>
            <w:tcW w:w="851" w:type="dxa"/>
            <w:vAlign w:val="center"/>
            <w:hideMark/>
          </w:tcPr>
          <w:p w14:paraId="2683B53A" w14:textId="25E88585"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w:t>
            </w:r>
          </w:p>
        </w:tc>
        <w:tc>
          <w:tcPr>
            <w:tcW w:w="810" w:type="dxa"/>
            <w:vAlign w:val="center"/>
            <w:hideMark/>
          </w:tcPr>
          <w:p w14:paraId="25CC355C" w14:textId="3AF8570C"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{"citationID":"tIHu37qp","properties":{"unsorted":false,"formattedCitation":"[27]","plainCitation":"[27]","noteIndex":0},"citationItems":[{"id":162,"uris":["http://zotero.org/users/18222353/items/7PTHNRP3"],"itemData":{"id":162,"type":"article-journal","abstract":"Early and differential diagnosis of intrahepatic cholangiocarcinoma (iCCA) and hepatocellular carcinoma (HCC) by noninvasive methods represents a current  clinical challenge. The analysis of low-molecular-weight metabolites by new  high-throughput techniques is a strategy for identifying biomarkers. Here, we  have investigated whether serum metabolome can provide useful biomarkers in the  diagnosis of iCCA and HCC and could discriminate iCCA from HCC. Because primary  sclerosing cholangitis (PSC) is a risk factor for CCA, serum metabolic profiles  of PSC and CCA have also been compared. The analysis of the levels of lipids and  amino acids in the serum of patients with iCCA, HCC, and PSC and healthy  individuals (n = 20/group) showed differential profiles. Several metabolites  presented high diagnostic value for iCCA versus control, HCC versus control, and  PSC versus control, with areas under the receiver operating characteristic curve  (AUC) greater than those found in serum for the nonspecific tumor markers  carbohydrate antigen 19-9 (CA 19-9) and alpha-fetoprotein (AFP), commonly used to  help in the diagnosis of iCCA and HCC, respectively. The development of an  algorithm combining glycine, aspartic acid, SM(42:3), and SM(43:2) permitted to  accurately differentiate in the diagnosis of both types of tumors  (biopsy-proven). The proposed model yielded 0.890 AUC, 75% sensitivity, and 90%  specificity. Another algorithm by combination of PC(34:3) and histidine  accurately permitted to differentiate PSC from iCCA, with an AUC of 0.990, 100%  sensitivity, and 70% specificity. These results were validated in independent  cohorts of 14-15 patients per group and compared with profiles found in patients  with nonalcoholic fatty liver disease/nonalcoholic steatohepatitis. Conclusion:  Specific changes in serum concentrations of certain metabolites are useful to  differentiate iCCA from HCC or PSC, and could help in the early diagnosis of  these diseases.","container-title":"Hepatology (Baltimore, Md.)","DOI":"10.1002/hep.30319","ISSN":"1527-3350 0270-9139","issue":"2","journalAbbreviation":"Hepatology","language":"en-US","license":"© 2018 The Authors. Hepatology published by Wiley Periodicals, Inc., on behalf of Americ</w:instrText>
            </w:r>
            <w:r>
              <w:rPr>
                <w:rFonts w:ascii="Times New Roman" w:eastAsia="SimSun" w:hAnsi="Times New Roman" w:cs="Times New Roman" w:hint="eastAsia"/>
                <w:color w:val="000000"/>
                <w:kern w:val="0"/>
                <w:sz w:val="15"/>
                <w:szCs w:val="15"/>
                <w14:ligatures w14:val="none"/>
              </w:rPr>
              <w:instrText xml:space="preserve">an Association for the Study of Liver Diseases.","note":"publisher-place: United States\ntitleTranslation: </w:instrText>
            </w:r>
            <w:r>
              <w:rPr>
                <w:rFonts w:ascii="Times New Roman" w:eastAsia="SimSun" w:hAnsi="Times New Roman" w:cs="Times New Roman" w:hint="eastAsia"/>
                <w:color w:val="000000"/>
                <w:kern w:val="0"/>
                <w:sz w:val="15"/>
                <w:szCs w:val="15"/>
                <w14:ligatures w14:val="none"/>
              </w:rPr>
              <w:instrText>血清代谢物作为胆管癌、肝细胞癌和原发性硬化性胆管炎的诊断生物标志物。</w:instrText>
            </w:r>
            <w:r>
              <w:rPr>
                <w:rFonts w:ascii="Times New Roman" w:eastAsia="SimSun" w:hAnsi="Times New Roman" w:cs="Times New Roman" w:hint="eastAsia"/>
                <w:color w:val="000000"/>
                <w:kern w:val="0"/>
                <w:sz w:val="15"/>
                <w:szCs w:val="15"/>
                <w14:ligatures w14:val="none"/>
              </w:rPr>
              <w:instrText xml:space="preserve">\nTLDR: Specific changes in serum concentrations of certain metabolites are useful to differentiate iCCA from HCC </w:instrText>
            </w:r>
            <w:r>
              <w:rPr>
                <w:rFonts w:ascii="Times New Roman" w:eastAsia="SimSun" w:hAnsi="Times New Roman" w:cs="Times New Roman"/>
                <w:color w:val="000000"/>
                <w:kern w:val="0"/>
                <w:sz w:val="15"/>
                <w:szCs w:val="15"/>
                <w14:ligatures w14:val="none"/>
              </w:rPr>
              <w:instrText xml:space="preserve">or PSC, and could help in the early diagnosis of these diseases.","page":"547-562","PMID":"30325540","PMCID":"PMC6767196","title":"Serum Metabolites as Diagnostic Biomarkers for Cholangiocarcinoma, Hepatocellular Carcinoma, and Primary Sclerosing Cholangitis.","volume":"70","author":[{"family":"Banales","given":"Jesus M."},{"family":"Iñarrairaegui","given":"Mercedes"},{"family":"Arbelaiz","given":"Ander"},{"family":"Milkiewicz","given":"Piotr"},{"family":"Muntané","given":"Jordi"},{"family":"Muñoz-Bellvis","given":"Luis"},{"family":"La Casta","given":"Adelaida"},{"family":"Gonzalez","given":"Luis M."},{"family":"Arretxe","given":"Enara"},{"family":"Alonso","given":"Cristina"},{"family":"Martínez-Arranz","given":"Ibon"},{"family":"Lapitz","given":"Ainhoa"},{"family":"Santos-Laso","given":"Alvaro"},{"family":"Avila","given":"Matias A."},{"family":"Martínez-Chantar","given":"Maria L."},{"family":"Bujanda","given":"Luis"},{"family":"Marin","given":"Jose J. G."},{"family":"Sangro","given":"Bruno"},{"family":"Macias","given":"Rocio I. R."}],"issued":{"date-parts":[["2019",8]]}}}],"schema":"https://github.com/citation-style-language/schema/raw/master/csl-citation.json"}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[27]</w:t>
            </w:r>
            <w:r>
              <w:rPr>
                <w:rFonts w:ascii="Times New Roman" w:eastAsia="SimSun" w:hAnsi="Times New Roman" w:cs="Times New Roman"/>
                <w:color w:val="000000"/>
                <w:kern w:val="0"/>
                <w:sz w:val="15"/>
                <w:szCs w:val="15"/>
                <w14:ligatures w14:val="none"/>
              </w:rPr>
              <w:fldChar w:fldCharType="end"/>
            </w:r>
          </w:p>
        </w:tc>
      </w:tr>
      <w:tr w:rsidR="00427052" w:rsidRPr="00186A4D" w14:paraId="0959E8D1" w14:textId="77777777" w:rsidTr="00281326">
        <w:trPr>
          <w:trHeight w:val="56"/>
        </w:trPr>
        <w:tc>
          <w:tcPr>
            <w:tcW w:w="3754" w:type="dxa"/>
            <w:vAlign w:val="center"/>
            <w:hideMark/>
          </w:tcPr>
          <w:p w14:paraId="4AC9721E"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Increased PC36:6 and PC42:6 in tumor tissue and preoperative serum</w:t>
            </w:r>
          </w:p>
        </w:tc>
        <w:tc>
          <w:tcPr>
            <w:tcW w:w="3402" w:type="dxa"/>
            <w:vAlign w:val="center"/>
            <w:hideMark/>
          </w:tcPr>
          <w:p w14:paraId="2D2BCCDB"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May reflect tumor burden and decrease after resection</w:t>
            </w:r>
          </w:p>
        </w:tc>
        <w:tc>
          <w:tcPr>
            <w:tcW w:w="2591" w:type="dxa"/>
            <w:vAlign w:val="center"/>
            <w:hideMark/>
          </w:tcPr>
          <w:p w14:paraId="045EACE1"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Tissue and paired perioperative serum </w:t>
            </w:r>
            <w:proofErr w:type="spellStart"/>
            <w:r w:rsidRPr="00186A4D">
              <w:rPr>
                <w:rFonts w:ascii="Times New Roman" w:eastAsia="SimSun" w:hAnsi="Times New Roman" w:cs="Times New Roman"/>
                <w:color w:val="000000"/>
                <w:kern w:val="0"/>
                <w:sz w:val="15"/>
                <w:szCs w:val="15"/>
                <w14:ligatures w14:val="none"/>
              </w:rPr>
              <w:t>phospholipidome</w:t>
            </w:r>
            <w:proofErr w:type="spellEnd"/>
            <w:r w:rsidRPr="00186A4D">
              <w:rPr>
                <w:rFonts w:ascii="Times New Roman" w:eastAsia="SimSun" w:hAnsi="Times New Roman" w:cs="Times New Roman"/>
                <w:color w:val="000000"/>
                <w:kern w:val="0"/>
                <w:sz w:val="15"/>
                <w:szCs w:val="15"/>
                <w14:ligatures w14:val="none"/>
              </w:rPr>
              <w:t xml:space="preserve"> analysis</w:t>
            </w:r>
          </w:p>
        </w:tc>
        <w:tc>
          <w:tcPr>
            <w:tcW w:w="851" w:type="dxa"/>
            <w:vAlign w:val="center"/>
            <w:hideMark/>
          </w:tcPr>
          <w:p w14:paraId="3F1AD382" w14:textId="341ED556"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w:t>
            </w:r>
          </w:p>
        </w:tc>
        <w:tc>
          <w:tcPr>
            <w:tcW w:w="810" w:type="dxa"/>
            <w:vAlign w:val="center"/>
            <w:hideMark/>
          </w:tcPr>
          <w:p w14:paraId="0330FCAB" w14:textId="4F9A501F"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LonXD6TQ","properties":{"unsorted":false,"formattedCitation":"[28]","plainCitation":"[28]","noteIndex":0},"citationItems":[{"id":3242,"uris":["http://zotero.org/users/18222353/items/CQ8CSD5H"],"itemData":{"id":3242,"type":"article-journal","abstract":"Hepatocellular carcinoma and cholangiocarcinoma are the most common primary malignant liver tumors. Since the liver plays a key role in lipid metabolism, the study of serum phospholipid (PL) profiles may provide a better understanding of alterations in hepatic lipid metabolism. In this study, we used a high-resolution HILIC-LC-MS lipidomic approach to establish the serum phospholipidome profile of patients with liver cancer before (T0) and after tumor resection (T1) and a control group (CT) of healthy individuals. After the analysis of PL profiles, we observed that the phospholipidome of patients with liver cancer was significantly modified after the tumor resection procedure. We observed an upregulation of some phosphatidylcholine (PtdCho) species, namely, PtdCho(36:6), PtdCho(42:6), PtdCho(38:5), PtdCho(36:5), PtdCho(38:6) and choline plasmalogens (PlsCho), and/or 1-O-alkyl-2-acyl-glycerophosphocholine (PakCho) in patients with liver cancer at T0 compared to the CT group, and a downregulation after tumor resection (T1) when compared to T0. These results show that LC-MS can detect different serum PL profiles in patients with liver cancer, before and after tumor resection, by defining a specific PL fingerprint that was used to determine the effect of tumor and tumor resection on lipid metabolism.","container-title":"Lipids","DOI":"10.1002/lipd.12221","ISSN":"1558-9307","issue":"2","journalAbbreviation":"Lipids","language":"en","page":"185-191","PMID":"32045496","source":"PubMed","title":"Tumor resection induces alterations on serum phospholipidome of liver cancer patients","volume":"55","author":[{"family":"Martín-Sierra","given":"Carmen"},{"family":"Colombo","given":"Simone"},{"family":"Martins","given":"Ricardo"},{"family":"Laranjeira","given":"Paula"},{"family":"Melo","given":"Tânia"},{"family":"Abrantes","given":"Ana Margarida"},{"family":"Oliveira","given":"Rui Caetano"},{"family":"Tralhão","given":"José Guilherme"},{"family":"Botelho","given":"Maria Filomena"},{"family":"Furtado","given":"Emanuel"},{"family":"Domingues","given":"Pedro"},{"family":"Domingues","given":"M. Rosario"},{"family":"Paiva","given":"Artur"}],"issued":{"date-parts":[["2020",3]]}}}],"schema":"https://github.com/citation-style-language/schema/raw/master/csl-citation.json"}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[28]</w:t>
            </w:r>
            <w:r>
              <w:rPr>
                <w:rFonts w:ascii="Times New Roman" w:eastAsia="SimSun" w:hAnsi="Times New Roman" w:cs="Times New Roman"/>
                <w:color w:val="000000"/>
                <w:kern w:val="0"/>
                <w:sz w:val="15"/>
                <w:szCs w:val="15"/>
                <w14:ligatures w14:val="none"/>
              </w:rPr>
              <w:fldChar w:fldCharType="end"/>
            </w:r>
          </w:p>
        </w:tc>
      </w:tr>
      <w:tr w:rsidR="00427052" w:rsidRPr="00186A4D" w14:paraId="3F70F4A6" w14:textId="77777777" w:rsidTr="00281326">
        <w:trPr>
          <w:trHeight w:val="149"/>
        </w:trPr>
        <w:tc>
          <w:tcPr>
            <w:tcW w:w="3754" w:type="dxa"/>
            <w:vAlign w:val="center"/>
            <w:hideMark/>
          </w:tcPr>
          <w:p w14:paraId="5375088C"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Increased phosphatidylcholine in bile-derived small extracellular vesicles</w:t>
            </w:r>
          </w:p>
        </w:tc>
        <w:tc>
          <w:tcPr>
            <w:tcW w:w="3402" w:type="dxa"/>
            <w:vAlign w:val="center"/>
            <w:hideMark/>
          </w:tcPr>
          <w:p w14:paraId="4BD5C6D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Potential biomarker for distinguishing malignant from benign biliary disease</w:t>
            </w:r>
          </w:p>
        </w:tc>
        <w:tc>
          <w:tcPr>
            <w:tcW w:w="2591" w:type="dxa"/>
            <w:vAlign w:val="center"/>
            <w:hideMark/>
          </w:tcPr>
          <w:p w14:paraId="6338FF3D"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Pilot bile </w:t>
            </w:r>
            <w:proofErr w:type="spellStart"/>
            <w:r w:rsidRPr="00186A4D">
              <w:rPr>
                <w:rFonts w:ascii="Times New Roman" w:eastAsia="SimSun" w:hAnsi="Times New Roman" w:cs="Times New Roman"/>
                <w:color w:val="000000"/>
                <w:kern w:val="0"/>
                <w:sz w:val="15"/>
                <w:szCs w:val="15"/>
                <w14:ligatures w14:val="none"/>
              </w:rPr>
              <w:t>sEV</w:t>
            </w:r>
            <w:proofErr w:type="spellEnd"/>
            <w:r w:rsidRPr="00186A4D">
              <w:rPr>
                <w:rFonts w:ascii="Times New Roman" w:eastAsia="SimSun" w:hAnsi="Times New Roman" w:cs="Times New Roman"/>
                <w:color w:val="000000"/>
                <w:kern w:val="0"/>
                <w:sz w:val="15"/>
                <w:szCs w:val="15"/>
                <w14:ligatures w14:val="none"/>
              </w:rPr>
              <w:t xml:space="preserve"> study with assay-kit feasibility</w:t>
            </w:r>
          </w:p>
        </w:tc>
        <w:tc>
          <w:tcPr>
            <w:tcW w:w="851" w:type="dxa"/>
            <w:vAlign w:val="center"/>
            <w:hideMark/>
          </w:tcPr>
          <w:p w14:paraId="1CA4B3A9" w14:textId="5D58BB0B"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w:t>
            </w:r>
          </w:p>
        </w:tc>
        <w:tc>
          <w:tcPr>
            <w:tcW w:w="810" w:type="dxa"/>
            <w:vAlign w:val="center"/>
            <w:hideMark/>
          </w:tcPr>
          <w:p w14:paraId="758D0E77" w14:textId="586A4222"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{"citationID":"gu6yf1TK","properties":{"unsorted":false,"formattedCitation":"[29]","plainCitation":"[29]","noteIndex":0},"citationItems":[{"id":3124,"uris":["http://zotero.org/users/18222353/items/J76FTTP5"],"itemData":{"id":3124,"type":"article-journal","abstract":"Background: Owing to the lack of definite diagnostic modalities, it is challenging to distinguish malignant cases of cholangiocarcinoma (CCA), which often causes biliary tract obstruction, from benign ones. Here, we investigated a novel lipid biomarker of CCA in bile-derived small extracellular vesicles (sEVs) and developed a simple detection method for clinical application.","container-title":"Cancer Medicine","DOI":"10.1002/cam4.5973","ISSN":"2045-7634, 2045-7</w:instrText>
            </w:r>
            <w:r>
              <w:rPr>
                <w:rFonts w:ascii="Times New Roman" w:eastAsia="SimSun" w:hAnsi="Times New Roman" w:cs="Times New Roman" w:hint="eastAsia"/>
                <w:color w:val="000000"/>
                <w:kern w:val="0"/>
                <w:sz w:val="15"/>
                <w:szCs w:val="15"/>
                <w14:ligatures w14:val="none"/>
              </w:rPr>
              <w:instrText xml:space="preserve">634","issue":"12","journalAbbreviation":"Cancer Med.","language":"en","note":"titleTranslation: </w:instrText>
            </w:r>
            <w:r>
              <w:rPr>
                <w:rFonts w:ascii="Times New Roman" w:eastAsia="SimSun" w:hAnsi="Times New Roman" w:cs="Times New Roman" w:hint="eastAsia"/>
                <w:color w:val="000000"/>
                <w:kern w:val="0"/>
                <w:sz w:val="15"/>
                <w:szCs w:val="15"/>
                <w14:ligatures w14:val="none"/>
              </w:rPr>
              <w:instrText>胆汁来源的小细胞外囊泡中的磷脂酰胆碱作为胆管癌的新型生物标志物</w:instrText>
            </w:r>
            <w:r>
              <w:rPr>
                <w:rFonts w:ascii="Times New Roman" w:eastAsia="SimSun" w:hAnsi="Times New Roman" w:cs="Times New Roman" w:hint="eastAsia"/>
                <w:color w:val="000000"/>
                <w:kern w:val="0"/>
                <w:sz w:val="15"/>
                <w:szCs w:val="15"/>
                <w14:ligatures w14:val="none"/>
              </w:rPr>
              <w:instrText>","page":"13007-13018","source":"DOI.org (Crossref)","title":"Phosphatidylcholine in bile</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derived small extracellular vesicles a</w:instrText>
            </w:r>
            <w:r>
              <w:rPr>
                <w:rFonts w:ascii="Times New Roman" w:eastAsia="SimSun" w:hAnsi="Times New Roman" w:cs="Times New Roman"/>
                <w:color w:val="000000"/>
                <w:kern w:val="0"/>
                <w:sz w:val="15"/>
                <w:szCs w:val="15"/>
                <w14:ligatures w14:val="none"/>
              </w:rPr>
              <w:instrText xml:space="preserve">s a novel biomarker of cholangiocarcinoma","volume":"12","author":[{"family":"Muraki","given":"Ryuta"},{"family":"Morita","given":"Yoshifumi"},{"family":"Ida","given":"Shinya"},{"family":"Kitajima","given":"Ryo"},{"family":"Furuhashi","given":"Satoru"},{"family":"Takeda","given":"Makoto"},{"family":"Kikuchi","given":"Hirotoshi"},{"family":"Hiramatsu","given":"Yoshihiro"},{"family":"Takanashi","given":"Yusuke"},{"family":"Hamaya","given":"Yasushi"},{"family":"Sugimoto","given":"Ken"},{"family":"Ito","given":"Jun"},{"family":"Kawata","given":"Kazuhito"},{"family":"Kawasaki","given":"Hideya"},{"family":"Sato","given":"Tomohito"},{"family":"Kahyo","given":"Tomoaki"},{"family":"Setou","given":"Mitsutoshi"},{"family":"Takeuchi","given":"Hiroya"}],"issued":{"date-parts":[["2023",6]]}}}],"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[29]</w:t>
            </w:r>
            <w:r>
              <w:rPr>
                <w:rFonts w:ascii="Times New Roman" w:eastAsia="SimSun" w:hAnsi="Times New Roman" w:cs="Times New Roman"/>
                <w:color w:val="000000"/>
                <w:kern w:val="0"/>
                <w:sz w:val="15"/>
                <w:szCs w:val="15"/>
                <w14:ligatures w14:val="none"/>
              </w:rPr>
              <w:fldChar w:fldCharType="end"/>
            </w:r>
          </w:p>
        </w:tc>
      </w:tr>
      <w:tr w:rsidR="00427052" w:rsidRPr="00186A4D" w14:paraId="55DAD708" w14:textId="77777777" w:rsidTr="00281326">
        <w:trPr>
          <w:trHeight w:val="56"/>
        </w:trPr>
        <w:tc>
          <w:tcPr>
            <w:tcW w:w="3754" w:type="dxa"/>
            <w:vAlign w:val="center"/>
            <w:hideMark/>
          </w:tcPr>
          <w:p w14:paraId="51F9FA51"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lastRenderedPageBreak/>
              <w:t>LPC-enriched bile lipid classifier, including Cer, LPC, and TG species</w:t>
            </w:r>
          </w:p>
        </w:tc>
        <w:tc>
          <w:tcPr>
            <w:tcW w:w="3402" w:type="dxa"/>
            <w:vAlign w:val="center"/>
            <w:hideMark/>
          </w:tcPr>
          <w:p w14:paraId="7E04E9A3"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Distinguishes CCA from benign bile duct diseases with high diagnostic performance</w:t>
            </w:r>
          </w:p>
        </w:tc>
        <w:tc>
          <w:tcPr>
            <w:tcW w:w="2591" w:type="dxa"/>
            <w:vAlign w:val="center"/>
            <w:hideMark/>
          </w:tcPr>
          <w:p w14:paraId="1D8407DB"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Prospective bile </w:t>
            </w:r>
            <w:proofErr w:type="spellStart"/>
            <w:r w:rsidRPr="00186A4D">
              <w:rPr>
                <w:rFonts w:ascii="Times New Roman" w:eastAsia="SimSun" w:hAnsi="Times New Roman" w:cs="Times New Roman"/>
                <w:color w:val="000000"/>
                <w:kern w:val="0"/>
                <w:sz w:val="15"/>
                <w:szCs w:val="15"/>
                <w14:ligatures w14:val="none"/>
              </w:rPr>
              <w:t>lipidomics</w:t>
            </w:r>
            <w:proofErr w:type="spellEnd"/>
            <w:r w:rsidRPr="00186A4D">
              <w:rPr>
                <w:rFonts w:ascii="Times New Roman" w:eastAsia="SimSun" w:hAnsi="Times New Roman" w:cs="Times New Roman"/>
                <w:color w:val="000000"/>
                <w:kern w:val="0"/>
                <w:sz w:val="15"/>
                <w:szCs w:val="15"/>
                <w14:ligatures w14:val="none"/>
              </w:rPr>
              <w:t xml:space="preserve"> study with training, validation, and testing cohorts</w:t>
            </w:r>
          </w:p>
        </w:tc>
        <w:tc>
          <w:tcPr>
            <w:tcW w:w="851" w:type="dxa"/>
            <w:vAlign w:val="center"/>
            <w:hideMark/>
          </w:tcPr>
          <w:p w14:paraId="6D2E16ED" w14:textId="300C8983"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A–B</w:t>
            </w:r>
          </w:p>
        </w:tc>
        <w:tc>
          <w:tcPr>
            <w:tcW w:w="810" w:type="dxa"/>
            <w:vAlign w:val="center"/>
            <w:hideMark/>
          </w:tcPr>
          <w:p w14:paraId="1C326F0C" w14:textId="24963340"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{"citationID":"jzCjWnzy","properties":{"unsorted":false,"formattedCitation":"[30]","plainCitation":"[30]","noteIndex":0},"citationItems":[{"id":34,"uris":["http://zotero.org/users/18222353/items/J2QFXMHS"],"itemData":{"id":34,"type":"article-journal","abstract":"BACKGROUND: Cholangiocarcinoma (CCA) is a rare and highly aggressive malignancy originating in the bile ducts. Owing to limitations involving pathological sampling, the clinical differentiation of CCA from benign biliary diseases remains challenging. This study aimed to evaluate the differences between the bile lipidomes of CCA patients and those of patients with benign disease to develop a bile lipid classiﬁer that can help to differentiate CCA from benign conditions.\nMETHODS: Bile samples were collected by endoscopic retrograde cholangiography (ERCP) from patients with CCA or benign disease. The participants were divided into three cohorts: the ﬁrst two cohorts underwent untargeted lipidomic analysis, whereas the third cohort was subjected to targeted lipid quantiﬁcation. Untargeted lipidomic analysis was performed via ultrahighperformance liquid chromatography coupled with ion mobility quadrupole time-of-ﬂight mass spectrometry (UHPLC/IM-QTOF-MS). Targeted lipid quantiﬁcation was conducted via UHPLC‒MS/MS in multiple reaction monitoring (MRM) mode. Lipid features were screened to construct a bile lipid classiﬁer using the machine learning algorithm, least absolute shrinkage and selection operator (LASSO) regression, followed by cross-validation in two cohorts. The selected lipid features were further validated by targeted quantiﬁcation in the third cohort. The functions of the signiﬁcantly differentially abundant lipids in proliferation were validated in CCA cell lines.\nRESULTS: In total, 241 bile samples were collected and divided into three cohorts for independent lipidomic analysis: Cohort 1 included 32 CCA samples and 68 benign controls; Cohort 2 included 30 CCA samples and 30 benign controls; and Cohort 3 included 32 CCA samples and 49 benign controls. There were signiﬁcant differences in the lipid proﬁles of the bile samples obtained from patients with CCA and individuals with benign disease, with multiple lipid classes, particularly lysophosphatidylcholine (LPC), signiﬁcantly downregulated in the CCA group. Multimodule correlation networks constructed via weighted lipid coexpression network analysis (WLCNA) revealed signiﬁcant associations between lipid modules and clinical traits. A machine learning-based bile lipid classiﬁer, termed BileLipid, was developed for CCA diagnosis; this classiﬁer incorporates six lipid features. This classiﬁer achieved areas under the receiver operating characteristic curve (AUCs) of 0.943, 0.956, and 0.828 in Cohorts 1, 2, and 3, respectively. Additionally, the signiﬁcantly downregulated lipid LPC in CCA bile was found to signiﬁcantly inhibit the proliferation of CCA cell lines, suggesting its potential role as a protective factor in CCA.\nCONCLUSIONS: This study not only identiﬁed lipidomic alterations in CCA using bile samples but also established and validated a sex-related bile lipid classiﬁer with high speciﬁcity and sensitivity for distinguishing between CCA and benign bile duct diseases. Our ﬁndings highlight the potential of bile lipid biomarkers for improving the differential diagnosis and risk assessment of CCA and preventing potential overintervention in patients with benign biliary disease.","container-title":"British Journal of Cancer","language":"en","note":"t</w:instrText>
            </w:r>
            <w:r>
              <w:rPr>
                <w:rFonts w:ascii="Times New Roman" w:eastAsia="SimSun" w:hAnsi="Times New Roman" w:cs="Times New Roman" w:hint="eastAsia"/>
                <w:color w:val="000000"/>
                <w:kern w:val="0"/>
                <w:sz w:val="15"/>
                <w:szCs w:val="15"/>
                <w14:ligatures w14:val="none"/>
              </w:rPr>
              <w:instrText xml:space="preserve">itleTranslation: </w:instrText>
            </w:r>
            <w:r>
              <w:rPr>
                <w:rFonts w:ascii="Times New Roman" w:eastAsia="SimSun" w:hAnsi="Times New Roman" w:cs="Times New Roman" w:hint="eastAsia"/>
                <w:color w:val="000000"/>
                <w:kern w:val="0"/>
                <w:sz w:val="15"/>
                <w:szCs w:val="15"/>
                <w14:ligatures w14:val="none"/>
              </w:rPr>
              <w:instrText>人胆汁脂质谱区分胆管癌和良性胆管疾病具有高特异性和敏感性：一项前瞻性描述性研究</w:instrText>
            </w:r>
            <w:r>
              <w:rPr>
                <w:rFonts w:ascii="Times New Roman" w:eastAsia="SimSun" w:hAnsi="Times New Roman" w:cs="Times New Roman" w:hint="eastAsia"/>
                <w:color w:val="000000"/>
                <w:kern w:val="0"/>
                <w:sz w:val="15"/>
                <w:szCs w:val="15"/>
                <w14:ligatures w14:val="none"/>
              </w:rPr>
              <w:instrText>","source":"Zotero","title":"Lipidomic profiling of human bile distinguishes cholangiocarcinoma from benign bile duct diseases with high specificity and sensitivity: a prospective descriptive study",</w:instrText>
            </w:r>
            <w:r>
              <w:rPr>
                <w:rFonts w:ascii="Times New Roman" w:eastAsia="SimSun" w:hAnsi="Times New Roman" w:cs="Times New Roman"/>
                <w:color w:val="000000"/>
                <w:kern w:val="0"/>
                <w:sz w:val="15"/>
                <w:szCs w:val="15"/>
                <w14:ligatures w14:val="none"/>
              </w:rPr>
              <w:instrText xml:space="preserve">"author":[{"family":"Liu","given":"Fu-Sheng"}]}}],"schema":"https://github.com/citation-style-language/schema/raw/master/csl-citation.json"}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[30]</w:t>
            </w:r>
            <w:r>
              <w:rPr>
                <w:rFonts w:ascii="Times New Roman" w:eastAsia="SimSun" w:hAnsi="Times New Roman" w:cs="Times New Roman"/>
                <w:color w:val="000000"/>
                <w:kern w:val="0"/>
                <w:sz w:val="15"/>
                <w:szCs w:val="15"/>
                <w14:ligatures w14:val="none"/>
              </w:rPr>
              <w:fldChar w:fldCharType="end"/>
            </w:r>
          </w:p>
        </w:tc>
      </w:tr>
      <w:tr w:rsidR="00427052" w:rsidRPr="00186A4D" w14:paraId="76A7C08B" w14:textId="77777777" w:rsidTr="00281326">
        <w:trPr>
          <w:trHeight w:val="56"/>
        </w:trPr>
        <w:tc>
          <w:tcPr>
            <w:tcW w:w="3754" w:type="dxa"/>
            <w:vAlign w:val="center"/>
            <w:hideMark/>
          </w:tcPr>
          <w:p w14:paraId="675D3EC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Altered serum </w:t>
            </w:r>
            <w:proofErr w:type="spellStart"/>
            <w:r w:rsidRPr="00186A4D">
              <w:rPr>
                <w:rFonts w:ascii="Times New Roman" w:eastAsia="SimSun" w:hAnsi="Times New Roman" w:cs="Times New Roman"/>
                <w:color w:val="000000"/>
                <w:kern w:val="0"/>
                <w:sz w:val="15"/>
                <w:szCs w:val="15"/>
                <w14:ligatures w14:val="none"/>
              </w:rPr>
              <w:t>exosomal</w:t>
            </w:r>
            <w:proofErr w:type="spellEnd"/>
            <w:r w:rsidRPr="00186A4D">
              <w:rPr>
                <w:rFonts w:ascii="Times New Roman" w:eastAsia="SimSun" w:hAnsi="Times New Roman" w:cs="Times New Roman"/>
                <w:color w:val="000000"/>
                <w:kern w:val="0"/>
                <w:sz w:val="15"/>
                <w:szCs w:val="15"/>
                <w14:ligatures w14:val="none"/>
              </w:rPr>
              <w:t xml:space="preserve"> LPC, PC, PE, PI, and PI38:4</w:t>
            </w:r>
          </w:p>
        </w:tc>
        <w:tc>
          <w:tcPr>
            <w:tcW w:w="3402" w:type="dxa"/>
            <w:vAlign w:val="center"/>
            <w:hideMark/>
          </w:tcPr>
          <w:p w14:paraId="7F3E1522"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Candidate noninvasive </w:t>
            </w:r>
            <w:proofErr w:type="spellStart"/>
            <w:r w:rsidRPr="00186A4D">
              <w:rPr>
                <w:rFonts w:ascii="Times New Roman" w:eastAsia="SimSun" w:hAnsi="Times New Roman" w:cs="Times New Roman"/>
                <w:color w:val="000000"/>
                <w:kern w:val="0"/>
                <w:sz w:val="15"/>
                <w:szCs w:val="15"/>
                <w14:ligatures w14:val="none"/>
              </w:rPr>
              <w:t>exosomal</w:t>
            </w:r>
            <w:proofErr w:type="spellEnd"/>
            <w:r w:rsidRPr="00186A4D">
              <w:rPr>
                <w:rFonts w:ascii="Times New Roman" w:eastAsia="SimSun" w:hAnsi="Times New Roman" w:cs="Times New Roman"/>
                <w:color w:val="000000"/>
                <w:kern w:val="0"/>
                <w:sz w:val="15"/>
                <w:szCs w:val="15"/>
                <w14:ligatures w14:val="none"/>
              </w:rPr>
              <w:t xml:space="preserve"> lipid signature for extrahepatic CCA</w:t>
            </w:r>
          </w:p>
        </w:tc>
        <w:tc>
          <w:tcPr>
            <w:tcW w:w="2591" w:type="dxa"/>
            <w:vAlign w:val="center"/>
            <w:hideMark/>
          </w:tcPr>
          <w:p w14:paraId="0BBDA613"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Small serum exosome </w:t>
            </w:r>
            <w:proofErr w:type="spellStart"/>
            <w:r w:rsidRPr="00186A4D">
              <w:rPr>
                <w:rFonts w:ascii="Times New Roman" w:eastAsia="SimSun" w:hAnsi="Times New Roman" w:cs="Times New Roman"/>
                <w:color w:val="000000"/>
                <w:kern w:val="0"/>
                <w:sz w:val="15"/>
                <w:szCs w:val="15"/>
                <w14:ligatures w14:val="none"/>
              </w:rPr>
              <w:t>lipidomics</w:t>
            </w:r>
            <w:proofErr w:type="spellEnd"/>
            <w:r w:rsidRPr="00186A4D">
              <w:rPr>
                <w:rFonts w:ascii="Times New Roman" w:eastAsia="SimSun" w:hAnsi="Times New Roman" w:cs="Times New Roman"/>
                <w:color w:val="000000"/>
                <w:kern w:val="0"/>
                <w:sz w:val="15"/>
                <w:szCs w:val="15"/>
                <w14:ligatures w14:val="none"/>
              </w:rPr>
              <w:t xml:space="preserve"> study</w:t>
            </w:r>
          </w:p>
        </w:tc>
        <w:tc>
          <w:tcPr>
            <w:tcW w:w="851" w:type="dxa"/>
            <w:vAlign w:val="center"/>
            <w:hideMark/>
          </w:tcPr>
          <w:p w14:paraId="0598EFF6" w14:textId="6C042B5F"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w:t>
            </w:r>
          </w:p>
        </w:tc>
        <w:tc>
          <w:tcPr>
            <w:tcW w:w="810" w:type="dxa"/>
            <w:vAlign w:val="center"/>
            <w:hideMark/>
          </w:tcPr>
          <w:p w14:paraId="573A67AA" w14:textId="5D1DFBD6"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{"citationID":"pruT8s44","properties":{"unsorted":false,"formattedCitation":"[31]","plainCitation":"[31]","noteIndex":0},"citationItems":[{"id":303,"uris":["http://zotero.org/users/18222353/items/LM8EKHIP"],"itemData":{"id":303,"type":"article-journal","abstract":"Exosomes are submicron-sized extracellular vesicles involved in immune regulation, tumor metastasis, and cellular communication. Their lipid  composition, distinct from parental cells, plays a crucial role in diseases like  cancer. However, lipidomic analysis of exosomes, particularly in complex samples  like blood, requires advanced techniques. This study optimizes miniaturized flow  field-flow fractionation (mFlFFF) coupled with electrospray ionization mass  spectrometry (ESI-MS) for direct lipidomic analysis of exosomes in serum. The  mFlFFF technique resolves exosomes for size-based lipid analysis without prior  extraction. Lipidomic profiling of serum exosomes from patients with extrahepatic  cholangiocarcinoma (eCCA) identified over 1000 lipid species, with 64 showing  significant changes compared to healthy controls. Target lipids were analyzed by  mFlFFF-ESI-MS, revealing 35 species that distinguish eCCA patients from controls,  suggesting their potential as biomarkers. Elevated levels of  lysophosphatidylcholine, phosphatidylcholine, phosphatidylethanolamine, and  phosphatidylinositol (PI) were observed in the eCCA group, indicating lipid  alterations linked to cancer progression and inflammation. Notably, PI 38:4,  involved in the release of arachidonic acid, highlights its role in inflammatory  processes associated with cancer. This study demonstrates the potential of  mFlFFF-ESI-MS for lipidomic analysis of exosomes and offers a non-invasive  approach for cancer diagnosis, with future implications for therapeutic targeting  of lipid pathways in cholangiocarcinoma.","container-title":"Journal of chromatography. A","DOI":"10.1016/j.chroma.2025.465778","ISSN":"1873-3778 0021-9673","journalAbbreviation":"J Chromatogr A","language":"en-US","license":"Copyright © 2025 Elsevier B.V. All rights reserved.","note":"publisher-place: Netherlands\nTLDR: Miniaturized flow field-flow fractionation coupled with electrospray ionization mass spectrometry (ESI-MS) is opt</w:instrText>
            </w:r>
            <w:r>
              <w:rPr>
                <w:rFonts w:ascii="Times New Roman" w:eastAsia="SimSun" w:hAnsi="Times New Roman" w:cs="Times New Roman" w:hint="eastAsia"/>
                <w:color w:val="000000"/>
                <w:kern w:val="0"/>
                <w:sz w:val="15"/>
                <w:szCs w:val="15"/>
                <w14:ligatures w14:val="none"/>
              </w:rPr>
              <w:instrText xml:space="preserve">imizes for lipidomic analysis of exosomes and offers a non-invasive approach for cancer diagnosis, with future implications for therapeutic targeting of lipid pathways in cholangiocarcinoma.\ntitleTranslation: </w:instrText>
            </w:r>
            <w:r>
              <w:rPr>
                <w:rFonts w:ascii="Times New Roman" w:eastAsia="SimSun" w:hAnsi="Times New Roman" w:cs="Times New Roman" w:hint="eastAsia"/>
                <w:color w:val="000000"/>
                <w:kern w:val="0"/>
                <w:sz w:val="15"/>
                <w:szCs w:val="15"/>
                <w14:ligatures w14:val="none"/>
              </w:rPr>
              <w:instrText>通过在线小型化不对称流场</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流分馏和电喷雾电离</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质谱法对血清中外泌体的直接脂质分析：在肝外胆管癌中的应用。</w:instrText>
            </w:r>
            <w:r>
              <w:rPr>
                <w:rFonts w:ascii="Times New Roman" w:eastAsia="SimSun" w:hAnsi="Times New Roman" w:cs="Times New Roman" w:hint="eastAsia"/>
                <w:color w:val="000000"/>
                <w:kern w:val="0"/>
                <w:sz w:val="15"/>
                <w:szCs w:val="15"/>
                <w14:ligatures w14:val="none"/>
              </w:rPr>
              <w:instrText>","page":"465778","PMID":"39970688","title":"Direct lipid analysis of exosomes in serum by online miniaturized asymmetrical flow field-flow fractionation and electrospray ionization-mass spectrometry:  Application to extrahepatic cholangiocarcinoma</w:instrText>
            </w:r>
            <w:r>
              <w:rPr>
                <w:rFonts w:ascii="Times New Roman" w:eastAsia="SimSun" w:hAnsi="Times New Roman" w:cs="Times New Roman"/>
                <w:color w:val="000000"/>
                <w:kern w:val="0"/>
                <w:sz w:val="15"/>
                <w:szCs w:val="15"/>
                <w14:ligatures w14:val="none"/>
              </w:rPr>
              <w:instrText xml:space="preserve">.","volume":"1746","author":[{"family":"Yu","given":"Hye Ju"},{"family":"Moon","given":"Myeong Hee"}],"issued":{"date-parts":[["2025",4,12]]}}}],"schema":"https://github.com/citation-style-language/schema/raw/master/csl-citation.json"}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[31]</w:t>
            </w:r>
            <w:r>
              <w:rPr>
                <w:rFonts w:ascii="Times New Roman" w:eastAsia="SimSun" w:hAnsi="Times New Roman" w:cs="Times New Roman"/>
                <w:color w:val="000000"/>
                <w:kern w:val="0"/>
                <w:sz w:val="15"/>
                <w:szCs w:val="15"/>
                <w14:ligatures w14:val="none"/>
              </w:rPr>
              <w:fldChar w:fldCharType="end"/>
            </w:r>
          </w:p>
        </w:tc>
      </w:tr>
      <w:tr w:rsidR="00427052" w:rsidRPr="00186A4D" w14:paraId="469B96F5" w14:textId="77777777" w:rsidTr="00281326">
        <w:trPr>
          <w:trHeight w:val="56"/>
        </w:trPr>
        <w:tc>
          <w:tcPr>
            <w:tcW w:w="3754" w:type="dxa"/>
            <w:vAlign w:val="center"/>
            <w:hideMark/>
          </w:tcPr>
          <w:p w14:paraId="3B8DE92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Increased </w:t>
            </w:r>
            <w:proofErr w:type="spellStart"/>
            <w:r w:rsidRPr="00186A4D">
              <w:rPr>
                <w:rFonts w:ascii="Times New Roman" w:eastAsia="SimSun" w:hAnsi="Times New Roman" w:cs="Times New Roman"/>
                <w:color w:val="000000"/>
                <w:kern w:val="0"/>
                <w:sz w:val="15"/>
                <w:szCs w:val="15"/>
                <w14:ligatures w14:val="none"/>
              </w:rPr>
              <w:t>HexCer</w:t>
            </w:r>
            <w:proofErr w:type="spellEnd"/>
            <w:r w:rsidRPr="00186A4D">
              <w:rPr>
                <w:rFonts w:ascii="Times New Roman" w:eastAsia="SimSun" w:hAnsi="Times New Roman" w:cs="Times New Roman"/>
                <w:color w:val="000000"/>
                <w:kern w:val="0"/>
                <w:sz w:val="15"/>
                <w:szCs w:val="15"/>
                <w14:ligatures w14:val="none"/>
              </w:rPr>
              <w:t xml:space="preserve"> and </w:t>
            </w:r>
            <w:proofErr w:type="spellStart"/>
            <w:r w:rsidRPr="00186A4D">
              <w:rPr>
                <w:rFonts w:ascii="Times New Roman" w:eastAsia="SimSun" w:hAnsi="Times New Roman" w:cs="Times New Roman"/>
                <w:color w:val="000000"/>
                <w:kern w:val="0"/>
                <w:sz w:val="15"/>
                <w:szCs w:val="15"/>
                <w14:ligatures w14:val="none"/>
              </w:rPr>
              <w:t>LacCer</w:t>
            </w:r>
            <w:proofErr w:type="spellEnd"/>
            <w:r w:rsidRPr="00186A4D">
              <w:rPr>
                <w:rFonts w:ascii="Times New Roman" w:eastAsia="SimSun" w:hAnsi="Times New Roman" w:cs="Times New Roman"/>
                <w:color w:val="000000"/>
                <w:kern w:val="0"/>
                <w:sz w:val="15"/>
                <w:szCs w:val="15"/>
                <w14:ligatures w14:val="none"/>
              </w:rPr>
              <w:t xml:space="preserve"> containing 2-hydroxylated fatty acids</w:t>
            </w:r>
          </w:p>
        </w:tc>
        <w:tc>
          <w:tcPr>
            <w:tcW w:w="3402" w:type="dxa"/>
            <w:vAlign w:val="center"/>
            <w:hideMark/>
          </w:tcPr>
          <w:p w14:paraId="4E36A1DC"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proofErr w:type="spellStart"/>
            <w:r w:rsidRPr="00186A4D">
              <w:rPr>
                <w:rFonts w:ascii="Times New Roman" w:eastAsia="SimSun" w:hAnsi="Times New Roman" w:cs="Times New Roman"/>
                <w:color w:val="000000"/>
                <w:kern w:val="0"/>
                <w:sz w:val="15"/>
                <w:szCs w:val="15"/>
                <w14:ligatures w14:val="none"/>
              </w:rPr>
              <w:t>LacCer</w:t>
            </w:r>
            <w:proofErr w:type="spellEnd"/>
            <w:r w:rsidRPr="00186A4D">
              <w:rPr>
                <w:rFonts w:ascii="Times New Roman" w:eastAsia="SimSun" w:hAnsi="Times New Roman" w:cs="Times New Roman"/>
                <w:color w:val="000000"/>
                <w:kern w:val="0"/>
                <w:sz w:val="15"/>
                <w:szCs w:val="15"/>
                <w14:ligatures w14:val="none"/>
              </w:rPr>
              <w:t xml:space="preserve"> alteration associated with shorter survival</w:t>
            </w:r>
          </w:p>
        </w:tc>
        <w:tc>
          <w:tcPr>
            <w:tcW w:w="2591" w:type="dxa"/>
            <w:vAlign w:val="center"/>
            <w:hideMark/>
          </w:tcPr>
          <w:p w14:paraId="20EC5834"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Small tissue-based CCA cohort</w:t>
            </w:r>
          </w:p>
        </w:tc>
        <w:tc>
          <w:tcPr>
            <w:tcW w:w="851" w:type="dxa"/>
            <w:vAlign w:val="center"/>
            <w:hideMark/>
          </w:tcPr>
          <w:p w14:paraId="26009038" w14:textId="7700D1F8"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w:t>
            </w:r>
          </w:p>
        </w:tc>
        <w:tc>
          <w:tcPr>
            <w:tcW w:w="810" w:type="dxa"/>
            <w:vAlign w:val="center"/>
            <w:hideMark/>
          </w:tcPr>
          <w:p w14:paraId="7EA97933" w14:textId="4718F5E3"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{"citationID":"FFJ5QZO9","properties":{"unsorted":false,"formattedCitation":"[32]","plainCitation":"[32]","noteIndex":0},"citationItems":[{"id":165,"uris":["http://zotero.org/users/18222353/items/62ECU56K"],"itemData":{"id":165,"type":"article-journal","abstract":"Alteration of glycosphingolipid (GSL) synthesis is observed in many types of cancer. In this study, we have analyzed the expression of sphingolipids and GSLs  in cholangiocarcinoma (CCA) tissues and adjacent normal liver tissues. Neutral  lipids were extracted from tissue samples using mild-alkaline treatment method  followed by TLC and LC-MS analysis. The expression of ceramides, hexosylceramides  (HexCer), and lactosylceramides (LacCer) was altered in CCA tissues, 61.1%  (11/18) of them showing an increase whereas 38.9% (7/18) showing a decrease,  compared with the adjacent normal tissue. Cers and GSLs containing 2-hydroxylated  fatty acids except one LacCer molecular species were overexpressed in CCA  tissues, and the increase of LacCer (d18:1-h23:0) was correlated with shorter  survival of CCA patients, suggesting the involvement of GSL synthesis and fatty  acid hydroxylation in progression of CCA. Taken together, we have demonstrated in  this study the increase of GSL synthesis and fatty hydroxylation in CCA, which  probably be used as a target for CCA treatment.","container-title":"Glycoconjugate journal","DOI":"10.1007/s10719-019-09864-4","ISSN":"1573-4986 0282-0080","issue":"2","journalAbbreviation":"Glyco</w:instrText>
            </w:r>
            <w:r>
              <w:rPr>
                <w:rFonts w:ascii="Times New Roman" w:eastAsia="SimSun" w:hAnsi="Times New Roman" w:cs="Times New Roman" w:hint="eastAsia"/>
                <w:color w:val="000000"/>
                <w:kern w:val="0"/>
                <w:sz w:val="15"/>
                <w:szCs w:val="15"/>
                <w14:ligatures w14:val="none"/>
              </w:rPr>
              <w:instrText xml:space="preserve">conj J","language":"en-US","note":"publisher-place: United States\ntitleTranslation: </w:instrText>
            </w:r>
            <w:r>
              <w:rPr>
                <w:rFonts w:ascii="Times New Roman" w:eastAsia="SimSun" w:hAnsi="Times New Roman" w:cs="Times New Roman" w:hint="eastAsia"/>
                <w:color w:val="000000"/>
                <w:kern w:val="0"/>
                <w:sz w:val="15"/>
                <w:szCs w:val="15"/>
                <w14:ligatures w14:val="none"/>
              </w:rPr>
              <w:instrText>胆管癌中</w:instrText>
            </w:r>
            <w:r>
              <w:rPr>
                <w:rFonts w:ascii="Times New Roman" w:eastAsia="SimSun" w:hAnsi="Times New Roman" w:cs="Times New Roman" w:hint="eastAsia"/>
                <w:color w:val="000000"/>
                <w:kern w:val="0"/>
                <w:sz w:val="15"/>
                <w:szCs w:val="15"/>
                <w14:ligatures w14:val="none"/>
              </w:rPr>
              <w:instrText>HexCer</w:instrText>
            </w:r>
            <w:r>
              <w:rPr>
                <w:rFonts w:ascii="Times New Roman" w:eastAsia="SimSun" w:hAnsi="Times New Roman" w:cs="Times New Roman" w:hint="eastAsia"/>
                <w:color w:val="000000"/>
                <w:kern w:val="0"/>
                <w:sz w:val="15"/>
                <w:szCs w:val="15"/>
                <w14:ligatures w14:val="none"/>
              </w:rPr>
              <w:instrText>和含有</w:instrText>
            </w:r>
            <w:r>
              <w:rPr>
                <w:rFonts w:ascii="Times New Roman" w:eastAsia="SimSun" w:hAnsi="Times New Roman" w:cs="Times New Roman" w:hint="eastAsia"/>
                <w:color w:val="000000"/>
                <w:kern w:val="0"/>
                <w:sz w:val="15"/>
                <w:szCs w:val="15"/>
                <w14:ligatures w14:val="none"/>
              </w:rPr>
              <w:instrText>2-</w:instrText>
            </w:r>
            <w:r>
              <w:rPr>
                <w:rFonts w:ascii="Times New Roman" w:eastAsia="SimSun" w:hAnsi="Times New Roman" w:cs="Times New Roman" w:hint="eastAsia"/>
                <w:color w:val="000000"/>
                <w:kern w:val="0"/>
                <w:sz w:val="15"/>
                <w:szCs w:val="15"/>
                <w14:ligatures w14:val="none"/>
              </w:rPr>
              <w:instrText>羟基化脂肪酸的</w:instrText>
            </w:r>
            <w:r>
              <w:rPr>
                <w:rFonts w:ascii="Times New Roman" w:eastAsia="SimSun" w:hAnsi="Times New Roman" w:cs="Times New Roman" w:hint="eastAsia"/>
                <w:color w:val="000000"/>
                <w:kern w:val="0"/>
                <w:sz w:val="15"/>
                <w:szCs w:val="15"/>
                <w14:ligatures w14:val="none"/>
              </w:rPr>
              <w:instrText>Laccer</w:instrText>
            </w:r>
            <w:r>
              <w:rPr>
                <w:rFonts w:ascii="Times New Roman" w:eastAsia="SimSun" w:hAnsi="Times New Roman" w:cs="Times New Roman" w:hint="eastAsia"/>
                <w:color w:val="000000"/>
                <w:kern w:val="0"/>
                <w:sz w:val="15"/>
                <w:szCs w:val="15"/>
                <w14:ligatures w14:val="none"/>
              </w:rPr>
              <w:instrText>过表达以及</w:instrText>
            </w:r>
            <w:r>
              <w:rPr>
                <w:rFonts w:ascii="Times New Roman" w:eastAsia="SimSun" w:hAnsi="Times New Roman" w:cs="Times New Roman" w:hint="eastAsia"/>
                <w:color w:val="000000"/>
                <w:kern w:val="0"/>
                <w:sz w:val="15"/>
                <w:szCs w:val="15"/>
                <w14:ligatures w14:val="none"/>
              </w:rPr>
              <w:instrText>Lacer</w:instrText>
            </w:r>
            <w:r>
              <w:rPr>
                <w:rFonts w:ascii="Times New Roman" w:eastAsia="SimSun" w:hAnsi="Times New Roman" w:cs="Times New Roman" w:hint="eastAsia"/>
                <w:color w:val="000000"/>
                <w:kern w:val="0"/>
                <w:sz w:val="15"/>
                <w:szCs w:val="15"/>
                <w14:ligatures w14:val="none"/>
              </w:rPr>
              <w:instrText>升高（</w:instrText>
            </w:r>
            <w:r>
              <w:rPr>
                <w:rFonts w:ascii="Times New Roman" w:eastAsia="SimSun" w:hAnsi="Times New Roman" w:cs="Times New Roman" w:hint="eastAsia"/>
                <w:color w:val="000000"/>
                <w:kern w:val="0"/>
                <w:sz w:val="15"/>
                <w:szCs w:val="15"/>
                <w14:ligatures w14:val="none"/>
              </w:rPr>
              <w:instrText>d18</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1-h23</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0</w:instrText>
            </w:r>
            <w:r>
              <w:rPr>
                <w:rFonts w:ascii="Times New Roman" w:eastAsia="SimSun" w:hAnsi="Times New Roman" w:cs="Times New Roman" w:hint="eastAsia"/>
                <w:color w:val="000000"/>
                <w:kern w:val="0"/>
                <w:sz w:val="15"/>
                <w:szCs w:val="15"/>
                <w14:ligatures w14:val="none"/>
              </w:rPr>
              <w:instrText>）与患者生存期缩短的关系。</w:instrText>
            </w:r>
            <w:r>
              <w:rPr>
                <w:rFonts w:ascii="Times New Roman" w:eastAsia="SimSun" w:hAnsi="Times New Roman" w:cs="Times New Roman" w:hint="eastAsia"/>
                <w:color w:val="000000"/>
                <w:kern w:val="0"/>
                <w:sz w:val="15"/>
                <w:szCs w:val="15"/>
                <w14:ligatures w14:val="none"/>
              </w:rPr>
              <w:instrText>\nTLDR: The increase of GSL synthesis and fatty hydroxylation in CCA is demonstrated, which probably is u</w:instrText>
            </w:r>
            <w:r>
              <w:rPr>
                <w:rFonts w:ascii="Times New Roman" w:eastAsia="SimSun" w:hAnsi="Times New Roman" w:cs="Times New Roman"/>
                <w:color w:val="000000"/>
                <w:kern w:val="0"/>
                <w:sz w:val="15"/>
                <w:szCs w:val="15"/>
                <w14:ligatures w14:val="none"/>
              </w:rPr>
              <w:instrText xml:space="preserve">sed as a target for CCA treatment.","page":"103-111","PMID":"30888588","title":"Overexpression of HexCer and LacCer containing 2-hydroxylated fatty acids in cholangiocarcinoma and the association of the increase of LacCer (d18:1-h23:0)  with shorter survival of the patients.","volume":"36","author":[{"family":"Silsirivanit","given":"Atit"},{"family":"Phoomak","given":"Chatchai"},{"family":"Teeravirote","given":"Karuntarat"},{"family":"Wattanavises","given":"Sasiprapa"},{"family":"Seubwai","given":"Wunchana"},{"family":"Saengboonmee","given":"Charupong"},{"family":"Zhan","given":"Zhaoqi"},{"family":"Inokuchi","given":"Jin-Ichi"},{"family":"Suzuki","given":"Akemi"},{"family":"Wongkham","given":"Sopit"}],"issued":{"date-parts":[["2019",4]]}}}],"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[32]</w:t>
            </w:r>
            <w:r>
              <w:rPr>
                <w:rFonts w:ascii="Times New Roman" w:eastAsia="SimSun" w:hAnsi="Times New Roman" w:cs="Times New Roman"/>
                <w:color w:val="000000"/>
                <w:kern w:val="0"/>
                <w:sz w:val="15"/>
                <w:szCs w:val="15"/>
                <w14:ligatures w14:val="none"/>
              </w:rPr>
              <w:fldChar w:fldCharType="end"/>
            </w:r>
          </w:p>
        </w:tc>
      </w:tr>
      <w:tr w:rsidR="00427052" w:rsidRPr="00186A4D" w14:paraId="168A00E7" w14:textId="77777777" w:rsidTr="00281326">
        <w:trPr>
          <w:trHeight w:val="56"/>
        </w:trPr>
        <w:tc>
          <w:tcPr>
            <w:tcW w:w="3754" w:type="dxa"/>
            <w:vAlign w:val="center"/>
            <w:hideMark/>
          </w:tcPr>
          <w:p w14:paraId="0FDCC17D"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Elevated conjugated bile acids, including </w:t>
            </w:r>
            <w:proofErr w:type="spellStart"/>
            <w:r w:rsidRPr="00186A4D">
              <w:rPr>
                <w:rFonts w:ascii="Times New Roman" w:eastAsia="SimSun" w:hAnsi="Times New Roman" w:cs="Times New Roman"/>
                <w:color w:val="000000"/>
                <w:kern w:val="0"/>
                <w:sz w:val="15"/>
                <w:szCs w:val="15"/>
                <w14:ligatures w14:val="none"/>
              </w:rPr>
              <w:t>glycocholic</w:t>
            </w:r>
            <w:proofErr w:type="spellEnd"/>
            <w:r w:rsidRPr="00186A4D">
              <w:rPr>
                <w:rFonts w:ascii="Times New Roman" w:eastAsia="SimSun" w:hAnsi="Times New Roman" w:cs="Times New Roman"/>
                <w:color w:val="000000"/>
                <w:kern w:val="0"/>
                <w:sz w:val="15"/>
                <w:szCs w:val="15"/>
                <w14:ligatures w14:val="none"/>
              </w:rPr>
              <w:t xml:space="preserve"> acid and taurocholic acid</w:t>
            </w:r>
          </w:p>
        </w:tc>
        <w:tc>
          <w:tcPr>
            <w:tcW w:w="3402" w:type="dxa"/>
            <w:vAlign w:val="center"/>
            <w:hideMark/>
          </w:tcPr>
          <w:p w14:paraId="22F7908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May help distinguish primary liver tumor contexts or reflect liver cancer risk</w:t>
            </w:r>
          </w:p>
        </w:tc>
        <w:tc>
          <w:tcPr>
            <w:tcW w:w="2591" w:type="dxa"/>
            <w:vAlign w:val="center"/>
            <w:hideMark/>
          </w:tcPr>
          <w:p w14:paraId="0E708D1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Large nested case-control liver cancer cohort, not CCA-specific</w:t>
            </w:r>
          </w:p>
        </w:tc>
        <w:tc>
          <w:tcPr>
            <w:tcW w:w="851" w:type="dxa"/>
            <w:vAlign w:val="center"/>
            <w:hideMark/>
          </w:tcPr>
          <w:p w14:paraId="0EE29E54" w14:textId="75841E09"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D–E</w:t>
            </w:r>
          </w:p>
        </w:tc>
        <w:tc>
          <w:tcPr>
            <w:tcW w:w="810" w:type="dxa"/>
            <w:vAlign w:val="center"/>
            <w:hideMark/>
          </w:tcPr>
          <w:p w14:paraId="26E0BB9B" w14:textId="10D9E61A"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{"citationID":"kPSUosFV","properties":{"unsorted":false,"formattedCitation":"[33]","plainCitation":"[33]","noteIndex":0},"citationItems":[{"id":258,"uris":["http://zotero.org/users/18222353/items/CQCTRT4P"],"itemData":{"id":258,"type":"article-journal","abstract":"BACKGROUND: Bile acids are produced in the liver and are important for lipid digestion. Higher-circulating bile acid levels, however, have been linked to  metabolic disorders, inflammation, and gut microbiota dysbiosis, which have been  implicated in liver carcinogenesis. To date, few epidemiological studies have  explored the association between circulating bile acids and liver cancer risk.  METHODS: We conducted a nested case-control study among 12 prospective cohort  studies located in the United States. Fifteen prediagnostic circulating bile  acids were measured from blood samples among 872 individuals who developed liver  cancer and 872 matched control participants. Odds ratios (ORs) and 95% confidence  intervals (CIs) were estimated using multivariable-adjusted conditional logistic  regression analysis of circulating bile acid levels and liver cancer risk.  RESULTS: Primary conjugated bile acid concentrations were positively associated  with higher risk of liver cancer (OR per doubling in concentrations [log2] and  95% CI of glycocholic acid: 1.32, 1.24 to 1.40; glycochenodeoxycholic acid: 1.33,  1.24 to 1.43; taurocholic acid: 1.28, 1.22 to 1.35; and taurchenodeoxycholic  acid: 1.32, 1.24 to 1.39). Secondary conjugated bile acids were also positively  associated with liver cancer risk (doubling of concentrations OR ranged from 1.11  to 1.22). Unconjugated bile acid concentrations were generally not associated  with liver cancer risk, except lithocholic acid (OR per doubling: 1.27, 1.16 to  1.39). When analyses were separated into the 2 main subtypes of liver cancer,  hepatocellular carcinoma (HCC; 438 cases/438 controls) and intrahepatic  cholangiocarcinoma (ICC; 111 cases/111 controls), significant heterogeneity was  observed for primary conjugated bile acid concentrations (all P &lt; .001) that  showed positive significant associations with HCC but not ICC. CONCLUSIONS: These  results suggest that bile acids may be important markers of HCC risk and  contribute to hepatocarcinogenesis; however, further research using serial  measurements is needed.","container-title":"JNCI cancer spectrum","DOI":"10.1093/jncics/pkaf086","ISSN":"2515-5091","issue":"5","journalAbbreviation":"JNCI Cancer Spectr","language":"en-US","license":"Published by Oxford University Press 2025.","note":"publisher-place: England\nTLDR: The results suggest that bile acids may be important markers of HCC risk and contribute to hepatocarcinogenesis; however, further research using serial measu</w:instrText>
            </w:r>
            <w:r>
              <w:rPr>
                <w:rFonts w:ascii="Times New Roman" w:eastAsia="SimSun" w:hAnsi="Times New Roman" w:cs="Times New Roman" w:hint="eastAsia"/>
                <w:color w:val="000000"/>
                <w:kern w:val="0"/>
                <w:sz w:val="15"/>
                <w:szCs w:val="15"/>
                <w14:ligatures w14:val="none"/>
              </w:rPr>
              <w:instrText xml:space="preserve">rements is needed.\ntitleTranslation: </w:instrText>
            </w:r>
            <w:r>
              <w:rPr>
                <w:rFonts w:ascii="Times New Roman" w:eastAsia="SimSun" w:hAnsi="Times New Roman" w:cs="Times New Roman" w:hint="eastAsia"/>
                <w:color w:val="000000"/>
                <w:kern w:val="0"/>
                <w:sz w:val="15"/>
                <w:szCs w:val="15"/>
                <w14:ligatures w14:val="none"/>
              </w:rPr>
              <w:instrText>诊断前循环胆汁酸浓度和肝癌风险：对</w:instrText>
            </w:r>
            <w:r>
              <w:rPr>
                <w:rFonts w:ascii="Times New Roman" w:eastAsia="SimSun" w:hAnsi="Times New Roman" w:cs="Times New Roman" w:hint="eastAsia"/>
                <w:color w:val="000000"/>
                <w:kern w:val="0"/>
                <w:sz w:val="15"/>
                <w:szCs w:val="15"/>
                <w14:ligatures w14:val="none"/>
              </w:rPr>
              <w:instrText xml:space="preserve"> 12 </w:instrText>
            </w:r>
            <w:r>
              <w:rPr>
                <w:rFonts w:ascii="Times New Roman" w:eastAsia="SimSun" w:hAnsi="Times New Roman" w:cs="Times New Roman" w:hint="eastAsia"/>
                <w:color w:val="000000"/>
                <w:kern w:val="0"/>
                <w:sz w:val="15"/>
                <w:szCs w:val="15"/>
                <w14:ligatures w14:val="none"/>
              </w:rPr>
              <w:instrText>个队列的嵌套病例对照分析。</w:instrText>
            </w:r>
            <w:r>
              <w:rPr>
                <w:rFonts w:ascii="Times New Roman" w:eastAsia="SimSun" w:hAnsi="Times New Roman" w:cs="Times New Roman" w:hint="eastAsia"/>
                <w:color w:val="000000"/>
                <w:kern w:val="0"/>
                <w:sz w:val="15"/>
                <w:szCs w:val="15"/>
                <w14:ligatures w14:val="none"/>
              </w:rPr>
              <w:instrText>","PMID":"40972035","PMCID":"PMC12510164","title":"Pre-diagnostic circulating bile acid concentrations and liver cancer risk: a nested case-control analysis of 12 cohorts.","volume":"</w:instrText>
            </w:r>
            <w:r>
              <w:rPr>
                <w:rFonts w:ascii="Times New Roman" w:eastAsia="SimSun" w:hAnsi="Times New Roman" w:cs="Times New Roman"/>
                <w:color w:val="000000"/>
                <w:kern w:val="0"/>
                <w:sz w:val="15"/>
                <w:szCs w:val="15"/>
                <w14:ligatures w14:val="none"/>
              </w:rPr>
              <w:instrText xml:space="preserve">9","author":[{"family":"Watling","given":"Cody Z."},{"family":"Petrick","given":"Jessica L."},{"family":"Graubard","given":"Barry I."},{"family":"Zhang","given":"Xuehong"},{"family":"Barnett","given":"Matthew J."},{"family":"Buring","given":"Julie E."},{"family":"Chen","given":"Yu"},{"family":"Eliassen","given":"A. Heather"},{"family":"Gaziano","given":"J. Michael"},{"family":"Hofmann","given":"Jonathan N."},{"family":"Huang","given":"Wen-Yi"},{"family":"Kang","given":"Jae H."},{"family":"Koshiol","given":"Jill"},{"family":"Loftfield","given":"Erikka"},{"family":"Lee","given":"I.-Min"},{"family":"Moore","given":"Steven C."},{"family":"Mucci","given":"Lorelei A."},{"family":"Neuhouser","given":"Marian L."},{"family":"Newton","given":"Christina C."},{"family":"Palmer","given":"Julie R."},{"family":"Purdue","given":"Mark P."},{"family":"Rosenberg","given":"Lynn"},{"family":"Sesso","given":"Howard D."},{"family":"Shrubsole","given":"Martha"},{"family":"Tinker","given":"Lesley"},{"family":"Triplette","given":"Matthew"},{"family":"Um","given":"Caroline Y."},{"family":"Visvanathan","given":"Kala"},{"family":"Watts","given":"Eleanor L."},{"family":"Wactawski-Wende","given":"Jean"},{"family":"Willett","given":"Walter"},{"family":"Wu","given":"Fen"},{"family":"Zheng","given":"Wei"},{"family":"Campbell","given":"Peter T."},{"family":"Barupal","given":"Dinesh"},{"family":"McGlynn","given":"Katherine A."}],"issued":{"date-parts":[["2025",9,1]]}}}],"schema":"https://github.com/citation-style-language/schema/raw/master/csl-citation.json"}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[33]</w:t>
            </w:r>
            <w:r>
              <w:rPr>
                <w:rFonts w:ascii="Times New Roman" w:eastAsia="SimSun" w:hAnsi="Times New Roman" w:cs="Times New Roman"/>
                <w:color w:val="000000"/>
                <w:kern w:val="0"/>
                <w:sz w:val="15"/>
                <w:szCs w:val="15"/>
                <w14:ligatures w14:val="none"/>
              </w:rPr>
              <w:fldChar w:fldCharType="end"/>
            </w:r>
          </w:p>
        </w:tc>
      </w:tr>
      <w:tr w:rsidR="00427052" w:rsidRPr="00186A4D" w14:paraId="2764E5D5" w14:textId="77777777" w:rsidTr="00281326">
        <w:trPr>
          <w:trHeight w:val="56"/>
        </w:trPr>
        <w:tc>
          <w:tcPr>
            <w:tcW w:w="3754" w:type="dxa"/>
            <w:vAlign w:val="center"/>
            <w:hideMark/>
          </w:tcPr>
          <w:p w14:paraId="179DAAFE"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Phosphatidylcholine synthesis and </w:t>
            </w:r>
            <w:proofErr w:type="spellStart"/>
            <w:r w:rsidRPr="00186A4D">
              <w:rPr>
                <w:rFonts w:ascii="Times New Roman" w:eastAsia="SimSun" w:hAnsi="Times New Roman" w:cs="Times New Roman"/>
                <w:color w:val="000000"/>
                <w:kern w:val="0"/>
                <w:sz w:val="15"/>
                <w:szCs w:val="15"/>
                <w14:ligatures w14:val="none"/>
              </w:rPr>
              <w:t>fluorocholine</w:t>
            </w:r>
            <w:proofErr w:type="spellEnd"/>
            <w:r w:rsidRPr="00186A4D">
              <w:rPr>
                <w:rFonts w:ascii="Times New Roman" w:eastAsia="SimSun" w:hAnsi="Times New Roman" w:cs="Times New Roman"/>
                <w:color w:val="000000"/>
                <w:kern w:val="0"/>
                <w:sz w:val="15"/>
                <w:szCs w:val="15"/>
                <w14:ligatures w14:val="none"/>
              </w:rPr>
              <w:t xml:space="preserve"> uptake</w:t>
            </w:r>
          </w:p>
        </w:tc>
        <w:tc>
          <w:tcPr>
            <w:tcW w:w="3402" w:type="dxa"/>
            <w:vAlign w:val="center"/>
            <w:hideMark/>
          </w:tcPr>
          <w:p w14:paraId="16B59543"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Provides a functional imaging readout of choline/phospholipid metabolism</w:t>
            </w:r>
          </w:p>
        </w:tc>
        <w:tc>
          <w:tcPr>
            <w:tcW w:w="2591" w:type="dxa"/>
            <w:vAlign w:val="center"/>
            <w:hideMark/>
          </w:tcPr>
          <w:p w14:paraId="4F2BEDA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Pilot PET/CT and tissue phospholipid profiling studies</w:t>
            </w:r>
          </w:p>
        </w:tc>
        <w:tc>
          <w:tcPr>
            <w:tcW w:w="851" w:type="dxa"/>
            <w:vAlign w:val="center"/>
            <w:hideMark/>
          </w:tcPr>
          <w:p w14:paraId="6348EFFD" w14:textId="42360DA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D–E</w:t>
            </w:r>
          </w:p>
        </w:tc>
        <w:tc>
          <w:tcPr>
            <w:tcW w:w="810" w:type="dxa"/>
            <w:vAlign w:val="center"/>
            <w:hideMark/>
          </w:tcPr>
          <w:p w14:paraId="002BB254" w14:textId="339EFA55"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{"citationID":"H1jpYsmo","properties":{"unsorted":false,"formattedCitation":"[34]","plainCitation":"[34]","noteIndex":0},"citationItems":[{"id":254,"uris":["http://zotero.org/users/18222353/items/WZVTZ59E"],"itemData":{"id":254,"type":"article-journal","abstract":"PURPOSE: [(18)F]fluorocholine PET/CT can detect hepatocellular carcinoma (HCC) based on imaging the initial steps of phosphatidylcholine synthesis. To relate  the diagnostic performance of [(18)F]fluorocholine positron emission tomography  (PET)/x-ray computed tomography (CT) to the phospholipid composition of liver  tumors, radiopathologic correspondence was performed in patients with early-stage  liver cancer who had undergone [(18)F]fluorocholine PET/CT before tumor  resection. PROCEDURES: Tumor and adjacent liver were profiled by liquid  chromatography mass spectrometry, quantifying phosphatidylcholine species by  mass-to-charge ratio. For clinical-radiopathologic correlation, HCC profiles were  reduced to two orthogonal principal component factors (PCF1 and PCF2) accounting  for 80 % of total profile variation. RESULTS: Tissues from 31 HCC patients and 4  intrahepatic cholangiocarcinoma (ICC) patients were analyzed, revealing  significantly higher levels of phosphocholine, CDP-choline, and highly saturated  phosphatidylcholine species in HCC tumors relative to adjacent liver and ICC  tumors. Significant loading values for PCF1 corresponded to phosphatidylcholines  containing poly-unsaturated fatty acids while PCF2 corresponded only to highly  saturated phosphatidylcholines. Only PCF2 correlated significantly with HCC  tumor-to-liver [(18)F]fluorocholine uptake ratio (ρ = 0.59, p &lt; 0.0005).  Sensitivity for all tumors based on an abnormal [(18)F]fluorocholine uptake ratio  was 93 % while sensitivity for HCC based on increased tumor [(18)F]fluorocholine  uptake was 84 %, with lower levels of highly saturated phosphatidylcholines in  tumors showing low [(18)F]fluorocholine uptake. CONCLUSION: Most HCC tumors  contain high levels of saturated phosphatidylcholines, supporting their  dependence on de novo fatty acid metabolism for phospholipid membrane synthesis.  While [(18)F]fluorocholine PET/CT can serve to identify these lipogenic tumors,  its imperfect diagnostic sensitivity implies metabolic heterogeneity across HCC  and a weaker lipogenic phenotype in some tumors.","container-title":"Molecular imaging and biology","DOI":"10.1007/s11307-016-1020-3","ISSN":"1860-2002 1536-1632","issue":"3","journalAbbreviation</w:instrText>
            </w:r>
            <w:r>
              <w:rPr>
                <w:rFonts w:ascii="Times New Roman" w:eastAsia="SimSun" w:hAnsi="Times New Roman" w:cs="Times New Roman" w:hint="eastAsia"/>
                <w:color w:val="000000"/>
                <w:kern w:val="0"/>
                <w:sz w:val="15"/>
                <w:szCs w:val="15"/>
                <w14:ligatures w14:val="none"/>
              </w:rPr>
              <w:instrText>":"Mol Imaging Biol","language":"en-US","note":"publisher-place: United States\ntitleTranslation: [</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18</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F]</w:instrText>
            </w:r>
            <w:r>
              <w:rPr>
                <w:rFonts w:ascii="Times New Roman" w:eastAsia="SimSun" w:hAnsi="Times New Roman" w:cs="Times New Roman" w:hint="eastAsia"/>
                <w:color w:val="000000"/>
                <w:kern w:val="0"/>
                <w:sz w:val="15"/>
                <w:szCs w:val="15"/>
                <w14:ligatures w14:val="none"/>
              </w:rPr>
              <w:instrText>肝癌的氟胆碱</w:instrText>
            </w:r>
            <w:r>
              <w:rPr>
                <w:rFonts w:ascii="Times New Roman" w:eastAsia="SimSun" w:hAnsi="Times New Roman" w:cs="Times New Roman" w:hint="eastAsia"/>
                <w:color w:val="000000"/>
                <w:kern w:val="0"/>
                <w:sz w:val="15"/>
                <w:szCs w:val="15"/>
                <w14:ligatures w14:val="none"/>
              </w:rPr>
              <w:instrText xml:space="preserve"> PET/CT </w:instrText>
            </w:r>
            <w:r>
              <w:rPr>
                <w:rFonts w:ascii="Times New Roman" w:eastAsia="SimSun" w:hAnsi="Times New Roman" w:cs="Times New Roman" w:hint="eastAsia"/>
                <w:color w:val="000000"/>
                <w:kern w:val="0"/>
                <w:sz w:val="15"/>
                <w:szCs w:val="15"/>
                <w14:ligatures w14:val="none"/>
              </w:rPr>
              <w:instrText>成像：放射病理学与组织磷脂分析的相关性。</w:instrText>
            </w:r>
            <w:r>
              <w:rPr>
                <w:rFonts w:ascii="Times New Roman" w:eastAsia="SimSun" w:hAnsi="Times New Roman" w:cs="Times New Roman" w:hint="eastAsia"/>
                <w:color w:val="000000"/>
                <w:kern w:val="0"/>
                <w:sz w:val="15"/>
                <w:szCs w:val="15"/>
                <w14:ligatures w14:val="none"/>
              </w:rPr>
              <w:instrText>\nTLDR: Most HCC tumors contain high levels of saturated phosphatidylcholines, supporting their dependence on de nov</w:instrText>
            </w:r>
            <w:r>
              <w:rPr>
                <w:rFonts w:ascii="Times New Roman" w:eastAsia="SimSun" w:hAnsi="Times New Roman" w:cs="Times New Roman"/>
                <w:color w:val="000000"/>
                <w:kern w:val="0"/>
                <w:sz w:val="15"/>
                <w:szCs w:val="15"/>
                <w14:ligatures w14:val="none"/>
              </w:rPr>
              <w:instrText xml:space="preserve">o fatty acid metabolism for phospholipid membrane synthesis, and its imperfect diagnostic sensitivity implies metabolic heterogeneity across HCC and a weaker lipogenic phenotype in some tumors.","page":"446-455","PMID":"27787742","PMCID":"PMC5407951","title":"[(18)F]Fluorocholine PET/CT Imaging of Liver Cancer: Radiopathologic Correlation with Tissue Phospholipid Profiling.","volume":"19","author":[{"family":"Kwee","given":"Sandi A."},{"family":"Sato","given":"Miles M."},{"family":"Kuang","given":"Yu"},{"family":"Franke","given":"Adrian"},{"family":"Custer","given":"Laurie"},{"family":"Miyazaki","given":"Kyle"},{"family":"Wong","given":"Linda L."}],"issued":{"date-parts":[["2017",6]]}}}],"schema":"https://github.com/citation-style-language/schema/raw/master/csl-citation.json"}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[34]</w:t>
            </w:r>
            <w:r>
              <w:rPr>
                <w:rFonts w:ascii="Times New Roman" w:eastAsia="SimSun" w:hAnsi="Times New Roman" w:cs="Times New Roman"/>
                <w:color w:val="000000"/>
                <w:kern w:val="0"/>
                <w:sz w:val="15"/>
                <w:szCs w:val="15"/>
                <w14:ligatures w14:val="none"/>
              </w:rPr>
              <w:fldChar w:fldCharType="end"/>
            </w:r>
          </w:p>
        </w:tc>
      </w:tr>
      <w:tr w:rsidR="00427052" w:rsidRPr="00186A4D" w14:paraId="4BA316D0" w14:textId="77777777" w:rsidTr="00281326">
        <w:trPr>
          <w:trHeight w:val="56"/>
        </w:trPr>
        <w:tc>
          <w:tcPr>
            <w:tcW w:w="3754" w:type="dxa"/>
            <w:vAlign w:val="center"/>
            <w:hideMark/>
          </w:tcPr>
          <w:p w14:paraId="62C0865A"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Increased triglyceride-related lipid species</w:t>
            </w:r>
          </w:p>
        </w:tc>
        <w:tc>
          <w:tcPr>
            <w:tcW w:w="3402" w:type="dxa"/>
            <w:vAlign w:val="center"/>
            <w:hideMark/>
          </w:tcPr>
          <w:p w14:paraId="0EEF206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Associated with postoperative recurrence in early-stage CCA</w:t>
            </w:r>
          </w:p>
        </w:tc>
        <w:tc>
          <w:tcPr>
            <w:tcW w:w="2591" w:type="dxa"/>
            <w:vAlign w:val="center"/>
            <w:hideMark/>
          </w:tcPr>
          <w:p w14:paraId="06BB1D5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Integrated metabolomics/</w:t>
            </w:r>
            <w:proofErr w:type="spellStart"/>
            <w:r w:rsidRPr="00186A4D">
              <w:rPr>
                <w:rFonts w:ascii="Times New Roman" w:eastAsia="SimSun" w:hAnsi="Times New Roman" w:cs="Times New Roman"/>
                <w:color w:val="000000"/>
                <w:kern w:val="0"/>
                <w:sz w:val="15"/>
                <w:szCs w:val="15"/>
                <w14:ligatures w14:val="none"/>
              </w:rPr>
              <w:t>lipidomics</w:t>
            </w:r>
            <w:proofErr w:type="spellEnd"/>
            <w:r w:rsidRPr="00186A4D">
              <w:rPr>
                <w:rFonts w:ascii="Times New Roman" w:eastAsia="SimSun" w:hAnsi="Times New Roman" w:cs="Times New Roman"/>
                <w:color w:val="000000"/>
                <w:kern w:val="0"/>
                <w:sz w:val="15"/>
                <w:szCs w:val="15"/>
                <w14:ligatures w14:val="none"/>
              </w:rPr>
              <w:t xml:space="preserve"> study</w:t>
            </w:r>
          </w:p>
        </w:tc>
        <w:tc>
          <w:tcPr>
            <w:tcW w:w="851" w:type="dxa"/>
            <w:vAlign w:val="center"/>
            <w:hideMark/>
          </w:tcPr>
          <w:p w14:paraId="536120C4" w14:textId="2C29590D"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w:t>
            </w:r>
          </w:p>
        </w:tc>
        <w:tc>
          <w:tcPr>
            <w:tcW w:w="810" w:type="dxa"/>
            <w:vAlign w:val="center"/>
            <w:hideMark/>
          </w:tcPr>
          <w:p w14:paraId="5032E5B4" w14:textId="0699C640"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{"citationID":"Aevklqr0","properties":{"unsorted":false,"formattedCitation":"[35]","plainCitation":"[35]","noteIndex":0},"citationItems":[{"id":251,"uris":["http://zotero.org/users/18222353/items/MI6LH4PF"],"itemData":{"id":251,"type":"article-journal","abstract":"BACKGROUND: Cholangiocarcioma (CCA) treatment is challenging because most of the patients are diagnosed when the disease is advanced, and cancer recurrence is the  main problem after treatment, leading to low survival rates. Therefore, our  understanding of the mechanism underlying CCA recurrence is essential in order to  prevent CCA recurrence and improve patient outcomes. METHODS: We performed  (1)H-NMR and UPLC-MS-based metabolomics on the CCA serum. The differential  metabolites were further analyzed using pathway analysis and potential biomarker  identification. RESULTS: At an early stage, the metabolites involved in energy  metabolisms, such as pyruvate metabolism, and the TCA cycle, are downregulated,  while most lipids, including TGs, PCs, PEs, and PAs, are upregulated in  recurrence patients. This metabolic feature has been described in cancer  stem-like cell (CSC) metabolism. In addition, the CSC markers CD44v6 and  CD44v8-10 are associated with CD36 (a protein involved in lipid uptake) as well  as with recurrence-free survival. We also found that citrate, sarcosine,  succinate, creatine, creatinine and pyruvate, and TGs have good predictive values  for CCA recurrence. CONCLUSION: Our study demonstrates the possible molecular  mechanisms underlying CCA recurrence, and these may associate with the existence  of CSCs. The metabolic change involved in the recurrence pathway might be used to  determine biomarkers for predicting CCA recurrence.","container-ti</w:instrText>
            </w:r>
            <w:r>
              <w:rPr>
                <w:rFonts w:ascii="Times New Roman" w:eastAsia="SimSun" w:hAnsi="Times New Roman" w:cs="Times New Roman" w:hint="eastAsia"/>
                <w:color w:val="000000"/>
                <w:kern w:val="0"/>
                <w:sz w:val="15"/>
                <w:szCs w:val="15"/>
                <w14:ligatures w14:val="none"/>
              </w:rPr>
              <w:instrText xml:space="preserve">tle":"Cancer &amp; metabolism","DOI":"10.1186/s40170-021-00266-5","ISSN":"2049-3002","issue":"1","journalAbbreviation":"Cancer Metab","language":"en-US","license":"© 2021. The Author(s).","note":"publisher-place: England\ntitleTranslation: </w:instrText>
            </w:r>
            <w:r>
              <w:rPr>
                <w:rFonts w:ascii="Times New Roman" w:eastAsia="SimSun" w:hAnsi="Times New Roman" w:cs="Times New Roman" w:hint="eastAsia"/>
                <w:color w:val="000000"/>
                <w:kern w:val="0"/>
                <w:sz w:val="15"/>
                <w:szCs w:val="15"/>
                <w14:ligatures w14:val="none"/>
              </w:rPr>
              <w:instrText>全球代谢组学和脂质组学方法的整合揭示了早期胆管癌术后复发的分子机制和潜在生物标志物。</w:instrText>
            </w:r>
            <w:r>
              <w:rPr>
                <w:rFonts w:ascii="Times New Roman" w:eastAsia="SimSun" w:hAnsi="Times New Roman" w:cs="Times New Roman" w:hint="eastAsia"/>
                <w:color w:val="000000"/>
                <w:kern w:val="0"/>
                <w:sz w:val="15"/>
                <w:szCs w:val="15"/>
                <w14:ligatures w14:val="none"/>
              </w:rPr>
              <w:instrText>\nTLDR: The study demonstrates the possible molecular mechanisms underlying CCA recurrence, and these may associate with the existence of CSCs, and it is found that citrate, sarcosine, succinate, creatine, creatinine and pyruvate, a</w:instrText>
            </w:r>
            <w:r>
              <w:rPr>
                <w:rFonts w:ascii="Times New Roman" w:eastAsia="SimSun" w:hAnsi="Times New Roman" w:cs="Times New Roman"/>
                <w:color w:val="000000"/>
                <w:kern w:val="0"/>
                <w:sz w:val="15"/>
                <w:szCs w:val="15"/>
                <w14:ligatures w14:val="none"/>
              </w:rPr>
              <w:instrText xml:space="preserve">nd TGs have good predictive values for C CA recurrence.","page":"30","PMID":"34348794","PMCID":"PMC8335966","title":"Integration of global metabolomics and lipidomics approaches reveals the molecular mechanisms and the potential biomarkers for postoperative recurrence in  early-stage cholangiocarcinoma.","volume":"9","author":[{"family":"Padthaisong","given":"Sureerat"},{"family":"Phetcharaburanin","given":"Jutarop"},{"family":"Klanrit","given":"Poramate"},{"family":"Li","given":"Jia V."},{"family":"Namwat","given":"Nisana"},{"family":"Khuntikeo","given":"Narong"},{"family":"Titapun","given":"Attapol"},{"family":"Jarearnrat","given":"Apiwat"},{"family":"Wangwiwatsin","given":"Arporn"},{"family":"Mahalapbutr","given":"Panupong"},{"family":"Loilome","given":"Watcharin"}],"issued":{"date-parts":[["2021",8,4]]}}}],"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[35]</w:t>
            </w:r>
            <w:r>
              <w:rPr>
                <w:rFonts w:ascii="Times New Roman" w:eastAsia="SimSun" w:hAnsi="Times New Roman" w:cs="Times New Roman"/>
                <w:color w:val="000000"/>
                <w:kern w:val="0"/>
                <w:sz w:val="15"/>
                <w:szCs w:val="15"/>
                <w14:ligatures w14:val="none"/>
              </w:rPr>
              <w:fldChar w:fldCharType="end"/>
            </w:r>
          </w:p>
        </w:tc>
      </w:tr>
      <w:tr w:rsidR="00427052" w:rsidRPr="00186A4D" w14:paraId="244D402D" w14:textId="77777777" w:rsidTr="00281326">
        <w:trPr>
          <w:trHeight w:val="56"/>
        </w:trPr>
        <w:tc>
          <w:tcPr>
            <w:tcW w:w="3754" w:type="dxa"/>
            <w:vAlign w:val="center"/>
            <w:hideMark/>
          </w:tcPr>
          <w:p w14:paraId="362E0315"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Pretreatment TG and APOA1-related lipid status</w:t>
            </w:r>
          </w:p>
        </w:tc>
        <w:tc>
          <w:tcPr>
            <w:tcW w:w="3402" w:type="dxa"/>
            <w:vAlign w:val="center"/>
            <w:hideMark/>
          </w:tcPr>
          <w:p w14:paraId="1E391B0A" w14:textId="0F71D570"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Predicts response or survival in advanced </w:t>
            </w:r>
            <w:proofErr w:type="spellStart"/>
            <w:r w:rsidRPr="00186A4D">
              <w:rPr>
                <w:rFonts w:ascii="Times New Roman" w:eastAsia="SimSun" w:hAnsi="Times New Roman" w:cs="Times New Roman"/>
                <w:color w:val="000000"/>
                <w:kern w:val="0"/>
                <w:sz w:val="15"/>
                <w:szCs w:val="15"/>
                <w14:ligatures w14:val="none"/>
              </w:rPr>
              <w:t>iCCA</w:t>
            </w:r>
            <w:proofErr w:type="spellEnd"/>
            <w:r w:rsidRPr="00186A4D">
              <w:rPr>
                <w:rFonts w:ascii="Times New Roman" w:eastAsia="SimSun" w:hAnsi="Times New Roman" w:cs="Times New Roman"/>
                <w:color w:val="000000"/>
                <w:kern w:val="0"/>
                <w:sz w:val="15"/>
                <w:szCs w:val="15"/>
                <w14:ligatures w14:val="none"/>
              </w:rPr>
              <w:t xml:space="preserve"> treated with PD-1 inhibitors; </w:t>
            </w:r>
            <w:r>
              <w:rPr>
                <w:rFonts w:ascii="Times New Roman" w:eastAsia="SimSun" w:hAnsi="Times New Roman" w:cs="Times New Roman"/>
                <w:color w:val="000000"/>
                <w:kern w:val="0"/>
                <w:sz w:val="15"/>
                <w:szCs w:val="15"/>
                <w14:ligatures w14:val="none"/>
              </w:rPr>
              <w:t xml:space="preserve">the </w:t>
            </w:r>
            <w:r w:rsidRPr="00186A4D">
              <w:rPr>
                <w:rFonts w:ascii="Times New Roman" w:eastAsia="SimSun" w:hAnsi="Times New Roman" w:cs="Times New Roman"/>
                <w:color w:val="000000"/>
                <w:kern w:val="0"/>
                <w:sz w:val="15"/>
                <w:szCs w:val="15"/>
                <w14:ligatures w14:val="none"/>
              </w:rPr>
              <w:t>combined model includes CA19-9</w:t>
            </w:r>
          </w:p>
        </w:tc>
        <w:tc>
          <w:tcPr>
            <w:tcW w:w="2591" w:type="dxa"/>
            <w:vAlign w:val="center"/>
            <w:hideMark/>
          </w:tcPr>
          <w:p w14:paraId="0FCF2361"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Retrospective clinical cohort</w:t>
            </w:r>
          </w:p>
        </w:tc>
        <w:tc>
          <w:tcPr>
            <w:tcW w:w="851" w:type="dxa"/>
            <w:vAlign w:val="center"/>
            <w:hideMark/>
          </w:tcPr>
          <w:p w14:paraId="188D046D" w14:textId="3775B6D8"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D</w:t>
            </w:r>
          </w:p>
        </w:tc>
        <w:tc>
          <w:tcPr>
            <w:tcW w:w="810" w:type="dxa"/>
            <w:vAlign w:val="center"/>
            <w:hideMark/>
          </w:tcPr>
          <w:p w14:paraId="74EF884F" w14:textId="575F3EB9"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{"citationID":"dkwnmbPa","properties":{"unsorted":false,"formattedCitation":"[36]","plainCitation":"[36]","noteIndex":0},"citationItems":[{"id":267,"uris":["http://zotero.org/users/18222353/items/PALNXQ6B"],"itemData":{"id":267,"type":"article-journal","abstract":"BACKGROUND: It has been identified that serum lipids can be used as prognostic biomarkers in several types of cancer and are associated with patient survival.  We aimed to clarify the prognostic value of the serum lipids and to establish a  novel effective nomogram for overall survival (OS) in intrahepatic  cholangiocarcinoma (iCCA) patients receiving anti-PD1 therapy. METHODS:  Pretreatment serum lipids were retrospectively analyzed for prognostic value,  including apolipoprotein B (APOB), apolipoproteinA-1 (APOA1), total cholesterol  (TC), high-density lipoprotein cholesterol (HDL-C), low-density lipoprotein  cholesterol (LDL-C) and triglycerides (TG), which were assessed for prediction  accuracy using Kaplan-Meier survival curves and time-dependent receiver operating  characteristic (ROC). Cox regression analysis with univariate and multivariate  factors was used to identify prognostic factors predictive of OS, and prognostic  nomograms were constructed. RESULTS: All the serum lipids showed good  discriminatory ability in terms of OS (all P &lt; 0.05), the higher the lipid  levels, the better the prognosis, while APOA1 and TG were remarkable independent  predictors for OS in multivariate analysis (hazard ratio, 2.177,2.035; confidence  interval, 1.393-3.402, 1.184-3.498; P = 0.001, P = 0.01). Four (CA19-9, APOA1,  tumor number and TG) independent prognostic factors were chosen to generate the  nomogram for OS. The area under the ROC curve at 1-year and 2-year consistently  demonstrated that the predictive value of the nomogram was superior to serum  lipids. CONCLUSION: In our study, serum lipid levels were used as a prognostic  nomogram in the prediction of anti-PD-1 therapy efficacy in patients with iCCA.","container-title":"International immunopharmacology","DOI":"10.1016/j.intimp.2023.109687","ISSN":"1878-1705 1567-5769","journalAbbreviation":"Int Immunopharmacol","language":"en-US","license":"Copyright © 2023. Published by Elsevier B.V.","note":"publisher-plac</w:instrText>
            </w:r>
            <w:r>
              <w:rPr>
                <w:rFonts w:ascii="Times New Roman" w:eastAsia="SimSun" w:hAnsi="Times New Roman" w:cs="Times New Roman" w:hint="eastAsia"/>
                <w:color w:val="000000"/>
                <w:kern w:val="0"/>
                <w:sz w:val="15"/>
                <w:szCs w:val="15"/>
                <w14:ligatures w14:val="none"/>
              </w:rPr>
              <w:instrText xml:space="preserve">e: Netherlands\ntitleTranslation: </w:instrText>
            </w:r>
            <w:r>
              <w:rPr>
                <w:rFonts w:ascii="Times New Roman" w:eastAsia="SimSun" w:hAnsi="Times New Roman" w:cs="Times New Roman" w:hint="eastAsia"/>
                <w:color w:val="000000"/>
                <w:kern w:val="0"/>
                <w:sz w:val="15"/>
                <w:szCs w:val="15"/>
                <w14:ligatures w14:val="none"/>
              </w:rPr>
              <w:instrText>治疗前血脂水平可预测晚期肝内胆管癌对</w:instrText>
            </w:r>
            <w:r>
              <w:rPr>
                <w:rFonts w:ascii="Times New Roman" w:eastAsia="SimSun" w:hAnsi="Times New Roman" w:cs="Times New Roman" w:hint="eastAsia"/>
                <w:color w:val="000000"/>
                <w:kern w:val="0"/>
                <w:sz w:val="15"/>
                <w:szCs w:val="15"/>
                <w14:ligatures w14:val="none"/>
              </w:rPr>
              <w:instrText xml:space="preserve"> PD-1 </w:instrText>
            </w:r>
            <w:r>
              <w:rPr>
                <w:rFonts w:ascii="Times New Roman" w:eastAsia="SimSun" w:hAnsi="Times New Roman" w:cs="Times New Roman" w:hint="eastAsia"/>
                <w:color w:val="000000"/>
                <w:kern w:val="0"/>
                <w:sz w:val="15"/>
                <w:szCs w:val="15"/>
                <w14:ligatures w14:val="none"/>
              </w:rPr>
              <w:instrText>抑制剂治疗的反应。</w:instrText>
            </w:r>
            <w:r>
              <w:rPr>
                <w:rFonts w:ascii="Times New Roman" w:eastAsia="SimSun" w:hAnsi="Times New Roman" w:cs="Times New Roman" w:hint="eastAsia"/>
                <w:color w:val="000000"/>
                <w:kern w:val="0"/>
                <w:sz w:val="15"/>
                <w:szCs w:val="15"/>
                <w14:ligatures w14:val="none"/>
              </w:rPr>
              <w:instrText>","page":"109687","PMID":"36628893","title":"Levels of pretreatment serum lipids predict responses to PD-1 inhibitor treatment in advanced intrahepatic cholangiocarcinoma.","volume":"115",</w:instrText>
            </w:r>
            <w:r>
              <w:rPr>
                <w:rFonts w:ascii="Times New Roman" w:eastAsia="SimSun" w:hAnsi="Times New Roman" w:cs="Times New Roman"/>
                <w:color w:val="000000"/>
                <w:kern w:val="0"/>
                <w:sz w:val="15"/>
                <w:szCs w:val="15"/>
                <w14:ligatures w14:val="none"/>
              </w:rPr>
              <w:instrText xml:space="preserve">"author":[{"family":"Yang","given":"Zhenyun"},{"family":"Zhang","given":"Deyao"},{"family":"Sima","given":"Xiaoxian"},{"family":"Fu","given":"Yizhen"},{"family":"Zeng","given":"Huilan"},{"family":"Hu","given":"Zili"},{"family":"Hou","given":"Jingyu"},{"family":"Pan","given":"Yangxun"},{"family":"Zhang","given":"Yaojun"},{"family":"Zhou","given":"Zhongguo"},{"family":"Chen","given":"Minshan"},{"family":"Hu","given":"Dandan"}],"issued":{"date-parts":[["2023",2]]}}}],"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[36]</w:t>
            </w:r>
            <w:r>
              <w:rPr>
                <w:rFonts w:ascii="Times New Roman" w:eastAsia="SimSun" w:hAnsi="Times New Roman" w:cs="Times New Roman"/>
                <w:color w:val="000000"/>
                <w:kern w:val="0"/>
                <w:sz w:val="15"/>
                <w:szCs w:val="15"/>
                <w14:ligatures w14:val="none"/>
              </w:rPr>
              <w:fldChar w:fldCharType="end"/>
            </w:r>
          </w:p>
        </w:tc>
      </w:tr>
      <w:tr w:rsidR="00427052" w:rsidRPr="00186A4D" w14:paraId="193A1B0D" w14:textId="77777777" w:rsidTr="00281326">
        <w:trPr>
          <w:trHeight w:val="56"/>
        </w:trPr>
        <w:tc>
          <w:tcPr>
            <w:tcW w:w="3754" w:type="dxa"/>
            <w:vAlign w:val="center"/>
            <w:hideMark/>
          </w:tcPr>
          <w:p w14:paraId="21F18363" w14:textId="426B8A63"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Increased saturated fatty acids, including </w:t>
            </w:r>
            <w:r>
              <w:rPr>
                <w:rFonts w:ascii="Times New Roman" w:eastAsia="SimSun" w:hAnsi="Times New Roman" w:cs="Times New Roman"/>
                <w:color w:val="000000"/>
                <w:kern w:val="0"/>
                <w:sz w:val="15"/>
                <w:szCs w:val="15"/>
                <w14:ligatures w14:val="none"/>
              </w:rPr>
              <w:t xml:space="preserve">the </w:t>
            </w:r>
            <w:r w:rsidRPr="00186A4D">
              <w:rPr>
                <w:rFonts w:ascii="Times New Roman" w:eastAsia="SimSun" w:hAnsi="Times New Roman" w:cs="Times New Roman"/>
                <w:color w:val="000000"/>
                <w:kern w:val="0"/>
                <w:sz w:val="15"/>
                <w:szCs w:val="15"/>
                <w14:ligatures w14:val="none"/>
              </w:rPr>
              <w:t>C18:0-related pattern</w:t>
            </w:r>
          </w:p>
        </w:tc>
        <w:tc>
          <w:tcPr>
            <w:tcW w:w="3402" w:type="dxa"/>
            <w:vAlign w:val="center"/>
            <w:hideMark/>
          </w:tcPr>
          <w:p w14:paraId="494A418F"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Reflects de novo lipogenesis and membrane synthesis; may modulate macrophage phenotype</w:t>
            </w:r>
          </w:p>
        </w:tc>
        <w:tc>
          <w:tcPr>
            <w:tcW w:w="2591" w:type="dxa"/>
            <w:vAlign w:val="center"/>
            <w:hideMark/>
          </w:tcPr>
          <w:p w14:paraId="40C1E79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Human CCA samples plus mechanistic cell/immune experiments</w:t>
            </w:r>
          </w:p>
        </w:tc>
        <w:tc>
          <w:tcPr>
            <w:tcW w:w="851" w:type="dxa"/>
            <w:vAlign w:val="center"/>
            <w:hideMark/>
          </w:tcPr>
          <w:p w14:paraId="69DD4644" w14:textId="39F458C8"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B–C</w:t>
            </w:r>
          </w:p>
        </w:tc>
        <w:tc>
          <w:tcPr>
            <w:tcW w:w="810" w:type="dxa"/>
            <w:vAlign w:val="center"/>
            <w:hideMark/>
          </w:tcPr>
          <w:p w14:paraId="68DD9F6E" w14:textId="4979C07E"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{"citationID":"Ox9bsPN1","properties":{"unsorted":false,"formattedCitation":"[37]","plainCitation":"[37]","noteIndex":0},"citationItems":[{"id":85,"uris":["http://zotero.org/users/18222353/items/L7WQFM46"],"itemData":{"id":85,"type":"article-journal","abstract":"BACKGROUND AND AIMS: Cholangiocarcinoma (CCA) is a globally rare, increasingly incident cancer. Metabolic reprogramming is common in cancer cells, and altered  lipid homeostasis favors tumor development and progression. Previous studies have  described lipid deregulation in HCC cells, while in CCA, the lipidome profile is  still poorly characterized. METHODS: We used liquid chromatography-tandem mass  spectrometry to examine the lipid level profile of intrahepatic CCA (iCCA) and  non-tumor surrounding tissue from patients, as well as in patients' and healthy  controls' sera. RESULTS: All lipid classes were upregulated in tumor specimens  and iCCA-derived sera. Newly synthesized fatty acids (FAs) accumulated in iCCA  and were only marginally directed to mitochondrial β-oxidation and scarcely  folded in lipid droplets as neutral species. Metabolic flux assay showed that FAs  were instead redirected toward plasma membrane formation and remodeling, being  incorporated into phospholipids and sphingomyelin. A distinct lipid droplet and  macrophage distribution was revealed by immunohistochemistry and Imaging Mass  Cytometry. Lipid droplets were fewer in iCCA than in normal tissue and present  mainly in the intratumoral fibrous septa and in M2 macrophages. Monocytes  modified their lipid content and phenotype in the presence of iCCA cells, and the  same effect could be recapitulated by FA supplementation. CONCLUSIONS: Our  results reveal a profound alteration in the lipid content of iCCA tissues and  demonstrate that FA accumulation prompts iCCA aggressiveness by supporting  membrane biogenesis, generating bioactive lipids that boost proliferation, and by  modifying macrophage phenotype.","container-title":"Hepatology communications","DOI":"10.1097/HC9.0000000000000717","ISSN":"2471-254X","issue":"6","journalAbbreviation":"Hepatol Commun","language":"en-US","license":"Copyright © 2025 The Author(s). Published by Wolters Kluwer Health, Inc. on behalf of the American Associa</w:instrText>
            </w:r>
            <w:r>
              <w:rPr>
                <w:rFonts w:ascii="Times New Roman" w:eastAsia="SimSun" w:hAnsi="Times New Roman" w:cs="Times New Roman" w:hint="eastAsia"/>
                <w:color w:val="000000"/>
                <w:kern w:val="0"/>
                <w:sz w:val="15"/>
                <w:szCs w:val="15"/>
                <w14:ligatures w14:val="none"/>
              </w:rPr>
              <w:instrText xml:space="preserve">tion for the Study of Liver Diseases.","note":"publisher-place: United States\ntitleTranslation: </w:instrText>
            </w:r>
            <w:r>
              <w:rPr>
                <w:rFonts w:ascii="Times New Roman" w:eastAsia="SimSun" w:hAnsi="Times New Roman" w:cs="Times New Roman" w:hint="eastAsia"/>
                <w:color w:val="000000"/>
                <w:kern w:val="0"/>
                <w:sz w:val="15"/>
                <w:szCs w:val="15"/>
                <w14:ligatures w14:val="none"/>
              </w:rPr>
              <w:instrText>胆管癌细胞引导脂肪酸支持膜合成并调节巨噬细胞表型。</w:instrText>
            </w:r>
            <w:r>
              <w:rPr>
                <w:rFonts w:ascii="Times New Roman" w:eastAsia="SimSun" w:hAnsi="Times New Roman" w:cs="Times New Roman" w:hint="eastAsia"/>
                <w:color w:val="000000"/>
                <w:kern w:val="0"/>
                <w:sz w:val="15"/>
                <w:szCs w:val="15"/>
                <w14:ligatures w14:val="none"/>
              </w:rPr>
              <w:instrText>\nTLDR: The results reveal a profound alteration in the lipid content of iCCA tissues and demonstrate that FA accumulation prompts iC</w:instrText>
            </w:r>
            <w:r>
              <w:rPr>
                <w:rFonts w:ascii="Times New Roman" w:eastAsia="SimSun" w:hAnsi="Times New Roman" w:cs="Times New Roman"/>
                <w:color w:val="000000"/>
                <w:kern w:val="0"/>
                <w:sz w:val="15"/>
                <w:szCs w:val="15"/>
                <w14:ligatures w14:val="none"/>
              </w:rPr>
              <w:instrText xml:space="preserve">CA aggressiveness by supporting membrane biogenesis, generating bioactive lipids that boost proliferation, and by modifying macrophage phenotype.","PMID":"40408281","PMCID":"PMC12106197","title":"Cholangiocarcinoma cells direct fatty acids to support membrane synthesis and modulate macrophage phenotype.","volume":"9","author":[{"family":"Dei Cas","given":"Michele"},{"family":"Mantovani","given":"Stefania"},{"family":"Oliviero","given":"Barbara"},{"family":"Zulueta","given":"Aida"},{"family":"Montavoci","given":"Linda"},{"family":"Falleni","given":"Monica"},{"family":"Tosi","given":"Delfina"},{"family":"Morano","given":"Camillo"},{"family":"Penati","given":"Sara"},{"family":"Chiocchetti","given":"Annalisa"},{"family":"Sinella","given":"Riccardo"},{"family":"Barbero Mazzucca","given":"Camilla"},{"family":"Donadon","given":"Matteo"},{"family":"Soldani","given":"Cristiana"},{"family":"Piccolo","given":"Gaetano"},{"family":"Barabino","given":"Matteo"},{"family":"Bianchi","given":"Paolo Pietro"},{"family":"Maestri","given":"Marcello"},{"family":"Lleo","given":"Ana"},{"family":"Banales","given":"Jesus M."},{"family":"Mondelli","given":"Mario U."},{"family":"Caretti","given":"Anna"}],"issued":{"date-parts":[["2025",6,1]]}}}],"schema":"https://github.com/citation-style-language/schema/raw/master/csl-citation.json"}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[37]</w:t>
            </w:r>
            <w:r>
              <w:rPr>
                <w:rFonts w:ascii="Times New Roman" w:eastAsia="SimSun" w:hAnsi="Times New Roman" w:cs="Times New Roman"/>
                <w:color w:val="000000"/>
                <w:kern w:val="0"/>
                <w:sz w:val="15"/>
                <w:szCs w:val="15"/>
                <w14:ligatures w14:val="none"/>
              </w:rPr>
              <w:fldChar w:fldCharType="end"/>
            </w:r>
          </w:p>
        </w:tc>
      </w:tr>
      <w:tr w:rsidR="00427052" w:rsidRPr="00186A4D" w14:paraId="674A5D52" w14:textId="77777777" w:rsidTr="00281326">
        <w:trPr>
          <w:trHeight w:val="56"/>
        </w:trPr>
        <w:tc>
          <w:tcPr>
            <w:tcW w:w="3754" w:type="dxa"/>
            <w:vAlign w:val="center"/>
            <w:hideMark/>
          </w:tcPr>
          <w:p w14:paraId="76F4C78C"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Choline-containing and triglyceride-related MRS signals</w:t>
            </w:r>
          </w:p>
        </w:tc>
        <w:tc>
          <w:tcPr>
            <w:tcW w:w="3402" w:type="dxa"/>
            <w:vAlign w:val="center"/>
            <w:hideMark/>
          </w:tcPr>
          <w:p w14:paraId="279845B0"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May indicate membrane turnover and lipid accumulation</w:t>
            </w:r>
          </w:p>
        </w:tc>
        <w:tc>
          <w:tcPr>
            <w:tcW w:w="2591" w:type="dxa"/>
            <w:vAlign w:val="center"/>
            <w:hideMark/>
          </w:tcPr>
          <w:p w14:paraId="17B6464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Mainly animal/preclinical or translational imaging evidence</w:t>
            </w:r>
          </w:p>
        </w:tc>
        <w:tc>
          <w:tcPr>
            <w:tcW w:w="851" w:type="dxa"/>
            <w:vAlign w:val="center"/>
            <w:hideMark/>
          </w:tcPr>
          <w:p w14:paraId="46B30DB9" w14:textId="6DFEC21A"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C–E</w:t>
            </w:r>
          </w:p>
        </w:tc>
        <w:tc>
          <w:tcPr>
            <w:tcW w:w="810" w:type="dxa"/>
            <w:vAlign w:val="center"/>
            <w:hideMark/>
          </w:tcPr>
          <w:p w14:paraId="5E225CAE" w14:textId="7E50FFB2"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nzyrLZjv","properties":{"unsorted":false,"formattedCitation":"[38,39]","plainCitation":"[38,39]","noteIndex":0},"citationItems":[{"id":3117,"uris":["http://zotero.org/users/18222353/items/J725DCXG"],"itemData":{"id":3117,"type":"article-journal","abstract":"Cholangiocarcinoma (CCA) and pancreatic adenocarcinoma (PDAC) may lead to the development of extrahepatic obstructive cholestasis. However, biliary stenoses can also be caused by benign conditions, and the identiﬁcation of their etiology still remains a clinical challenge. We performed metabolomic and proteomic analyses of bile from patients with benign (n = 36) and malignant conditions, CCA (n = 36) or PDAC (n = 57), undergoing endoscopic retrograde cholangiopancreatography with the aim of characterizing bile composition in biliopancreatic disease and identifying biomarkers for the diﬀerential diagnosis of biliary strictures. Comprehensive analyses of lipids, bile acids and small molecules were carried out using mass spectrometry (MS) and nuclear magnetic resonance spectroscopy (1H-NMR) in all patients. MS analysis of bile proteome was performed in ﬁve patients per group. We implemented artiﬁcial intelligence tools for the selection of biomarkers and algorithms with predictive capacity. Our machine-learning pipeline included the generation of synthetic data with properties of real data, the selection of potential biomarkers (metabolites or proteins) and their analysis with neural networks (NN). Selected biomarkers were then validated with real data. We identiﬁed panels of lipids (n = 10) and proteins (n = 5) that when analyzed with NN algorithms discriminated between patients with and without cancer with an unprecedented accuracy.","container-title":"Cancers","DOI":"10.3390/cancers12061644","ISSN":"2072-6694","issue":"6","journalAbbreviation":"Cancers","language":"en","page":"1644","source":"DOI.org (Crossref)","title":"Pilot Multi-Omic Analysis of Human Bile from Benign and Malignant Biliary Strictures: A Machine-Learning Approach","title-short":"Pilot Multi-Omic Analysis of Human Bile from Benign and Malignant Biliary Strictures","volume":"12","author":[{"family":"Urman","given":"Jesús M."},{"family":"Herranz","given":"José M."},{"family":"Uriarte","given":"Iker"},{"family":"Rullán","given":"María"},{"family":"Oyón","given":"Daniel"},{"family":"González","given":"Belén"},{"family":"Fernandez-Urién","given":"Ignacio"},{"family":"Carrascosa","given":"Juan"},{"family":"Bolado","given":"Federico"},{"family":"Zabalza","given":"Lucía"},{"family":"Arechederra","given":"María"},{"family":"Alvarez-Sola","given":"Gloria"},{"family":"Colyn","given":"Leticia"},{"family":"Latasa","given":"María U."},{"family":"Puchades-Carrasco","given":"Leonor"},{"family":"Pineda-Lucena","given":"Antonio"},{"family":"Iraburu","given":"María J."},{"family":"Iruarrizaga-Lejarreta","given":"Marta"},{"family":"Alonso","given":"Cristina"},{"family":"Sangro","given":"Bruno"},{"family":"Purroy","given":"Ana"},{"family":"Gil","given":"Isabel"},{"family":"Carmona","given":"Lorena"},{"family":"Cubero","given":"Francisco Javier"},{"family":"Martínez-Chantar","given":"María L."},{"family":"Banales","given":"Jesús M."},{"family":"Romero","given":"Marta R."},{"family":"Macias","given":"Rocio I.R."},{"family":"Monte","given":"Maria J."},{"family":"Marín","given":"Jose J. G."},{"family":"Vila","given":"Juan J."},{"family":"Corrales","given":"Fernando J."},{"family":"Berasain","given":"Carmen"},{"family":"Fernández-Barrena","given":"Maite G."},{"family":"Avila","given":"Matías A."}],"issued":{"date-parts":[["2020",6,21]]}}},{"id":264,"uris":["http://zotero.org/users/18222353/items/JXZDNFGY"],"itemData":{"id":264,"type":"article-journal","abstract":"3 T MRI and (1)H MRS were useful for quantitative investigation of the serial development of hepatobiliary changes in Opisthorchis viverrini infection in  hamsters, and the differential diagnosis of cholangiocacinoma (CCA) development  from bile duct changes and normal condition is unclear. In this study, we  investigated the serial development of hepatobiliary changes and CCAgenesis in O.  viverrini-infected and N-nitrosodimethylamine (NDMA) treated hamsters (ON group)  using 3 T MRI and (1)H MRS and the results were compared with those either in the  O. viverrini-infected group (OV group) and uninfected normal controls. In the ON  group, CCAs were first found at 9 weeks post-infection, with sizes of ~2 mm. The  typical MR signal characteristics of CCA were hypo- and occasionally isointensity  signal on T1-weighted images, and mild-moderate to hyper-intensity signal on  T2-weighted images compared to the liver parenchyma. T2-weighted images with fat  suppression revealed dilatation of the intra- and extrahepatic bile ducts, and  often defined the anatomical level of biliary obstruction, cystic lesions, liver  abscesses, and CCA which was starting seen of these noticeable abnormalities at 5  weeks onwards. The results of fibrosis grading using MR images showed a positive  correlation (r=0.90, P&lt;0.038 by Spearman's rank correlation test) with those of  the histopathological grading. In addition, 3.0 T (1)H MRS showed elevated  choline and decreased lipids levels in the liver tissues of the ON group. In  conclusion, MRI and (1)H MRS are useful for the quantitative investigation of the  serial development of hepatobilary changes and CCA in hamsters, and are  potentially useful as early diagnostic tools for CCA.","container-title":"Magnetic resonance imaging","DOI":"10.1016/j.mri.2015.06.022","ISSN":"1873-58</w:instrText>
            </w:r>
            <w:r>
              <w:rPr>
                <w:rFonts w:ascii="Times New Roman" w:eastAsia="SimSun" w:hAnsi="Times New Roman" w:cs="Times New Roman" w:hint="eastAsia"/>
                <w:color w:val="000000"/>
                <w:kern w:val="0"/>
                <w:sz w:val="15"/>
                <w:szCs w:val="15"/>
                <w14:ligatures w14:val="none"/>
              </w:rPr>
              <w:instrText xml:space="preserve">94 0730-725X","issue":"9","journalAbbreviation":"Magn Reson Imaging","language":"en-US","license":"Copyright © 2015 Elsevier Inc. All rights reserved.","note":"publisher-place: Netherlands\ntitleTranslation: </w:instrText>
            </w:r>
            <w:r>
              <w:rPr>
                <w:rFonts w:ascii="Times New Roman" w:eastAsia="SimSun" w:hAnsi="Times New Roman" w:cs="Times New Roman" w:hint="eastAsia"/>
                <w:color w:val="000000"/>
                <w:kern w:val="0"/>
                <w:sz w:val="15"/>
                <w:szCs w:val="15"/>
                <w14:ligatures w14:val="none"/>
              </w:rPr>
              <w:instrText>感染</w:instrText>
            </w:r>
            <w:r>
              <w:rPr>
                <w:rFonts w:ascii="Times New Roman" w:eastAsia="SimSun" w:hAnsi="Times New Roman" w:cs="Times New Roman" w:hint="eastAsia"/>
                <w:color w:val="000000"/>
                <w:kern w:val="0"/>
                <w:sz w:val="15"/>
                <w:szCs w:val="15"/>
                <w14:ligatures w14:val="none"/>
              </w:rPr>
              <w:instrText xml:space="preserve"> Opisthorchis viverrini </w:instrText>
            </w:r>
            <w:r>
              <w:rPr>
                <w:rFonts w:ascii="Times New Roman" w:eastAsia="SimSun" w:hAnsi="Times New Roman" w:cs="Times New Roman" w:hint="eastAsia"/>
                <w:color w:val="000000"/>
                <w:kern w:val="0"/>
                <w:sz w:val="15"/>
                <w:szCs w:val="15"/>
                <w14:ligatures w14:val="none"/>
              </w:rPr>
              <w:instrText>并用</w:instrText>
            </w:r>
            <w:r>
              <w:rPr>
                <w:rFonts w:ascii="Times New Roman" w:eastAsia="SimSun" w:hAnsi="Times New Roman" w:cs="Times New Roman" w:hint="eastAsia"/>
                <w:color w:val="000000"/>
                <w:kern w:val="0"/>
                <w:sz w:val="15"/>
                <w:szCs w:val="15"/>
                <w14:ligatures w14:val="none"/>
              </w:rPr>
              <w:instrText xml:space="preserve"> N-</w:instrText>
            </w:r>
            <w:r>
              <w:rPr>
                <w:rFonts w:ascii="Times New Roman" w:eastAsia="SimSun" w:hAnsi="Times New Roman" w:cs="Times New Roman" w:hint="eastAsia"/>
                <w:color w:val="000000"/>
                <w:kern w:val="0"/>
                <w:sz w:val="15"/>
                <w:szCs w:val="15"/>
                <w14:ligatures w14:val="none"/>
              </w:rPr>
              <w:instrText>亚硝基二甲胺治疗的仓鼠肝胆变化和胆管癌发展的</w:instrText>
            </w:r>
            <w:r>
              <w:rPr>
                <w:rFonts w:ascii="Times New Roman" w:eastAsia="SimSun" w:hAnsi="Times New Roman" w:cs="Times New Roman" w:hint="eastAsia"/>
                <w:color w:val="000000"/>
                <w:kern w:val="0"/>
                <w:sz w:val="15"/>
                <w:szCs w:val="15"/>
                <w14:ligatures w14:val="none"/>
              </w:rPr>
              <w:instrText xml:space="preserve"> MRI </w:instrText>
            </w:r>
            <w:r>
              <w:rPr>
                <w:rFonts w:ascii="Times New Roman" w:eastAsia="SimSun" w:hAnsi="Times New Roman" w:cs="Times New Roman" w:hint="eastAsia"/>
                <w:color w:val="000000"/>
                <w:kern w:val="0"/>
                <w:sz w:val="15"/>
                <w:szCs w:val="15"/>
                <w14:ligatures w14:val="none"/>
              </w:rPr>
              <w:instrText>和</w:instrText>
            </w:r>
            <w:r>
              <w:rPr>
                <w:rFonts w:ascii="Times New Roman" w:eastAsia="SimSun" w:hAnsi="Times New Roman" w:cs="Times New Roman" w:hint="eastAsia"/>
                <w:color w:val="000000"/>
                <w:kern w:val="0"/>
                <w:sz w:val="15"/>
                <w:szCs w:val="15"/>
                <w14:ligatures w14:val="none"/>
              </w:rPr>
              <w:instrText xml:space="preserve"> </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1</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 xml:space="preserve">H MRS </w:instrText>
            </w:r>
            <w:r>
              <w:rPr>
                <w:rFonts w:ascii="Times New Roman" w:eastAsia="SimSun" w:hAnsi="Times New Roman" w:cs="Times New Roman" w:hint="eastAsia"/>
                <w:color w:val="000000"/>
                <w:kern w:val="0"/>
                <w:sz w:val="15"/>
                <w:szCs w:val="15"/>
                <w14:ligatures w14:val="none"/>
              </w:rPr>
              <w:instrText>结果。</w:instrText>
            </w:r>
            <w:r>
              <w:rPr>
                <w:rFonts w:ascii="Times New Roman" w:eastAsia="SimSun" w:hAnsi="Times New Roman" w:cs="Times New Roman" w:hint="eastAsia"/>
                <w:color w:val="000000"/>
                <w:kern w:val="0"/>
                <w:sz w:val="15"/>
                <w:szCs w:val="15"/>
                <w14:ligatures w14:val="none"/>
              </w:rPr>
              <w:instrText>\nTLDR: MRI and (1)H MRS are useful for the quantitative investigation of the serial development of hepatobilary changes and CCA in hamsters, and are potentially useful as early diagnostic tools for CCA.","page":"1146-1155","PMID"</w:instrText>
            </w:r>
            <w:r>
              <w:rPr>
                <w:rFonts w:ascii="Times New Roman" w:eastAsia="SimSun" w:hAnsi="Times New Roman" w:cs="Times New Roman"/>
                <w:color w:val="000000"/>
                <w:kern w:val="0"/>
                <w:sz w:val="15"/>
                <w:szCs w:val="15"/>
                <w14:ligatures w14:val="none"/>
              </w:rPr>
              <w:instrText xml:space="preserve">:"26117689","title":"MRI and (1)H MRS findings of hepatobilary changes and cholangiocarcinoma development in hamsters infected with Opisthorchis viverrini and treated with  N-nitrosodimethylamine.","volume":"33","author":[{"family":"Hanpanich","given":"Petcharakorn"},{"family":"Pinlaor","given":"Somchai"},{"family":"Charoensuk","given":"Lakhanawan"},{"family":"Yongvanit","given":"Puangrat"},{"family":"Chamgramol","given":"Yaovalux"},{"family":"Pairojkul","given":"Chawalit"},{"family":"Mairiang","given":"Eimorn"}],"issued":{"date-parts":[["2015",11]]}}}],"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[38,39]</w:t>
            </w:r>
            <w:r>
              <w:rPr>
                <w:rFonts w:ascii="Times New Roman" w:eastAsia="SimSun" w:hAnsi="Times New Roman" w:cs="Times New Roman"/>
                <w:color w:val="000000"/>
                <w:kern w:val="0"/>
                <w:sz w:val="15"/>
                <w:szCs w:val="15"/>
                <w14:ligatures w14:val="none"/>
              </w:rPr>
              <w:fldChar w:fldCharType="end"/>
            </w:r>
          </w:p>
        </w:tc>
      </w:tr>
      <w:tr w:rsidR="00427052" w:rsidRPr="00186A4D" w14:paraId="1681FF18" w14:textId="77777777" w:rsidTr="00281326">
        <w:trPr>
          <w:trHeight w:val="56"/>
        </w:trPr>
        <w:tc>
          <w:tcPr>
            <w:tcW w:w="3754" w:type="dxa"/>
            <w:vAlign w:val="center"/>
            <w:hideMark/>
          </w:tcPr>
          <w:p w14:paraId="1253A4DA"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MALDI-MSI-based spatial lipid mapping</w:t>
            </w:r>
          </w:p>
        </w:tc>
        <w:tc>
          <w:tcPr>
            <w:tcW w:w="3402" w:type="dxa"/>
            <w:vAlign w:val="center"/>
            <w:hideMark/>
          </w:tcPr>
          <w:p w14:paraId="2DE7FC6A"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May localize lipid metabolic heterogeneity in tumor–stroma regions</w:t>
            </w:r>
          </w:p>
        </w:tc>
        <w:tc>
          <w:tcPr>
            <w:tcW w:w="2591" w:type="dxa"/>
            <w:vAlign w:val="center"/>
            <w:hideMark/>
          </w:tcPr>
          <w:p w14:paraId="37CB3158"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Experimental spatial metabolite profiling; limited direct clinical CCA validation</w:t>
            </w:r>
          </w:p>
        </w:tc>
        <w:tc>
          <w:tcPr>
            <w:tcW w:w="851" w:type="dxa"/>
            <w:vAlign w:val="center"/>
            <w:hideMark/>
          </w:tcPr>
          <w:p w14:paraId="0930D7B6" w14:textId="61694A4B"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C–E</w:t>
            </w:r>
          </w:p>
        </w:tc>
        <w:tc>
          <w:tcPr>
            <w:tcW w:w="810" w:type="dxa"/>
            <w:vAlign w:val="center"/>
            <w:hideMark/>
          </w:tcPr>
          <w:p w14:paraId="31D01352" w14:textId="345B48C9" w:rsidR="00427052" w:rsidRPr="00186A4D" w:rsidRDefault="009F0542"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{"citationID":"fNIIc5Tj","properties":{"unsorted":false,"formattedCitation":"[40]","plainCitation":"[40]","noteIndex":0},"citationItems":[{"id":87,"uris":["http://zotero.org/users/18222353/items/Y4DTUH89"],"itemData":{"id":87,"type":"article-journal","abstract":"The development of spatial multiomics technologies, particularly matrix-assisted laser desorption/ionization mass spectrometry imaging (MALDI-MSI), has  revolutionized our ability to map metabolic processes at single-cell resolution.  However, the current techniques face challenges in minimizing matrix  interferences and achieving comprehensive metabolite detection across multiple  ionization modes. In this study, we present a novel dual-modal MSI workflow that  leverages the pairing of 1,5-diaminonaphthalene (DAN) and its hydrochloric salt  (DAN-HCl) matrices for sequential detection in positive- and negative-ion modes,  respectively. This approach significantly enhanced metabolite coverage, spanning  both lipid-based and nonlipid small molecules, while eliminating the need for  solvent cleaning steps. Applied to a coculture of cholangiocarcinoma (CCLP1) and  hepatic stellate (LX2) cells, the workflow revealed significant metabolic  distinctions, including differential accumulation of glycerolipids and  energy-related metabolites, highlighting the unique metabolic profiles of each  cell type. Additionally, several unidentified metabolites were detected,  indicating the potential to discover novel metabolic variations. These findings  establish our method as a robust tool for single-cell spatial metabolomics with  broad applicability in studying complex cellular interactions and advancing both  research and clinical applications.","container-title":"Analytical chemistry","DOI":"10.1021/acs.analchem.4c05480","ISSN":"1520-6882 0003-2700","issue":"16","journalAbbreviation":"Anal Chem","language":"en-US","note":"publisher-place: United States\nTLDR: A novel dual-modal MSI workflow that leverages the pairing of 1,5-diaminonaphthalene (DAN) and its hydrochloric salt (DAN-HCl) matrices for sequential detection in positive- and negative-ion modes, respectively is presented, establishing the method as a robust tool for single-cell spatial metabolomics with broad applicabilit</w:instrText>
            </w:r>
            <w:r>
              <w:rPr>
                <w:rFonts w:ascii="Times New Roman" w:eastAsia="SimSun" w:hAnsi="Times New Roman" w:cs="Times New Roman" w:hint="eastAsia"/>
                <w:color w:val="000000"/>
                <w:kern w:val="0"/>
                <w:sz w:val="15"/>
                <w:szCs w:val="15"/>
                <w14:ligatures w14:val="none"/>
              </w:rPr>
              <w:instrText xml:space="preserve">y in studying complex cellular interactions and advancing both research and clinical applications.\ntitleTranslation: </w:instrText>
            </w:r>
            <w:r>
              <w:rPr>
                <w:rFonts w:ascii="Times New Roman" w:eastAsia="SimSun" w:hAnsi="Times New Roman" w:cs="Times New Roman" w:hint="eastAsia"/>
                <w:color w:val="000000"/>
                <w:kern w:val="0"/>
                <w:sz w:val="15"/>
                <w:szCs w:val="15"/>
                <w14:ligatures w14:val="none"/>
              </w:rPr>
              <w:instrText>通过双模态</w:instrText>
            </w:r>
            <w:r>
              <w:rPr>
                <w:rFonts w:ascii="Times New Roman" w:eastAsia="SimSun" w:hAnsi="Times New Roman" w:cs="Times New Roman" w:hint="eastAsia"/>
                <w:color w:val="000000"/>
                <w:kern w:val="0"/>
                <w:sz w:val="15"/>
                <w:szCs w:val="15"/>
                <w14:ligatures w14:val="none"/>
              </w:rPr>
              <w:instrText xml:space="preserve"> MALDI-</w:instrText>
            </w:r>
            <w:r>
              <w:rPr>
                <w:rFonts w:ascii="Times New Roman" w:eastAsia="SimSun" w:hAnsi="Times New Roman" w:cs="Times New Roman" w:hint="eastAsia"/>
                <w:color w:val="000000"/>
                <w:kern w:val="0"/>
                <w:sz w:val="15"/>
                <w:szCs w:val="15"/>
                <w14:ligatures w14:val="none"/>
              </w:rPr>
              <w:instrText>质谱成像在单细胞系统中进行全面的代谢物分析。</w:instrText>
            </w:r>
            <w:r>
              <w:rPr>
                <w:rFonts w:ascii="Times New Roman" w:eastAsia="SimSun" w:hAnsi="Times New Roman" w:cs="Times New Roman" w:hint="eastAsia"/>
                <w:color w:val="000000"/>
                <w:kern w:val="0"/>
                <w:sz w:val="15"/>
                <w:szCs w:val="15"/>
                <w14:ligatures w14:val="none"/>
              </w:rPr>
              <w:instrText>","page":"8729-8737","PMID":"40237634","title":"Comprehensive Metabolite Profiling in Single-Cell Syste</w:instrText>
            </w:r>
            <w:r>
              <w:rPr>
                <w:rFonts w:ascii="Times New Roman" w:eastAsia="SimSun" w:hAnsi="Times New Roman" w:cs="Times New Roman"/>
                <w:color w:val="000000"/>
                <w:kern w:val="0"/>
                <w:sz w:val="15"/>
                <w:szCs w:val="15"/>
                <w14:ligatures w14:val="none"/>
              </w:rPr>
              <w:instrText xml:space="preserve">ms via Dual-Modal MALDI-Mass Spectrometry Imaging.","volume":"97","author":[{"family":"Yuan","given":"Jie"},{"family":"Li","given":"Xiafei"},{"family":"Shen","given":"Xinxin"},{"family":"Xiong","given":"Pei"},{"family":"Zhu","given":"Nanlin"},{"family":"Ye","given":"Yang"},{"family":"Liu","given":"Jia"}],"issued":{"date-parts":[["2025",4,29]]}}}],"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9F0542">
              <w:rPr>
                <w:rFonts w:ascii="Times New Roman" w:hAnsi="Times New Roman" w:cs="Times New Roman"/>
                <w:sz w:val="15"/>
              </w:rPr>
              <w:t>[40]</w:t>
            </w:r>
            <w:r>
              <w:rPr>
                <w:rFonts w:ascii="Times New Roman" w:eastAsia="SimSun" w:hAnsi="Times New Roman" w:cs="Times New Roman"/>
                <w:color w:val="000000"/>
                <w:kern w:val="0"/>
                <w:sz w:val="15"/>
                <w:szCs w:val="15"/>
                <w14:ligatures w14:val="none"/>
              </w:rPr>
              <w:fldChar w:fldCharType="end"/>
            </w:r>
          </w:p>
        </w:tc>
      </w:tr>
      <w:tr w:rsidR="00427052" w:rsidRPr="00186A4D" w14:paraId="4EF6C124" w14:textId="77777777" w:rsidTr="00281326">
        <w:trPr>
          <w:trHeight w:val="56"/>
        </w:trPr>
        <w:tc>
          <w:tcPr>
            <w:tcW w:w="3754" w:type="dxa"/>
            <w:vAlign w:val="center"/>
            <w:hideMark/>
          </w:tcPr>
          <w:p w14:paraId="628B9A5D"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PLA2 family and phospholipid-derived signaling</w:t>
            </w:r>
          </w:p>
        </w:tc>
        <w:tc>
          <w:tcPr>
            <w:tcW w:w="3402" w:type="dxa"/>
            <w:vAlign w:val="center"/>
            <w:hideMark/>
          </w:tcPr>
          <w:p w14:paraId="20ADD3C1"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May regulate phospholipid remodeling, PGE2/STAT3 signaling, metastasis, and immune modulation</w:t>
            </w:r>
          </w:p>
        </w:tc>
        <w:tc>
          <w:tcPr>
            <w:tcW w:w="2591" w:type="dxa"/>
            <w:vAlign w:val="center"/>
            <w:hideMark/>
          </w:tcPr>
          <w:p w14:paraId="47A1512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Bioinformatic/clinical association and mechanistic studies</w:t>
            </w:r>
          </w:p>
        </w:tc>
        <w:tc>
          <w:tcPr>
            <w:tcW w:w="851" w:type="dxa"/>
            <w:vAlign w:val="center"/>
            <w:hideMark/>
          </w:tcPr>
          <w:p w14:paraId="12B32E4C" w14:textId="0A200B8B"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C–D</w:t>
            </w:r>
          </w:p>
        </w:tc>
        <w:tc>
          <w:tcPr>
            <w:tcW w:w="810" w:type="dxa"/>
            <w:vAlign w:val="center"/>
            <w:hideMark/>
          </w:tcPr>
          <w:p w14:paraId="7F03C703" w14:textId="0E4CD07A" w:rsidR="00427052" w:rsidRPr="00186A4D" w:rsidRDefault="003E26EB"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fuN37BuD","properties":{"unsorted":false,"formattedCitation":"[41,42]","plainCitation":"[41,42]","noteIndex":0},"citationItems":[{"id":121,"uris":["http://zotero.org/users/18222353/items/A7QKZWJ6"],"itemData":{"id":121,"type":"article-journal","abstract":"BACKGROUND: Phospholipase A2 (PLA2) enzymes are pivotal in various biological processes, such as lipid mediator production, membrane remodeling, bioenergetics,  and maintaining the body surface barrier. Notably, these enzymes play a  significant role in the development of diverse tumors. AIM: To systematically and  comprehensively explore the expression of the PLA2 family genes and their  potential implications in cholangiocarcinoma (CCA). METHODS: We conducted an  analysis of five CCA datasets from The Cancer Genome Atlas and the Gene  Expression Omnibus. The study identified differentially expressed genes between  tumor tissues and adjacent normal tissues, with a focus on PLA2G2A and PLA2G12B.  Gene Set Enrichment Analysis was utilized to pinpoint associated pathways.  Moreover, relevant hub genes and microRNAs for PLA2G2A and PLA2G12B were  predicted, and their correlation with the prognosis of CCA was evaluated.  RESULTS: PLA2G2A and PLA2G12B were discerned as differentially expressed in CCA,  manifesting significant variations in expression levels in urine and serum  between CCA patients and healthy individuals. Elevated expression of PLA2G2A was  correlated with poorer overall survival in CCA patients. Additionally, the study  delineated pathways and miRNAs associated with these genes. CONCLUSION: Our  findings suggest that PLA2G2A and PLA2G12B may serve as novel potential  diagnostic and prognostic markers for CCA. The increased levels of these genes in  biological fluids could be employed as non-invasive markers for CCA, and their  expression levels are indicative of prognosis, underscoring their potential  utility in clinical settings.","container-title":"World journal of gastrointestinal surgery","DOI":"10.4240/wjgs.v16.i2.289","ISSN":"1948-9366","issue":"2","journalAbbreviation":"World J Gastrointest Surg","language":"en-US","license":"©The Author(s) 2024. Published by Baishideng Publishing Group Inc. All rights reserved.","note":"publisher-place:</w:instrText>
            </w:r>
            <w:r>
              <w:rPr>
                <w:rFonts w:ascii="Times New Roman" w:eastAsia="SimSun" w:hAnsi="Times New Roman" w:cs="Times New Roman" w:hint="eastAsia"/>
                <w:color w:val="000000"/>
                <w:kern w:val="0"/>
                <w:sz w:val="15"/>
                <w:szCs w:val="15"/>
                <w14:ligatures w14:val="none"/>
              </w:rPr>
              <w:instrText xml:space="preserve"> United States\ntitleTranslation: </w:instrText>
            </w:r>
            <w:r>
              <w:rPr>
                <w:rFonts w:ascii="Times New Roman" w:eastAsia="SimSun" w:hAnsi="Times New Roman" w:cs="Times New Roman" w:hint="eastAsia"/>
                <w:color w:val="000000"/>
                <w:kern w:val="0"/>
                <w:sz w:val="15"/>
                <w:szCs w:val="15"/>
                <w14:ligatures w14:val="none"/>
              </w:rPr>
              <w:instrText>磷脂酶</w:instrText>
            </w:r>
            <w:r>
              <w:rPr>
                <w:rFonts w:ascii="Times New Roman" w:eastAsia="SimSun" w:hAnsi="Times New Roman" w:cs="Times New Roman" w:hint="eastAsia"/>
                <w:color w:val="000000"/>
                <w:kern w:val="0"/>
                <w:sz w:val="15"/>
                <w:szCs w:val="15"/>
                <w14:ligatures w14:val="none"/>
              </w:rPr>
              <w:instrText xml:space="preserve"> A2 </w:instrText>
            </w:r>
            <w:r>
              <w:rPr>
                <w:rFonts w:ascii="Times New Roman" w:eastAsia="SimSun" w:hAnsi="Times New Roman" w:cs="Times New Roman" w:hint="eastAsia"/>
                <w:color w:val="000000"/>
                <w:kern w:val="0"/>
                <w:sz w:val="15"/>
                <w:szCs w:val="15"/>
                <w14:ligatures w14:val="none"/>
              </w:rPr>
              <w:instrText>酶</w:instrText>
            </w:r>
            <w:r>
              <w:rPr>
                <w:rFonts w:ascii="Times New Roman" w:eastAsia="SimSun" w:hAnsi="Times New Roman" w:cs="Times New Roman" w:hint="eastAsia"/>
                <w:color w:val="000000"/>
                <w:kern w:val="0"/>
                <w:sz w:val="15"/>
                <w:szCs w:val="15"/>
                <w14:ligatures w14:val="none"/>
              </w:rPr>
              <w:instrText>PLA2G2A</w:instrText>
            </w:r>
            <w:r>
              <w:rPr>
                <w:rFonts w:ascii="Times New Roman" w:eastAsia="SimSun" w:hAnsi="Times New Roman" w:cs="Times New Roman" w:hint="eastAsia"/>
                <w:color w:val="000000"/>
                <w:kern w:val="0"/>
                <w:sz w:val="15"/>
                <w:szCs w:val="15"/>
                <w14:ligatures w14:val="none"/>
              </w:rPr>
              <w:instrText>和</w:instrText>
            </w:r>
            <w:r>
              <w:rPr>
                <w:rFonts w:ascii="Times New Roman" w:eastAsia="SimSun" w:hAnsi="Times New Roman" w:cs="Times New Roman" w:hint="eastAsia"/>
                <w:color w:val="000000"/>
                <w:kern w:val="0"/>
                <w:sz w:val="15"/>
                <w:szCs w:val="15"/>
                <w14:ligatures w14:val="none"/>
              </w:rPr>
              <w:instrText>PLA2G12B</w:instrText>
            </w:r>
            <w:r>
              <w:rPr>
                <w:rFonts w:ascii="Times New Roman" w:eastAsia="SimSun" w:hAnsi="Times New Roman" w:cs="Times New Roman" w:hint="eastAsia"/>
                <w:color w:val="000000"/>
                <w:kern w:val="0"/>
                <w:sz w:val="15"/>
                <w:szCs w:val="15"/>
                <w14:ligatures w14:val="none"/>
              </w:rPr>
              <w:instrText>胆管癌的潜在诊断和预后生物标志物。</w:instrText>
            </w:r>
            <w:r>
              <w:rPr>
                <w:rFonts w:ascii="Times New Roman" w:eastAsia="SimSun" w:hAnsi="Times New Roman" w:cs="Times New Roman" w:hint="eastAsia"/>
                <w:color w:val="000000"/>
                <w:kern w:val="0"/>
                <w:sz w:val="15"/>
                <w:szCs w:val="15"/>
                <w14:ligatures w14:val="none"/>
              </w:rPr>
              <w:instrText>","page":"289-306","PMID":"38463362","PMCID":"PMC10921223","title":"Phospholipase A2 enzymes PLA2G2A and PLA2G12B as potential diagnostic and prognostic biomarkers in cholangiocarc</w:instrText>
            </w:r>
            <w:r>
              <w:rPr>
                <w:rFonts w:ascii="Times New Roman" w:eastAsia="SimSun" w:hAnsi="Times New Roman" w:cs="Times New Roman"/>
                <w:color w:val="000000"/>
                <w:kern w:val="0"/>
                <w:sz w:val="15"/>
                <w:szCs w:val="15"/>
                <w14:ligatures w14:val="none"/>
              </w:rPr>
              <w:instrText>inoma.","volume":"16","author":[{"family":"Qiu","given":"Chen"},{"family":"Xiang","given":"Yu-Kai"},{"family":"Da","given":"Xuan-Bo"},{"family":"Zhang","given":"Hong-Lei"},{"family":"Kong","given":"Xiang-Yu"},{"family":"Hou","given":"Nian-Zong"},{"family":"Zhang","given":"Cheng"},{"family":"Tian","given":"Fu-Zhou"},{"family":"Yang","given":"Yu-Long"}],"issued":{"date-parts":[["2024",2,27]]}}},{"id":207,"uris":["http://zotero.org/users/18222353/items/CZJLY645"],"itemData":{"id":207,"type":"article-journal","abstract":"BACKGROUND: Cholangiocarcinoma (CCA), consisting of intrahepatic (IHCCA), perihilar (PHCCA), and distal (DCCA) CCA, is a type of highly aggressive  malignancy with a very dismal prognosis. Potential biomarkers and drug targets of  CCA are urgently needed. As a new member of the Annexin (ANXA) family, the role  of ANXA10 in the progression and prognosis of CCA is unknown. METHODS: Potential  PHCCA biomarkers were screened by transcriptome sequencing of 5 pairs of PHCCA  and adjacent tissues. The clinical significance of ANXA10 was evaluated by  analyzing its correlation with clinicopathological variables, and the prognostic  value of ANXA10 was evaluated with univariate and multivariate analyses. The  function of ANXA10 in the epithelial-mesenchymal transition (EMT), proliferation,  invasion and metastasis was detected with in vitro and in vivo experiments.  Moreover, we screened the key molecule in ANXA10-induced CCA progression by mRNA  sequencing and evaluated the correlation between PLA2G4A and ANXA10. The effect  of PLA2G4A downstream signaling, including Cyclooxygenase 2, Prostaglandin  E2(PGE2) and Signal transducer and activator of transcription 3(STAT3), on EMT  and metastasis was further detected with in vitro and in vivo experiments.  FINDINGS: ANXA10 expression was upregulated in PHCCA and DCCA but not in IHCCA.  High ANXA10 expression was significantly associated with poor tumor  differentiation and prognosis. ANXA10 promoted the proliferation, migration and  invasion of the PHCCA cells. PLA2G4A expression was regulated by ANXA10 and high  PLA2G4A predicted poor prognosis in PHCCA and DCCA. ANXA10 facilitated EMT and  promoted metastasis by upregulating PLA2G4A expression, thus increasing PGE2  levels and activating STAT3. INTERPRETATION: ANXA10 was an independent prognostic  biomarker of PHCCA and DCCA but not IHCCA. ANXA10 promoted the progression of  PHCCA and facilitated metastasis by promoting the EMT process via the  PLA2G4A/PGE2/STAT3 pathway. ANXA10, PLA2G4A and their downstream molecules, such  as COX2 and PGE2, may be promising drug targets of PHCCA and DCCA.","container-title":"EBioMedicine","DOI":"10.1016/j.ebiom.2019.08.062","ISSN":"2352-3964","journalAbbreviation":"EBioMedicine","language":"en-US","license":"Copyrigh</w:instrText>
            </w:r>
            <w:r>
              <w:rPr>
                <w:rFonts w:ascii="Times New Roman" w:eastAsia="SimSun" w:hAnsi="Times New Roman" w:cs="Times New Roman" w:hint="eastAsia"/>
                <w:color w:val="000000"/>
                <w:kern w:val="0"/>
                <w:sz w:val="15"/>
                <w:szCs w:val="15"/>
                <w14:ligatures w14:val="none"/>
              </w:rPr>
              <w:instrText xml:space="preserve">t © 2019. Published by Elsevier B.V.","note":"publisher-place: Netherlands\ntitleTranslation: Annexin10 </w:instrText>
            </w:r>
            <w:r>
              <w:rPr>
                <w:rFonts w:ascii="Times New Roman" w:eastAsia="SimSun" w:hAnsi="Times New Roman" w:cs="Times New Roman" w:hint="eastAsia"/>
                <w:color w:val="000000"/>
                <w:kern w:val="0"/>
                <w:sz w:val="15"/>
                <w:szCs w:val="15"/>
                <w14:ligatures w14:val="none"/>
              </w:rPr>
              <w:instrText>通过</w:instrText>
            </w:r>
            <w:r>
              <w:rPr>
                <w:rFonts w:ascii="Times New Roman" w:eastAsia="SimSun" w:hAnsi="Times New Roman" w:cs="Times New Roman" w:hint="eastAsia"/>
                <w:color w:val="000000"/>
                <w:kern w:val="0"/>
                <w:sz w:val="15"/>
                <w:szCs w:val="15"/>
                <w14:ligatures w14:val="none"/>
              </w:rPr>
              <w:instrText xml:space="preserve"> PLA2G4A/PGE2/STAT3 </w:instrText>
            </w:r>
            <w:r>
              <w:rPr>
                <w:rFonts w:ascii="Times New Roman" w:eastAsia="SimSun" w:hAnsi="Times New Roman" w:cs="Times New Roman" w:hint="eastAsia"/>
                <w:color w:val="000000"/>
                <w:kern w:val="0"/>
                <w:sz w:val="15"/>
                <w:szCs w:val="15"/>
                <w14:ligatures w14:val="none"/>
              </w:rPr>
              <w:instrText>途径促进</w:instrText>
            </w:r>
            <w:r>
              <w:rPr>
                <w:rFonts w:ascii="Times New Roman" w:eastAsia="SimSun" w:hAnsi="Times New Roman" w:cs="Times New Roman" w:hint="eastAsia"/>
                <w:color w:val="000000"/>
                <w:kern w:val="0"/>
                <w:sz w:val="15"/>
                <w:szCs w:val="15"/>
                <w14:ligatures w14:val="none"/>
              </w:rPr>
              <w:instrText xml:space="preserve"> EMT </w:instrText>
            </w:r>
            <w:r>
              <w:rPr>
                <w:rFonts w:ascii="Times New Roman" w:eastAsia="SimSun" w:hAnsi="Times New Roman" w:cs="Times New Roman" w:hint="eastAsia"/>
                <w:color w:val="000000"/>
                <w:kern w:val="0"/>
                <w:sz w:val="15"/>
                <w:szCs w:val="15"/>
                <w14:ligatures w14:val="none"/>
              </w:rPr>
              <w:instrText>来促进肝外胆管癌转移。</w:instrText>
            </w:r>
            <w:r>
              <w:rPr>
                <w:rFonts w:ascii="Times New Roman" w:eastAsia="SimSun" w:hAnsi="Times New Roman" w:cs="Times New Roman" w:hint="eastAsia"/>
                <w:color w:val="000000"/>
                <w:kern w:val="0"/>
                <w:sz w:val="15"/>
                <w:szCs w:val="15"/>
                <w14:ligatures w14:val="none"/>
              </w:rPr>
              <w:instrText xml:space="preserve">\nTLDR: ANXA10, PLA2G4A and their downstream molecules, such as COX2 and PGE2, may be promising drug targets </w:instrText>
            </w:r>
            <w:r>
              <w:rPr>
                <w:rFonts w:ascii="Times New Roman" w:eastAsia="SimSun" w:hAnsi="Times New Roman" w:cs="Times New Roman"/>
                <w:color w:val="000000"/>
                <w:kern w:val="0"/>
                <w:sz w:val="15"/>
                <w:szCs w:val="15"/>
                <w14:ligatures w14:val="none"/>
              </w:rPr>
              <w:instrText xml:space="preserve">of PHCCA and DCCA.","page":"142-155","PMID":"31492557","PMCID":"PMC6796529","title":"Annexin10 promotes extrahepatic cholangiocarcinoma metastasis by facilitating EMT via PLA2G4A/PGE2/STAT3 pathway.","volume":"47","author":[{"family":"Sun","given":"Rongqi"},{"family":"Liu","given":"Zengli"},{"family":"Qiu","given":"Bo"},{"family":"Chen","given":"Tianli"},{"family":"Li","given":"Zhipeng"},{"family":"Zhang","given":"Xiaoming"},{"family":"Xu","given":"Yunfei"},{"family":"Zhang","given":"Zongli"}],"issued":{"date-parts":[["2019",9]]}}}],"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26EB">
              <w:rPr>
                <w:rFonts w:ascii="Times New Roman" w:hAnsi="Times New Roman" w:cs="Times New Roman"/>
                <w:sz w:val="15"/>
              </w:rPr>
              <w:t>[41,42]</w:t>
            </w:r>
            <w:r>
              <w:rPr>
                <w:rFonts w:ascii="Times New Roman" w:eastAsia="SimSun" w:hAnsi="Times New Roman" w:cs="Times New Roman"/>
                <w:color w:val="000000"/>
                <w:kern w:val="0"/>
                <w:sz w:val="15"/>
                <w:szCs w:val="15"/>
                <w14:ligatures w14:val="none"/>
              </w:rPr>
              <w:fldChar w:fldCharType="end"/>
            </w:r>
          </w:p>
        </w:tc>
      </w:tr>
      <w:tr w:rsidR="00427052" w:rsidRPr="00186A4D" w14:paraId="1D5C2D93" w14:textId="77777777" w:rsidTr="00281326">
        <w:trPr>
          <w:trHeight w:val="56"/>
        </w:trPr>
        <w:tc>
          <w:tcPr>
            <w:tcW w:w="3754" w:type="dxa"/>
            <w:vAlign w:val="center"/>
            <w:hideMark/>
          </w:tcPr>
          <w:p w14:paraId="4F78EC7A"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PI3K/AKT/mTOR lipid-associated downstream signaling</w:t>
            </w:r>
          </w:p>
        </w:tc>
        <w:tc>
          <w:tcPr>
            <w:tcW w:w="3402" w:type="dxa"/>
            <w:vAlign w:val="center"/>
            <w:hideMark/>
          </w:tcPr>
          <w:p w14:paraId="6D14DCA9"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Converges with lipid remodeling but is not lipid-specific</w:t>
            </w:r>
          </w:p>
        </w:tc>
        <w:tc>
          <w:tcPr>
            <w:tcW w:w="2591" w:type="dxa"/>
            <w:vAlign w:val="center"/>
            <w:hideMark/>
          </w:tcPr>
          <w:p w14:paraId="54621F27"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Evidence mainly extrapolated from other tumors and selected CCA preclinical studies</w:t>
            </w:r>
          </w:p>
        </w:tc>
        <w:tc>
          <w:tcPr>
            <w:tcW w:w="851" w:type="dxa"/>
            <w:vAlign w:val="center"/>
            <w:hideMark/>
          </w:tcPr>
          <w:p w14:paraId="5351FA67" w14:textId="3F0B4324"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E</w:t>
            </w:r>
          </w:p>
        </w:tc>
        <w:tc>
          <w:tcPr>
            <w:tcW w:w="810" w:type="dxa"/>
            <w:vAlign w:val="center"/>
            <w:hideMark/>
          </w:tcPr>
          <w:p w14:paraId="0B001617" w14:textId="0B102073" w:rsidR="00427052" w:rsidRPr="00186A4D" w:rsidRDefault="003E26EB"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MY2r9svu","properties":{"unsorted":false,"formattedCitation":"[43,44]","plainCitation":"[43,44]","noteIndex":0},"citationItems":[{"id":240,"uris":["http://zotero.org/users/18222353/items/74RT8NB8"],"itemData":{"id":240,"type":"article-journal","abstract":"Cholangiocarcinoma remains a challenging primary hepatobiliary malignancy with dismal prognosis. Photodynamic therapy (PDT),a less invasive treatment, has been  found to inhibit the proliferation and induce ferroptosis, apoptosis and necrosis  in other tumor cells in recent years. Regrettably, the role and exact molecule  mechanism of PDT is still incompletely clear in cholangiocarcinoma cells.  Ferroptosis is a novel regulated cell death(RCD), which is controlled by  glutathione peroxidase4(GPX4) with the characteristics of iron dependent and  excessive intracellular accumulation of lipid peroxides. This novel form of RCD  has attracted great attention as a potential new target in clinical oncology  during recent years. In this study, we observed that hypericin mediated  PDT(HY-PDT) could significantly inhibit the proliferation of the  cholangiocarcinoma cells and suppress migration and the epithelial mesenchymal  transition (EMT) as well. Then, we conducted transcriptome sequencing and  bioinformatics analysis and observed that HY-PDT was most likely involved in  ferroptosis, apoptosis, the EMT process and AKT/mTORC1 signaling pathways in  cholangiocarcinoma cells. Next, a series of in vitro and in vivo experiments were  performed to confirm that HY-PDT could trigger cholangiocarcinoma cells  ferroptosis through inhibiting the expression of GPX4 protein. In terms of  molecular mechanism, we found that HY-PDT induced ferroptosis by decreasing GPX4  expression via suppression of the AKT/mTORC1 signaling pathway. In addition, we  also found that HY-PDT inhibit cholangiocarcinoma cells migration and the EMT  process by inhibiting the AKT/mTORC1 pathway. Our study illustrated a new  mechanism of action for HY-PDT and might throw light on the individualized  precision therapy for cholangiocarcinoma patients.","container-title":"Translational oncology","DOI":"10.1016/j.tranon.2024.102234","ISSN":"1936-5233","journalAbbreviation":"Transl Oncol","language":"en-US",</w:instrText>
            </w:r>
            <w:r>
              <w:rPr>
                <w:rFonts w:ascii="Times New Roman" w:eastAsia="SimSun" w:hAnsi="Times New Roman" w:cs="Times New Roman" w:hint="eastAsia"/>
                <w:color w:val="000000"/>
                <w:kern w:val="0"/>
                <w:sz w:val="15"/>
                <w:szCs w:val="15"/>
                <w14:ligatures w14:val="none"/>
              </w:rPr>
              <w:instrText xml:space="preserve">"license":"Copyright © 2024. Published by Elsevier Inc.","note":"publisher-place: United States\ntitleTranslation: </w:instrText>
            </w:r>
            <w:r>
              <w:rPr>
                <w:rFonts w:ascii="Times New Roman" w:eastAsia="SimSun" w:hAnsi="Times New Roman" w:cs="Times New Roman" w:hint="eastAsia"/>
                <w:color w:val="000000"/>
                <w:kern w:val="0"/>
                <w:sz w:val="15"/>
                <w:szCs w:val="15"/>
                <w14:ligatures w14:val="none"/>
              </w:rPr>
              <w:instrText>金丝桃素介导的光动力疗法通过抑制胆管癌中的</w:instrText>
            </w:r>
            <w:r>
              <w:rPr>
                <w:rFonts w:ascii="Times New Roman" w:eastAsia="SimSun" w:hAnsi="Times New Roman" w:cs="Times New Roman" w:hint="eastAsia"/>
                <w:color w:val="000000"/>
                <w:kern w:val="0"/>
                <w:sz w:val="15"/>
                <w:szCs w:val="15"/>
                <w14:ligatures w14:val="none"/>
              </w:rPr>
              <w:instrText xml:space="preserve"> AKT/mTORC1/GPX4 </w:instrText>
            </w:r>
            <w:r>
              <w:rPr>
                <w:rFonts w:ascii="Times New Roman" w:eastAsia="SimSun" w:hAnsi="Times New Roman" w:cs="Times New Roman" w:hint="eastAsia"/>
                <w:color w:val="000000"/>
                <w:kern w:val="0"/>
                <w:sz w:val="15"/>
                <w:szCs w:val="15"/>
                <w14:ligatures w14:val="none"/>
              </w:rPr>
              <w:instrText>轴诱导铁死亡。</w:instrText>
            </w:r>
            <w:r>
              <w:rPr>
                <w:rFonts w:ascii="Times New Roman" w:eastAsia="SimSun" w:hAnsi="Times New Roman" w:cs="Times New Roman" w:hint="eastAsia"/>
                <w:color w:val="000000"/>
                <w:kern w:val="0"/>
                <w:sz w:val="15"/>
                <w:szCs w:val="15"/>
                <w14:ligatures w14:val="none"/>
              </w:rPr>
              <w:instrText>\nTLDR: A new mechanism of action for HY-PDT is illustrated and might throw light on the indivi</w:instrText>
            </w:r>
            <w:r>
              <w:rPr>
                <w:rFonts w:ascii="Times New Roman" w:eastAsia="SimSun" w:hAnsi="Times New Roman" w:cs="Times New Roman"/>
                <w:color w:val="000000"/>
                <w:kern w:val="0"/>
                <w:sz w:val="15"/>
                <w:szCs w:val="15"/>
                <w14:ligatures w14:val="none"/>
              </w:rPr>
              <w:instrText xml:space="preserve">dualized precision therapy for CCA patients and might throw light on the individualized precision therapy for CCA patients.","page":"102234","PMID":"39674093","PMCID":"PMC11700288","title":"Hypericin mediated photodynamic therapy induces ferroptosis via inhibiting the AKT/mTORC1/GPX4 axis in cholangiocarcinoma.","volume":"52","author":[{"family":"An","given":"Wei"},{"family":"Zhang","given":"Kai"},{"family":"Li","given":"Guangbing"},{"family":"Zheng","given":"Shunzhen"},{"family":"Cao","given":"Yukun"},{"family":"Liu","given":"Jun"}],"issued":{"date-parts":[["2025",2]]}}},{"id":84,"uris":["http://zotero.org/users/18222353/items/4I3J5MVF"],"itemData":{"id":84,"type":"article-journal","abstract":"BACKGROUND AND AIM: Cholangiocarcinoma (CCA) is usually diagnosed at a late stage, leading to treatment failure. Cannabidiol (CBD), exhibits diverse  anti-cancer effects in various cancers, offering avenues for improving CCA  treatment. This study investigated the effects of CBD on human CCA cells and the  underlying mechanisms in vitro and in vivo. EXPERIMENTAL PROCEDURE: The effects  of CBD on three CCA cell lines (KKU-213B, KKU-100, KKU-055) were assessed using  the SRB assay, clonogenic assay, cell cycle arrest, and 3D holotomography.  Morphological changes were examined using transmission electron microscopy, while  mitochondrial ROS levels and mitochondrial membrane potential were studied using  MitoSOX, JC-1, and DCFH-DA. Cellular senescence induction was evaluated via  SA-β-gal staining. Protein associatedwith autophagy and cellular senescence were  analyzed using Western blot and/or immunofluorescent assays. A xenograft model  demonstrated the anti-tumor activity of CBD and the induction of cellular  senescence through immunohistochemistry targeting PCNA, </w:instrText>
            </w:r>
            <w:r>
              <w:rPr>
                <w:rFonts w:ascii="Times New Roman" w:eastAsia="SimSun" w:hAnsi="Times New Roman" w:cs="Times New Roman" w:hint="eastAsia"/>
                <w:color w:val="000000"/>
                <w:kern w:val="0"/>
                <w:sz w:val="15"/>
                <w:szCs w:val="15"/>
                <w14:ligatures w14:val="none"/>
              </w:rPr>
              <w:instrText>β</w:instrText>
            </w:r>
            <w:r>
              <w:rPr>
                <w:rFonts w:ascii="Times New Roman" w:eastAsia="SimSun" w:hAnsi="Times New Roman" w:cs="Times New Roman"/>
                <w:color w:val="000000"/>
                <w:kern w:val="0"/>
                <w:sz w:val="15"/>
                <w:szCs w:val="15"/>
                <w14:ligatures w14:val="none"/>
              </w:rPr>
              <w:instrText>-gal, and p21. RESULTS  AND CONCLUSION: CBD effectively inhibited CCA cell proliferation, suppressed  colony formation and induced G0/G1 phase cell cycle arrest. Morphological  examination revealed lipid droplets/vesicles in CCA cell lines. CBD induced  autophagy by upregulating LC3BII, downregulating p62, and inhibiting the p-PI3K,  p-AKT, and p-mTOR pathways. Additionally, CBD disrupted mitochondrial homeostasis  by elevating ROS, reducing membrane potential, and induced cellular senescence by  increasing the expression of p53 and p21. In-vitro results were confirmed by  xenograft models. Overall, CBD suppresses proliferation and induces cell death,  autophagy and senescence in CCA cells via the PI3K/AKT/mTOR pathway, which  indicates a therapeutic option for CCA treatment.","container-title":"Journal of traditional and complementary medicine","DOI":"10.1016/j.jtcme.2024.04.007","ISSN":"2225-4110","issue":"6","journalAbbreviation":"J Tradit Complement Med","language":"en-US","license":"© 2024 Center fo</w:instrText>
            </w:r>
            <w:r>
              <w:rPr>
                <w:rFonts w:ascii="Times New Roman" w:eastAsia="SimSun" w:hAnsi="Times New Roman" w:cs="Times New Roman" w:hint="eastAsia"/>
                <w:color w:val="000000"/>
                <w:kern w:val="0"/>
                <w:sz w:val="15"/>
                <w:szCs w:val="15"/>
                <w14:ligatures w14:val="none"/>
              </w:rPr>
              <w:instrText xml:space="preserve">r Food and Biomolecules, National Taiwan University. Production and hosting by Elsevier Taiwan LLC.","note":"publisher-place: Netherlands\ntitleTranslation: </w:instrText>
            </w:r>
            <w:r>
              <w:rPr>
                <w:rFonts w:ascii="Times New Roman" w:eastAsia="SimSun" w:hAnsi="Times New Roman" w:cs="Times New Roman" w:hint="eastAsia"/>
                <w:color w:val="000000"/>
                <w:kern w:val="0"/>
                <w:sz w:val="15"/>
                <w:szCs w:val="15"/>
                <w14:ligatures w14:val="none"/>
              </w:rPr>
              <w:instrText>大麻二酚通过</w:instrText>
            </w:r>
            <w:r>
              <w:rPr>
                <w:rFonts w:ascii="Times New Roman" w:eastAsia="SimSun" w:hAnsi="Times New Roman" w:cs="Times New Roman" w:hint="eastAsia"/>
                <w:color w:val="000000"/>
                <w:kern w:val="0"/>
                <w:sz w:val="15"/>
                <w:szCs w:val="15"/>
                <w14:ligatures w14:val="none"/>
              </w:rPr>
              <w:instrText>PI3K/AKT/mTOR</w:instrText>
            </w:r>
            <w:r>
              <w:rPr>
                <w:rFonts w:ascii="Times New Roman" w:eastAsia="SimSun" w:hAnsi="Times New Roman" w:cs="Times New Roman" w:hint="eastAsia"/>
                <w:color w:val="000000"/>
                <w:kern w:val="0"/>
                <w:sz w:val="15"/>
                <w:szCs w:val="15"/>
                <w14:ligatures w14:val="none"/>
              </w:rPr>
              <w:instrText>途径抑制人胆管癌细胞的增殖并诱导细胞死亡、自噬和衰老。</w:instrText>
            </w:r>
            <w:r>
              <w:rPr>
                <w:rFonts w:ascii="Times New Roman" w:eastAsia="SimSun" w:hAnsi="Times New Roman" w:cs="Times New Roman" w:hint="eastAsia"/>
                <w:color w:val="000000"/>
                <w:kern w:val="0"/>
                <w:sz w:val="15"/>
                <w:szCs w:val="15"/>
                <w14:ligatures w14:val="none"/>
              </w:rPr>
              <w:instrText>\nTLDR: Overall, CBD suppresses proliferation and in</w:instrText>
            </w:r>
            <w:r>
              <w:rPr>
                <w:rFonts w:ascii="Times New Roman" w:eastAsia="SimSun" w:hAnsi="Times New Roman" w:cs="Times New Roman"/>
                <w:color w:val="000000"/>
                <w:kern w:val="0"/>
                <w:sz w:val="15"/>
                <w:szCs w:val="15"/>
                <w14:ligatures w14:val="none"/>
              </w:rPr>
              <w:instrText xml:space="preserve">duces cell death, autophagy and senescence in CCA cells via the PI3K/AKT/mTOR pathway, which indicates a therapeutic option for CCA treatment.","page":"622-634","PMID":"39850601","PMCID":"PMC11752120","title":"Cannabidiol suppresses proliferation and induces cell death, autophagy and senescence in human cholangiocarcinoma cells via the PI3K/AKT/mTOR pathway.","volume":"14","author":[{"family":"Pongking","given":"Thatsanapong"},{"family":"Intuyod","given":"Kitti"},{"family":"Thongpon","given":"Phonpilas"},{"family":"Thanan","given":"Raynoo"},{"family":"Sitthirach","given":"Chutima"},{"family":"Chaidee","given":"Apisit"},{"family":"Kongsintaweesuk","given":"Suppakrit"},{"family":"Klungsaeng","given":"Sirinapha"},{"family":"Hongsrichan","given":"Nuttanan"},{"family":"Sakonsinsiri","given":"Chadamas"},{"family":"Vaeteewoottacharn","given":"Kulthida"},{"family":"Kanokmedhakul","given":"Somdej"},{"family":"Pinlaor","given":"Somchai"},{"family":"Pinlaor","given":"Porntip"}],"issued":{"date-parts":[["2024",11]]}}}],"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26EB">
              <w:rPr>
                <w:rFonts w:ascii="Times New Roman" w:hAnsi="Times New Roman" w:cs="Times New Roman"/>
                <w:sz w:val="15"/>
              </w:rPr>
              <w:t>[43,44]</w:t>
            </w:r>
            <w:r>
              <w:rPr>
                <w:rFonts w:ascii="Times New Roman" w:eastAsia="SimSun" w:hAnsi="Times New Roman" w:cs="Times New Roman"/>
                <w:color w:val="000000"/>
                <w:kern w:val="0"/>
                <w:sz w:val="15"/>
                <w:szCs w:val="15"/>
                <w14:ligatures w14:val="none"/>
              </w:rPr>
              <w:fldChar w:fldCharType="end"/>
            </w:r>
          </w:p>
        </w:tc>
      </w:tr>
      <w:tr w:rsidR="00427052" w:rsidRPr="00186A4D" w14:paraId="5DA48040" w14:textId="77777777" w:rsidTr="00281326">
        <w:trPr>
          <w:trHeight w:val="56"/>
        </w:trPr>
        <w:tc>
          <w:tcPr>
            <w:tcW w:w="3754" w:type="dxa"/>
            <w:vAlign w:val="center"/>
            <w:hideMark/>
          </w:tcPr>
          <w:p w14:paraId="4E4DB5E6"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Lipid-based nanocarriers and vesicular delivery systems</w:t>
            </w:r>
          </w:p>
        </w:tc>
        <w:tc>
          <w:tcPr>
            <w:tcW w:w="3402" w:type="dxa"/>
            <w:vAlign w:val="center"/>
            <w:hideMark/>
          </w:tcPr>
          <w:p w14:paraId="16481133" w14:textId="32A8C3F1"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 xml:space="preserve">May improve </w:t>
            </w:r>
            <w:r>
              <w:rPr>
                <w:rFonts w:ascii="Times New Roman" w:eastAsia="SimSun" w:hAnsi="Times New Roman" w:cs="Times New Roman"/>
                <w:color w:val="000000"/>
                <w:kern w:val="0"/>
                <w:sz w:val="15"/>
                <w:szCs w:val="15"/>
                <w14:ligatures w14:val="none"/>
              </w:rPr>
              <w:t xml:space="preserve">the </w:t>
            </w:r>
            <w:r w:rsidRPr="00186A4D">
              <w:rPr>
                <w:rFonts w:ascii="Times New Roman" w:eastAsia="SimSun" w:hAnsi="Times New Roman" w:cs="Times New Roman"/>
                <w:color w:val="000000"/>
                <w:kern w:val="0"/>
                <w:sz w:val="15"/>
                <w:szCs w:val="15"/>
                <w14:ligatures w14:val="none"/>
              </w:rPr>
              <w:t>delivery of poorly soluble or nucleic-acid therapeutics</w:t>
            </w:r>
          </w:p>
        </w:tc>
        <w:tc>
          <w:tcPr>
            <w:tcW w:w="2591" w:type="dxa"/>
            <w:vAlign w:val="center"/>
            <w:hideMark/>
          </w:tcPr>
          <w:p w14:paraId="65C8806E"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Preclinical CCA drug-delivery studies</w:t>
            </w:r>
          </w:p>
        </w:tc>
        <w:tc>
          <w:tcPr>
            <w:tcW w:w="851" w:type="dxa"/>
            <w:vAlign w:val="center"/>
            <w:hideMark/>
          </w:tcPr>
          <w:p w14:paraId="57F3F0EC" w14:textId="2E1B8D74"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w:t>
            </w:r>
          </w:p>
        </w:tc>
        <w:tc>
          <w:tcPr>
            <w:tcW w:w="810" w:type="dxa"/>
            <w:vAlign w:val="center"/>
            <w:hideMark/>
          </w:tcPr>
          <w:p w14:paraId="446E7C54" w14:textId="20D7A3AB" w:rsidR="00427052" w:rsidRPr="00186A4D" w:rsidRDefault="003E26EB" w:rsidP="00281326">
            <w:pPr>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3mjWaPU5","properties":{"unsorted":false,"formattedCitation":"[45,46]","plainCitation":"[45,46]","noteIndex":0},"citationItems":[{"id":319,"uris":["http://zotero.org/users/18222353/items/P2I9DVBM"],"itemData":{"id":319,"type":"article-journal","abstract":"Background/Objectives: Natural substances have been a widely studied source of both pharmaceutical excipients and drugs. Berberine (BRB) is a benzylisoquinoline  alkaloid isolated from different plant sources. It possesses various  pharmacological properties including antibacterial, antitumor, antidiabetic,  neuroprotective, hepatoprotective, anti-inflammatory, antioxidant, etc. However,  the limited aqueous solubility hinders its application. Nanosized drug delivery  systems are an innovative approach for addressing various challenges regarding  drug delivery via different routes of administration. Their utilization could  improve the solubility of active constituents. Methods: A melt-emulsification and  ultrasonication technique was applied for the preparation of nanostructured lipid  carriers (NLCs). They were thoroughly physicochemically characterized by the  means of Dynamic Light Scattering, TEM, FTIR, DSC, TGA, and In Vitro release. The  In Vitro efficacy and safety were evaluated on cholangiocarcinoma, colorectal  adenocarcinoma, hepatocellular carcinoma, lymphoma, fibroblast, and cardioblast  cells, as well as rat liver microsomes by means of cytotoxicity assays and the  comet assay. Results: The obtained nanoparticles had a spherical shape and size  around 158.2 ± 1.8 nm with negative zeta potential. They revealed successful drug  loading and improved dissolution of berberine in physiological conditions. The In  Vitro safety studies showed that loading BRB in NLCs resulted in improved or  retained cytotoxicity to tumor cell lines and reduced cytotoxicity to normal cell  lines and liver microsomes. The NLC itself increased microsomal malondialdehyde  (MDA) and comet formation. Conclusions: A successful preparation of NLCs with  berberine is presented. The nanocarriers show favorable physicochemical and  biopharmaceutical properties. The cellular experiments show that the NLC loading  of berberine could improve its anticancer efficacy and safety. These findings  highlight the potential applicability of berberine in gastrointestinal neoplasms  and build the foundation for future practical translation.","container-title":"Pharmaceutics","DOI":"10.3390/pharmaceutics17030331","ISSN":"1999-4923","issue":"</w:instrText>
            </w:r>
            <w:r>
              <w:rPr>
                <w:rFonts w:ascii="Times New Roman" w:eastAsia="SimSun" w:hAnsi="Times New Roman" w:cs="Times New Roman" w:hint="eastAsia"/>
                <w:color w:val="000000"/>
                <w:kern w:val="0"/>
                <w:sz w:val="15"/>
                <w:szCs w:val="15"/>
                <w14:ligatures w14:val="none"/>
              </w:rPr>
              <w:instrText xml:space="preserve">3","journalAbbreviation":"Pharmaceutics","language":"en-US","note":"publisher-place: Switzerland\ntitleTranslation: </w:instrText>
            </w:r>
            <w:r>
              <w:rPr>
                <w:rFonts w:ascii="Times New Roman" w:eastAsia="SimSun" w:hAnsi="Times New Roman" w:cs="Times New Roman" w:hint="eastAsia"/>
                <w:color w:val="000000"/>
                <w:kern w:val="0"/>
                <w:sz w:val="15"/>
                <w:szCs w:val="15"/>
                <w14:ligatures w14:val="none"/>
              </w:rPr>
              <w:instrText>载有小檗碱的纳米结构脂质载体在胃肠道肿瘤中的安全性和抗肿瘤作用的体外评价。</w:instrText>
            </w:r>
            <w:r>
              <w:rPr>
                <w:rFonts w:ascii="Times New Roman" w:eastAsia="SimSun" w:hAnsi="Times New Roman" w:cs="Times New Roman" w:hint="eastAsia"/>
                <w:color w:val="000000"/>
                <w:kern w:val="0"/>
                <w:sz w:val="15"/>
                <w:szCs w:val="15"/>
                <w14:ligatures w14:val="none"/>
              </w:rPr>
              <w:instrText>\nTLDR: The cellular experiments show that the NLC loading of berberine could improve its anticancer e</w:instrText>
            </w:r>
            <w:r>
              <w:rPr>
                <w:rFonts w:ascii="Times New Roman" w:eastAsia="SimSun" w:hAnsi="Times New Roman" w:cs="Times New Roman"/>
                <w:color w:val="000000"/>
                <w:kern w:val="0"/>
                <w:sz w:val="15"/>
                <w:szCs w:val="15"/>
                <w14:ligatures w14:val="none"/>
              </w:rPr>
              <w:instrText xml:space="preserve">fficacy and safety and highlight the potential applicability of berberine in gastrointestinal neoplasms.","PMID":"40142995","PMCID":"PMC11945150","title":"In Vitro Evaluation of the Safety and Antineoplastic Effects in Gastrointestinal Tumors of Nanostructured Lipid Carriers Loaded with Berberine.","volume":"17","author":[{"family":"Stefanova","given":"Denitsa"},{"family":"Yordanov","given":"Yordan"},{"family":"Bogdanova","given":"Radostina"},{"family":"Voycheva","given":"Christina"},{"family":"Tzankov","given":"Borislav"},{"family":"Popova","given":"Teodora"},{"family":"Kondeva-Burdina","given":"Magdalena"},{"family":"Tzankova","given":"Virginia"},{"family":"Toncheva-Moncheva","given":"Natalia"},{"family":"Tzankova","given":"Diana"},{"family":"Slavkova","given":"Marta"}],"issued":{"date-parts":[["2025",3,4]]}}},{"id":100,"uris":["http://zotero.org/users/18222353/items/6JYHYNEB"],"itemData":{"id":100,"type":"article-journal","abstract":"BACKGROUND AND AIMS: Cholangiocarcinoma (CCA) is an aggressive malignancy arising from the biliary epithelium with limited therapeutic options and poor long-term  survival rates. To address the limitations of CCA treatment, we investigated  cell-targeted nanovesicles as a delivery platform for transcriptome-targeting  therapeutics. APPROACH AND RESULTS: Milk-derived nanovesicles were loaded with  short interfering RNAs targeting Yes-associated protein (YAP), the downstream  effector of the Hippo pathway; LCK, an upstream regulator of YAP; and tafazzin, a  protein critical for the integrity of the inner mitochondrial membrane. These  transcriptome-targeting nanovesicles were decorated with a lipid-coupled RNA  aptamer to epithelial cell adhesion molecule, including a tracking fluorophore.  In vitro studies were conducted using multiple CCA cell lines. In vivo studies  were performed using C57BL/6 and non-obese diabetic/severe combined  immunodeficient mice to evaluate delivery and efficacy in both an immunocompetent  syngeneic murine and a patient-derived xenograft model. We demonstrated that  transcriptome-targeting nanovesicles were selectively taken up by liver tumor  cells, which was augmented by the incorporation of a targeting aptamer, and that  milk-derived nanovesicles loaded with short interfering RNA effectively  downregulated target gene expression, both in vitro and in vivo. Downstream  effects of target gene inhibition were observed, including downregulation of  YAP-TEAD target genes and an increase in reactive oxygen species production at  the mitochondrial level. Administration of transcriptome-targeting nanovesicles  targeting YAP, LCK, and tafazzin inhibited CCA growth and further synergized with  chemotherapy in 2 preclinical CCA models. CONCLUSIONS: Herein, we show that  aptamer-directed, nanovesicle-mediated targeting of YAP, LCK, and tafazzin  potentiates chemosensitivity in 2 CCA models when delivered using aptamer-guided  milk-derived nanovesicles.","container-title":"Hepatology (Baltimore, Md.)","DOI":"10.1097/HEP.0000000000001256","ISSN":"1527-3350 </w:instrText>
            </w:r>
            <w:r>
              <w:rPr>
                <w:rFonts w:ascii="Times New Roman" w:eastAsia="SimSun" w:hAnsi="Times New Roman" w:cs="Times New Roman" w:hint="eastAsia"/>
                <w:color w:val="000000"/>
                <w:kern w:val="0"/>
                <w:sz w:val="15"/>
                <w:szCs w:val="15"/>
                <w14:ligatures w14:val="none"/>
              </w:rPr>
              <w:instrText xml:space="preserve">0270-9139","journalAbbreviation":"Hepatology","language":"en-US","license":"Copyright © 2025 The Author(s). Published by Wolters Kluwer Health, Inc.","note":"publisher-place: United States\ntitleTranslation: </w:instrText>
            </w:r>
            <w:r>
              <w:rPr>
                <w:rFonts w:ascii="Times New Roman" w:eastAsia="SimSun" w:hAnsi="Times New Roman" w:cs="Times New Roman" w:hint="eastAsia"/>
                <w:color w:val="000000"/>
                <w:kern w:val="0"/>
                <w:sz w:val="15"/>
                <w:szCs w:val="15"/>
                <w14:ligatures w14:val="none"/>
              </w:rPr>
              <w:instrText>适配体定向、纳米囊泡介导的临床前胆管癌模型中不可成药分子的靶向。</w:instrText>
            </w:r>
            <w:r>
              <w:rPr>
                <w:rFonts w:ascii="Times New Roman" w:eastAsia="SimSun" w:hAnsi="Times New Roman" w:cs="Times New Roman" w:hint="eastAsia"/>
                <w:color w:val="000000"/>
                <w:kern w:val="0"/>
                <w:sz w:val="15"/>
                <w:szCs w:val="15"/>
                <w14:ligatures w14:val="none"/>
              </w:rPr>
              <w:instrText>\nTLDR: It is s</w:instrText>
            </w:r>
            <w:r>
              <w:rPr>
                <w:rFonts w:ascii="Times New Roman" w:eastAsia="SimSun" w:hAnsi="Times New Roman" w:cs="Times New Roman"/>
                <w:color w:val="000000"/>
                <w:kern w:val="0"/>
                <w:sz w:val="15"/>
                <w:szCs w:val="15"/>
                <w14:ligatures w14:val="none"/>
              </w:rPr>
              <w:instrText xml:space="preserve">hown that aptamer-directed, nanovesicle-mediated targeting of YAP, LCK, and tafazzin potentiates chemosensitivity in two CCA models when delivered using aptamer-guided milk-derived nanovesicles.","PMID":"39928593","title":"Aptamer-directed, nanovesicle-mediated targeting of undruggable molecules in preclinical cholangiocarcinoma models.","author":[{"family":"Yu","given":"Mincheng"},{"family":"Sample","given":"Jack W."},{"family":"Yan","given":"Irene K."},{"family":"Takaichi","given":"Shohei"},{"family":"Tomlinson","given":"Jennifer L."},{"family":"Loeuillard","given":"Emilien J."},{"family":"Watkins","given":"Ryan D."},{"family":"Werneburg","given":"Nathan W."},{"family":"Abdelrahman","given":"Amro M."},{"family":"Carlson","given":"Danielle"},{"family":"Kuipers","given":"Hendrien"},{"family":"Cai","given":"Meina"},{"family":"Ozmert","given":"Enis H."},{"family":"Kimball","given":"Brooke"},{"family":"Yang","given":"Jinchun"},{"family":"Ilyas","given":"Sumera I."},{"family":"Gores","given":"Gregory J."},{"family":"Patel","given":"Tushar"},{"family":"Smoot","given":"Rory L."}],"issued":{"date-parts":[["2025",2,10]]}}}],"schema":"https://github.com/citation-style-language/schema/raw/master/csl-citation.json"}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26EB">
              <w:rPr>
                <w:rFonts w:ascii="Times New Roman" w:hAnsi="Times New Roman" w:cs="Times New Roman"/>
                <w:sz w:val="15"/>
              </w:rPr>
              <w:t>[45,46]</w:t>
            </w:r>
            <w:r>
              <w:rPr>
                <w:rFonts w:ascii="Times New Roman" w:eastAsia="SimSun" w:hAnsi="Times New Roman" w:cs="Times New Roman"/>
                <w:color w:val="000000"/>
                <w:kern w:val="0"/>
                <w:sz w:val="15"/>
                <w:szCs w:val="15"/>
                <w14:ligatures w14:val="none"/>
              </w:rPr>
              <w:fldChar w:fldCharType="end"/>
            </w:r>
          </w:p>
        </w:tc>
      </w:tr>
      <w:tr w:rsidR="00427052" w:rsidRPr="00186A4D" w14:paraId="4A7D95DF" w14:textId="77777777" w:rsidTr="00281326">
        <w:trPr>
          <w:trHeight w:val="56"/>
        </w:trPr>
        <w:tc>
          <w:tcPr>
            <w:tcW w:w="3754" w:type="dxa"/>
            <w:tcBorders>
              <w:bottom w:val="single" w:sz="18" w:space="0" w:color="auto"/>
            </w:tcBorders>
            <w:vAlign w:val="center"/>
            <w:hideMark/>
          </w:tcPr>
          <w:p w14:paraId="40FBE1A3"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Natural lipid-modulating or metabolism-modulating compounds</w:t>
            </w:r>
          </w:p>
        </w:tc>
        <w:tc>
          <w:tcPr>
            <w:tcW w:w="3402" w:type="dxa"/>
            <w:tcBorders>
              <w:bottom w:val="single" w:sz="18" w:space="0" w:color="auto"/>
            </w:tcBorders>
            <w:vAlign w:val="center"/>
            <w:hideMark/>
          </w:tcPr>
          <w:p w14:paraId="1A0C0BED"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May affect membrane composition, inflammation, oxidative stress, autophagy, or apoptosis</w:t>
            </w:r>
          </w:p>
        </w:tc>
        <w:tc>
          <w:tcPr>
            <w:tcW w:w="2591" w:type="dxa"/>
            <w:tcBorders>
              <w:bottom w:val="single" w:sz="18" w:space="0" w:color="auto"/>
            </w:tcBorders>
            <w:vAlign w:val="center"/>
            <w:hideMark/>
          </w:tcPr>
          <w:p w14:paraId="5B32312D" w14:textId="7777777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In vitro and animal CCA studies</w:t>
            </w:r>
          </w:p>
        </w:tc>
        <w:tc>
          <w:tcPr>
            <w:tcW w:w="851" w:type="dxa"/>
            <w:tcBorders>
              <w:bottom w:val="single" w:sz="18" w:space="0" w:color="auto"/>
            </w:tcBorders>
            <w:vAlign w:val="center"/>
            <w:hideMark/>
          </w:tcPr>
          <w:p w14:paraId="2F958063" w14:textId="720E58A7" w:rsidR="00427052" w:rsidRPr="00186A4D" w:rsidRDefault="00427052" w:rsidP="00281326">
            <w:pPr>
              <w:widowControl/>
              <w:jc w:val="center"/>
              <w:rPr>
                <w:rFonts w:ascii="Times New Roman" w:eastAsia="SimSun" w:hAnsi="Times New Roman" w:cs="Times New Roman"/>
                <w:color w:val="000000"/>
                <w:kern w:val="0"/>
                <w:sz w:val="15"/>
                <w:szCs w:val="15"/>
                <w14:ligatures w14:val="none"/>
              </w:rPr>
            </w:pPr>
            <w:r w:rsidRPr="00186A4D">
              <w:rPr>
                <w:rFonts w:ascii="Times New Roman" w:eastAsia="SimSun" w:hAnsi="Times New Roman" w:cs="Times New Roman"/>
                <w:color w:val="000000"/>
                <w:kern w:val="0"/>
                <w:sz w:val="15"/>
                <w:szCs w:val="15"/>
                <w14:ligatures w14:val="none"/>
              </w:rPr>
              <w:t>C–E</w:t>
            </w:r>
          </w:p>
        </w:tc>
        <w:tc>
          <w:tcPr>
            <w:tcW w:w="810" w:type="dxa"/>
            <w:tcBorders>
              <w:bottom w:val="single" w:sz="18" w:space="0" w:color="auto"/>
            </w:tcBorders>
            <w:vAlign w:val="center"/>
            <w:hideMark/>
          </w:tcPr>
          <w:p w14:paraId="156B252B" w14:textId="78480265" w:rsidR="00427052" w:rsidRPr="00186A4D" w:rsidRDefault="003E26EB" w:rsidP="00281326">
            <w:pPr>
              <w:keepNext/>
              <w:widowControl/>
              <w:jc w:val="center"/>
              <w:rPr>
                <w:rFonts w:ascii="Times New Roman" w:eastAsia="SimSun" w:hAnsi="Times New Roman" w:cs="Times New Roman"/>
                <w:color w:val="000000"/>
                <w:kern w:val="0"/>
                <w:sz w:val="15"/>
                <w:szCs w:val="15"/>
                <w14:ligatures w14:val="none"/>
              </w:rPr>
            </w:pPr>
            <w:r>
              <w:rPr>
                <w:rFonts w:ascii="Times New Roman" w:eastAsia="SimSun" w:hAnsi="Times New Roman" w:cs="Times New Roman"/>
                <w:color w:val="000000"/>
                <w:kern w:val="0"/>
                <w:sz w:val="15"/>
                <w:szCs w:val="15"/>
                <w14:ligatures w14:val="none"/>
              </w:rPr>
              <w:fldChar w:fldCharType="begin"/>
            </w:r>
            <w:r>
              <w:rPr>
                <w:rFonts w:ascii="Times New Roman" w:eastAsia="SimSun" w:hAnsi="Times New Roman" w:cs="Times New Roman"/>
                <w:color w:val="000000"/>
                <w:kern w:val="0"/>
                <w:sz w:val="15"/>
                <w:szCs w:val="15"/>
                <w14:ligatures w14:val="none"/>
              </w:rPr>
              <w:instrText xml:space="preserve"> ADDIN ZOTERO_ITEM CSL_CITATION {"citationID":"ZT1d4Nzs","properties":{"unsorted":false,"formattedCitation":"[47\\uc0\\u8211{}50]","plainCitation":"[47–50]","noteIndex":0},"citationItems":[{"id":124,"uris":["http://zotero.org/users/18222353/items/RPC38KLD"],"itemData":{"id":124,"type":"article-journal","abstract":"Lupeol and stigmasterol, major phytosterols in various herbal plants, possess anti-inflammatory activities and have been proposed as candidates for anti-cancer  agents, but their molecular mechanisms are still unclear. Here, we investigated  the effects of lupeol and stigmasterol on tumor and endothelial cells in vitro  and their anti-cancer activities in vivo. Our results demonstrated that lupeol  and stigmasterol suppressed cell viability, migration, and morphogenesis of human  umbilical vein endothelial cells (HUVECs) but not cholangiocarcinoma (CCA) cells.  Expression analyses showed that the treatment of both compounds significantly  reduced the transcript level of tumor necrosis factor-α (TNF-α), and Western blot  analyses further revealed a decrease in downstream effector levels of VEGFR-2  signaling, including phosphorylated forms of Src, Akt, PCL, and FAK, which were  rescued by TNF-α treatment. In vivo, lupeol and stigmasterol disrupted tumor  angiogenesis and reduced the growth of CCA tumor xenografts. Immunohistochemical  analyses confirmed a decrease in CD31-positive vessel content and macrophage  recruitment upon treatment. These findings indicate that lupeol and stigmasterol  effectively target tumor endothelial cells and suppress CCA tumor growth by their  anti-inflammatory activities and are attractive candidates for anti-cancer  treatment of CCA tumors.","container-title":"PloS one","DOI":"10.1371/journal.pone.0189628","ISSN":"</w:instrText>
            </w:r>
            <w:r>
              <w:rPr>
                <w:rFonts w:ascii="Times New Roman" w:eastAsia="SimSun" w:hAnsi="Times New Roman" w:cs="Times New Roman" w:hint="eastAsia"/>
                <w:color w:val="000000"/>
                <w:kern w:val="0"/>
                <w:sz w:val="15"/>
                <w:szCs w:val="15"/>
                <w14:ligatures w14:val="none"/>
              </w:rPr>
              <w:instrText xml:space="preserve">1932-6203","issue":"12","journalAbbreviation":"PLoS One","language":"en-US","note":"publisher-place: United States\ntitleTranslation: </w:instrText>
            </w:r>
            <w:r>
              <w:rPr>
                <w:rFonts w:ascii="Times New Roman" w:eastAsia="SimSun" w:hAnsi="Times New Roman" w:cs="Times New Roman" w:hint="eastAsia"/>
                <w:color w:val="000000"/>
                <w:kern w:val="0"/>
                <w:sz w:val="15"/>
                <w:szCs w:val="15"/>
                <w14:ligatures w14:val="none"/>
              </w:rPr>
              <w:instrText>羽扇豆醇和豆甾醇通过下调肿瘤坏死因子</w:instrText>
            </w:r>
            <w:r>
              <w:rPr>
                <w:rFonts w:ascii="Times New Roman" w:eastAsia="SimSun" w:hAnsi="Times New Roman" w:cs="Times New Roman" w:hint="eastAsia"/>
                <w:color w:val="000000"/>
                <w:kern w:val="0"/>
                <w:sz w:val="15"/>
                <w:szCs w:val="15"/>
                <w14:ligatures w14:val="none"/>
              </w:rPr>
              <w:instrText>-</w:instrText>
            </w:r>
            <w:r>
              <w:rPr>
                <w:rFonts w:ascii="Times New Roman" w:eastAsia="SimSun" w:hAnsi="Times New Roman" w:cs="Times New Roman" w:hint="eastAsia"/>
                <w:color w:val="000000"/>
                <w:kern w:val="0"/>
                <w:sz w:val="15"/>
                <w:szCs w:val="15"/>
                <w14:ligatures w14:val="none"/>
              </w:rPr>
              <w:instrText>α抑制小鼠肿瘤血管生成并抑制胆管癌生长。</w:instrText>
            </w:r>
            <w:r>
              <w:rPr>
                <w:rFonts w:ascii="Times New Roman" w:eastAsia="SimSun" w:hAnsi="Times New Roman" w:cs="Times New Roman" w:hint="eastAsia"/>
                <w:color w:val="000000"/>
                <w:kern w:val="0"/>
                <w:sz w:val="15"/>
                <w:szCs w:val="15"/>
                <w14:ligatures w14:val="none"/>
              </w:rPr>
              <w:instrText>\nTLDR: The findings indicate that lupeol and stigmasterol effectively target tumo</w:instrText>
            </w:r>
            <w:r>
              <w:rPr>
                <w:rFonts w:ascii="Times New Roman" w:eastAsia="SimSun" w:hAnsi="Times New Roman" w:cs="Times New Roman"/>
                <w:color w:val="000000"/>
                <w:kern w:val="0"/>
                <w:sz w:val="15"/>
                <w:szCs w:val="15"/>
                <w14:ligatures w14:val="none"/>
              </w:rPr>
              <w:instrText>r endothelial cells and suppress CCA tumor growth by their anti-inflammatory activities and are attractive candidates for anti-cancer treatment of CCA tumors.","page":"e0189628","PMID":"29232409","PMCID":"PMC5726636","title":"Lupeol and stigmasterol suppress tumor angiogenesis and inhibit cholangiocarcinoma growth in mice via downregulation of tumor necrosis factor-α.","volume":"12","author":[{"family":"Kangsamaksin","given":"Thaned"},{"family":"Chaithongyot","given":"Supattra"},{"family":"Wootthichairangsan","given":"Chanida"},{"family":"Hanchaina","given":"Rattanavinan"},{"family":"Tangshewinsirikul","given":"Chayada"},{"family":"Svasti","given":"Jisnuson"}],"issued":{"date-parts":[["2017"]]}}},{"id":287,"uris":["http://zotero.org/users/18222353/items/89KLCYE6"],"itemData":{"id":287,"type":"article-journal","abstract":"BACKGROUND: Ursolic acid (UA) is a natural triterpenoid which possesses anti-cancer activity. However, little is known regarding the activity and  molecular mechanism of UA in cholangiocarcinoma (CCA). Thus, we investigated the  effects of UA on growth inhibition and apoptosis induction through biomolecular  changes in KKU-213 and KKU-055 CCA cell lines. METHODS: The anti-proliferative  effect of UA against CCA cells was evaluated using SRB assay. Changes in  biomolecules were assessed by SR-FTIR microspectroscopy combined with PCA and  conventional methods (i.e., Annexin V-FITC/PI staining for lipid alteration and  apoptosis induction; Western blot analysis and caspase-3/7 activity assay for  apoptotic protein detection). RESULTS: UA suppressed the proliferation of CCA  cells in a dose- and time-dependent manner. SR-FTIR data revealed a significant  alteration in lipids attributable to changes in apoptotic cell membranes,  confirmed by Annexin V-FITC/PI staining. SR-FTIR data showed that UA promoted  changes in the protein secondary structure. Elevated expression of Bax and  decreased expression of Bcl-2 and survivin/BIRC5 along with augmented caspase-3/7  activity supported alterations in apoptosis-related proteins. CONCLUSIONS:  SR-FTIR microspectroscopy was successfully used as a label-free technique to  monitor apoptosis-induced biomolecular changes in UA-treated CCA cells. UA  exerted the cytotoxic and apoptotic activities in CCA cells through alterations  in membrane lipids and apoptotic proteins. UA could be a potential anti-CCA  candidate and a chemical starting point for the discovery of novel anti-cancer  agents. SIGNIFICANCE: Our present study showed the first evidence that UA  exhibited the anti-proliferative and pro-apoptotic activities toward CCA cells  through changes in biomolecules, notably lipids and proteins.","container-title":"Biochimica et biophysica acta. General subjects","DOI":"10.1016/j.bbagen.2020.129708","ISSN":"1872-8006 0304-4165","issue":"12","journalAbbreviation":"Biochim Biophys Acta Gen Subj","language":"en-US","license":"Copyright © 2020 Elsevier B.V. All rights reserved.","note":"publisher-place: Netherlands\nTLDR: This present study showed the first e</w:instrText>
            </w:r>
            <w:r>
              <w:rPr>
                <w:rFonts w:ascii="Times New Roman" w:eastAsia="SimSun" w:hAnsi="Times New Roman" w:cs="Times New Roman" w:hint="eastAsia"/>
                <w:color w:val="000000"/>
                <w:kern w:val="0"/>
                <w:sz w:val="15"/>
                <w:szCs w:val="15"/>
                <w14:ligatures w14:val="none"/>
              </w:rPr>
              <w:instrText xml:space="preserve">vidence that UA exhibited the anti-proliferative and pro-apoptotic activities toward CCA cells through changes in biomolecules, notably lipids and proteins.\ntitleTranslation: </w:instrText>
            </w:r>
            <w:r>
              <w:rPr>
                <w:rFonts w:ascii="Times New Roman" w:eastAsia="SimSun" w:hAnsi="Times New Roman" w:cs="Times New Roman" w:hint="eastAsia"/>
                <w:color w:val="000000"/>
                <w:kern w:val="0"/>
                <w:sz w:val="15"/>
                <w:szCs w:val="15"/>
                <w14:ligatures w14:val="none"/>
              </w:rPr>
              <w:instrText>同步加速器</w:instrText>
            </w:r>
            <w:r>
              <w:rPr>
                <w:rFonts w:ascii="Times New Roman" w:eastAsia="SimSun" w:hAnsi="Times New Roman" w:cs="Times New Roman" w:hint="eastAsia"/>
                <w:color w:val="000000"/>
                <w:kern w:val="0"/>
                <w:sz w:val="15"/>
                <w:szCs w:val="15"/>
                <w14:ligatures w14:val="none"/>
              </w:rPr>
              <w:instrText xml:space="preserve"> FTIR </w:instrText>
            </w:r>
            <w:r>
              <w:rPr>
                <w:rFonts w:ascii="Times New Roman" w:eastAsia="SimSun" w:hAnsi="Times New Roman" w:cs="Times New Roman" w:hint="eastAsia"/>
                <w:color w:val="000000"/>
                <w:kern w:val="0"/>
                <w:sz w:val="15"/>
                <w:szCs w:val="15"/>
                <w14:ligatures w14:val="none"/>
              </w:rPr>
              <w:instrText>显微光谱显示熊果酸处理的胆管癌细胞凋亡诱导的生物分子变化。</w:instrText>
            </w:r>
            <w:r>
              <w:rPr>
                <w:rFonts w:ascii="Times New Roman" w:eastAsia="SimSun" w:hAnsi="Times New Roman" w:cs="Times New Roman" w:hint="eastAsia"/>
                <w:color w:val="000000"/>
                <w:kern w:val="0"/>
                <w:sz w:val="15"/>
                <w:szCs w:val="15"/>
                <w14:ligatures w14:val="none"/>
              </w:rPr>
              <w:instrText>","page":"129708","PMID":"32810561","ti</w:instrText>
            </w:r>
            <w:r>
              <w:rPr>
                <w:rFonts w:ascii="Times New Roman" w:eastAsia="SimSun" w:hAnsi="Times New Roman" w:cs="Times New Roman"/>
                <w:color w:val="000000"/>
                <w:kern w:val="0"/>
                <w:sz w:val="15"/>
                <w:szCs w:val="15"/>
                <w14:ligatures w14:val="none"/>
              </w:rPr>
              <w:instrText>tle":"Synchrotron FTIR microspectroscopy revealed apoptosis-induced biomolecular changes of cholangiocarcinoma cells treated with ursolic acid.","volume":"1864","author":[{"family":"Maphanao","given":"Pornpattra"},{"family":"Thanan","given":"Raynoo"},{"family":"Loilome","given":"Watcharin"},{"family":"Chio-Srichan","given":"Sirinart"},{"family":"Wongwattanakul","given":"Molin"},{"family":"Sakonsinsiri","given":"Chadamas"}],"issued":{"date-parts":[["2020",12]]}}},{"id":253,"uris":["http://zotero.org/users/18222353/items/PB9QS7ZR"],"itemData":{"id":253,"type":"article-journal","abstract":"Cholangiocarcinoma (CCA), a devastating cancer with a poor prognosis, is resistant to the currently available chemotherapeutic agents. Capsaicin, the  major pungent ingredient found in hot red chili peppers of the genus Capsicum,  suppresses the growth of several malignant cell lines. Our aims were to  investigate the role and mechanism of capsaicin with respect to the sensitivity  of CCA cells to chemotherapeutic agents. The effect of capsaicin on CCA tumor  sensitivity to 5-fluorouracil (5-FU) was assessed in vitro in CCA cells and in  vivo in a xenograft model. The drug sensitivity of QBC939 to 5-FU was  significantly enhanced by capsaicin compared with either agent alone. In  addition, the combination of capsaicin with 5-FU was synergistic, with a  combination index (CI) &lt; 1, and the combined treatment also suppressed tumor  growth in the CCA xenograft to a greater extent than 5-FU alone. Further  investigation revealed that the autophagy induced by 5-FU was inhibited by  capsaicin. Moreover, the decrease in AKT and S6 phosphorylation induced by 5-FU  was effectively reversed by capsaicin, indicating that capsaicin inhibits  5-FU-induced autophagy by activating the phosphoinositide 3-kinase (PI3K)/protein  kinase B (AKT)/mammalian target of rapamycin (mTOR) pathway in CCA cells. Taken  together, these results demonstrate that capsaicin may be a useful adjunct  therapy to improve chemosensitivity in CCA. This effect likely occurs via  PI3K/AKT/mTOR pathway activation, suggesting a promising strategy for the  development of combination drugs for CCA.","container-title":"PloS one","DOI":"10.1371/journal.pone.0121538","ISSN":"1932-6203","issue":"5","journalAbbreviation":"P</w:instrText>
            </w:r>
            <w:r>
              <w:rPr>
                <w:rFonts w:ascii="Times New Roman" w:eastAsia="SimSun" w:hAnsi="Times New Roman" w:cs="Times New Roman" w:hint="eastAsia"/>
                <w:color w:val="000000"/>
                <w:kern w:val="0"/>
                <w:sz w:val="15"/>
                <w:szCs w:val="15"/>
                <w14:ligatures w14:val="none"/>
              </w:rPr>
              <w:instrText xml:space="preserve">LoS One","language":"en-US","note":"publisher-place: United States\ntitleTranslation: </w:instrText>
            </w:r>
            <w:r>
              <w:rPr>
                <w:rFonts w:ascii="Times New Roman" w:eastAsia="SimSun" w:hAnsi="Times New Roman" w:cs="Times New Roman" w:hint="eastAsia"/>
                <w:color w:val="000000"/>
                <w:kern w:val="0"/>
                <w:sz w:val="15"/>
                <w:szCs w:val="15"/>
                <w14:ligatures w14:val="none"/>
              </w:rPr>
              <w:instrText>辣椒素通过抑制化疗诱导的自噬来增强胆管癌的药物敏感性。</w:instrText>
            </w:r>
            <w:r>
              <w:rPr>
                <w:rFonts w:ascii="Times New Roman" w:eastAsia="SimSun" w:hAnsi="Times New Roman" w:cs="Times New Roman" w:hint="eastAsia"/>
                <w:color w:val="000000"/>
                <w:kern w:val="0"/>
                <w:sz w:val="15"/>
                <w:szCs w:val="15"/>
                <w14:ligatures w14:val="none"/>
              </w:rPr>
              <w:instrText>\nTLDR: Results demonstrate that capsaicin may be a useful adjunct therapy to improve chemosensitivity in CCA, and likely occurs via PI3K/AKT/</w:instrText>
            </w:r>
            <w:r>
              <w:rPr>
                <w:rFonts w:ascii="Times New Roman" w:eastAsia="SimSun" w:hAnsi="Times New Roman" w:cs="Times New Roman"/>
                <w:color w:val="000000"/>
                <w:kern w:val="0"/>
                <w:sz w:val="15"/>
                <w:szCs w:val="15"/>
                <w14:ligatures w14:val="none"/>
              </w:rPr>
              <w:instrText>mTOR pathway activation, suggesting a promising strategy for the development of combination drugs for CCA.","page":"e0121538","PMID":"25933112","PMCID":"PMC4416771","title":"Capsaicin Enhances the Drug Sensitivity of Cholangiocarcinoma through the Inhibition of Chemotherapeutic-Induced Autophagy.","volume":"10","author":[{"family":"Hong","given":"Zai-Fa"},{"family":"Zhao","given":"Wen-Xiu"},{"family":"Yin","given":"Zhen-Yu"},{"family":"Xie","given":"Cheng-Rong"},{"family":"Xu","given":"Ya-Ping"},{"family":"Chi","given":"Xiao-Qin"},{"family":"Zhang","given":"Sheng"},{"family":"Wang","given":"Xiao-Min"}],"issued":{"date-parts":[["2015"]]}}},{"id":307,"uris":["http://zotero.org/users/18222353/items/S7Q4F533"],"itemData":{"id":307,"type":"article-journal","abstract":"ETHNOPHARMACOLOGICAL RELEVANCE: Tanacetum parthenium (L.) Schultz-Bip, commonly known as feverfew, has been traditionally used to treat fever, migraines,  rheumatoid arthritis, and cancer. Parthenolide (PTL), the main bioactive  ingredient isolated from the shoots of feverfew, is a sesquiterpene lactone with  anti-inflammatory and antitumor properties. Previous studies showed that PTL  exerts anticancer activity in various cancers, including hepatoma,  cholangiocarcinoma, acute myeloid leukemia, breast, prostate, and colorectal  cancer. However, the metabolic mechanism underlying the anticancer effect of PTL  remains poorly understood. AIM OF THE STUDY: To explore the anticancer activity  and underlying mechanism of PTL in human cholangiocarcinoma cells. MATERIAL AND  METHODS: In this investigation, the effects and mechanisms of PTL on human  cholangiocarcinoma cells were investigated via a liquid chromatography/mass  spectrometry (LC/MS)-based metabolomics approach. First, cell proliferation and  apoptosis were evaluated using cell counting kit-8 (CCK-8), flow cytometry  analysis, and western blotting. Then, LC/MS-based metabolic profiling along with  orthogonal partial least-squares discriminant analysis (OPLS-DA) has been  constructed to distinguish the metabolic changes between the negative control  group and the PTL-treated group in TFK1 cells. Next, enzyme-linked immunosorbent  assay (ELISA) was applied to investigate the changes of metabolic enzymes  associated with significantly alerted metabolites. Finally, the metabolic network  related to key metabolic enzymes, metabolites, and metabolic pathways was  established using MetaboAnalyst 5.0 and Kyoto Encyclopedia of Genes and Genomes  (KEGG) Pathway Database. RESULTS: PTL treatment could induce the proliferation  inhibition and apoptosis of TFK1 in a concentration-dependent manner. Forty-three  potential biomarkers associated with the antitumor effect of PTL were identified,  which primarily related to glutamine and glutamate metabolism, alanine, aspartate  and glutamate metabolism, phenylalanine, tyrosine and tryptophan biosynthesis,  phenylalanine metabolism, arginine biosynthesis, arginine and proline metabolism,  glutathione metabolism, nicotinate and nicotinamide metabolism, pyrimidine  metabolism, fatty acid metabolism, phospholipid catabolism, and sphingolipid  metabolism. Pathway analysis of upstream and downstream metabolites, we found  three key metabolic enzymes, including glutaminase (GLS), γ-glutamyl  transpeptidase (GGT), and carnitine palmitoyltransferase 1 (CPT1), which mainly  involved in glutamine and glutamate metabolism, glutathione metabolism, and fatty  acid metabolism. The changes of metabolic enzymes associated with significantly  alerted metabolites were consistent with the levels of metabolites, and the  metabolic network related to key metabolic enzymes, metabolites, and metabolic  pathways was established. PTL may exert its antitumor effect against  cholangiocarcinoma by disturbing metabolic pathways. Furthermore, we selected two  positive control agents that are considered as first-line chemotherapy standards  in cholangiocarcinoma therapy to verify the reliability and accuracy of our  metabolomic study on PTL. CONCLUSION: This research enhanced our comprehension of  the metabolic profiling and mechanism of PTL treatment on cholangiocarcinoma  cells, which provided some references for further research into the anti-cancer  mechanisms of other drugs.","container-title":"Journal of ethnopharmacology","DOI":"10.10</w:instrText>
            </w:r>
            <w:r>
              <w:rPr>
                <w:rFonts w:ascii="Times New Roman" w:eastAsia="SimSun" w:hAnsi="Times New Roman" w:cs="Times New Roman" w:hint="eastAsia"/>
                <w:color w:val="000000"/>
                <w:kern w:val="0"/>
                <w:sz w:val="15"/>
                <w:szCs w:val="15"/>
                <w14:ligatures w14:val="none"/>
              </w:rPr>
              <w:instrText xml:space="preserve">16/j.jep.2024.118075","ISSN":"1872-7573 0378-8741","journalAbbreviation":"J Ethnopharmacol","language":"en-US","license":"Copyright © 2024 Elsevier B.V. All rights reserved.","note":"publisher-place: Ireland\ntitleTranslation: </w:instrText>
            </w:r>
            <w:r>
              <w:rPr>
                <w:rFonts w:ascii="Times New Roman" w:eastAsia="SimSun" w:hAnsi="Times New Roman" w:cs="Times New Roman" w:hint="eastAsia"/>
                <w:color w:val="000000"/>
                <w:kern w:val="0"/>
                <w:sz w:val="15"/>
                <w:szCs w:val="15"/>
                <w14:ligatures w14:val="none"/>
              </w:rPr>
              <w:instrText>代谢组学方法揭示了小白菊内酯治疗后人胆管癌细胞的代谢紊乱。</w:instrText>
            </w:r>
            <w:r>
              <w:rPr>
                <w:rFonts w:ascii="Times New Roman" w:eastAsia="SimSun" w:hAnsi="Times New Roman" w:cs="Times New Roman" w:hint="eastAsia"/>
                <w:color w:val="000000"/>
                <w:kern w:val="0"/>
                <w:sz w:val="15"/>
                <w:szCs w:val="15"/>
                <w14:ligatures w14:val="none"/>
              </w:rPr>
              <w:instrText>\nTLDR: This research enhanced the comprehension of the metabolic profiling and mechanism of PTL treatment on cholangiocarcinoma cells, which provided some references for further research into the anti-cancer mechanisms of other drugs.","page":"118075","</w:instrText>
            </w:r>
            <w:r>
              <w:rPr>
                <w:rFonts w:ascii="Times New Roman" w:eastAsia="SimSun" w:hAnsi="Times New Roman" w:cs="Times New Roman"/>
                <w:color w:val="000000"/>
                <w:kern w:val="0"/>
                <w:sz w:val="15"/>
                <w:szCs w:val="15"/>
                <w14:ligatures w14:val="none"/>
              </w:rPr>
              <w:instrText xml:space="preserve">PMID":"38513779","title":"A metabolomics approach reveals metabolic disturbance of human cholangiocarcinoma cells after parthenolide treatment.","volume":"328","author":[{"family":"He","given":"Yongping"},{"family":"Yu","given":"Qianxue"},{"family":"Ma","given":"Xiaoyu"},{"family":"Lv","given":"Diya"},{"family":"Wang","given":"Hui"},{"family":"Qiu","given":"Weian"},{"family":"Chen","given":"Xiao Fei"},{"family":"Jiao","given":"Yang"},{"family":"Liu","given":"Yue"}],"issued":{"date-parts":[["2024",6,28]]}}}],"schema":"https://github.com/citation-style-language/schema/raw/master/csl-citation.json"} </w:instrText>
            </w:r>
            <w:r>
              <w:rPr>
                <w:rFonts w:ascii="Times New Roman" w:eastAsia="SimSun" w:hAnsi="Times New Roman" w:cs="Times New Roman"/>
                <w:color w:val="000000"/>
                <w:kern w:val="0"/>
                <w:sz w:val="15"/>
                <w:szCs w:val="15"/>
                <w14:ligatures w14:val="none"/>
              </w:rPr>
              <w:fldChar w:fldCharType="separate"/>
            </w:r>
            <w:r w:rsidRPr="003E26EB">
              <w:rPr>
                <w:rFonts w:ascii="Times New Roman" w:hAnsi="Times New Roman" w:cs="Times New Roman"/>
                <w:kern w:val="0"/>
                <w:sz w:val="15"/>
              </w:rPr>
              <w:t>[47–50]</w:t>
            </w:r>
            <w:r>
              <w:rPr>
                <w:rFonts w:ascii="Times New Roman" w:eastAsia="SimSun" w:hAnsi="Times New Roman" w:cs="Times New Roman"/>
                <w:color w:val="000000"/>
                <w:kern w:val="0"/>
                <w:sz w:val="15"/>
                <w:szCs w:val="15"/>
                <w14:ligatures w14:val="none"/>
              </w:rPr>
              <w:fldChar w:fldCharType="end"/>
            </w:r>
          </w:p>
        </w:tc>
      </w:tr>
    </w:tbl>
    <w:bookmarkEnd w:id="0"/>
    <w:p w14:paraId="66487220" w14:textId="2E482FEA" w:rsidR="00094AEB" w:rsidRPr="00AD61C2" w:rsidRDefault="00281326" w:rsidP="00281326">
      <w:pPr>
        <w:pStyle w:val="af3"/>
        <w:jc w:val="center"/>
        <w:rPr>
          <w:rFonts w:ascii="Times New Roman" w:hAnsi="Times New Roman" w:cs="Times New Roman"/>
        </w:rPr>
      </w:pPr>
      <w:r w:rsidRPr="00AD61C2">
        <w:rPr>
          <w:rFonts w:ascii="Times New Roman" w:hAnsi="Times New Roman" w:cs="Times New Roman"/>
        </w:rPr>
        <w:t xml:space="preserve">Supplement Table </w:t>
      </w:r>
      <w:r w:rsidRPr="00AD61C2">
        <w:rPr>
          <w:rFonts w:ascii="Times New Roman" w:hAnsi="Times New Roman" w:cs="Times New Roman"/>
        </w:rPr>
        <w:fldChar w:fldCharType="begin"/>
      </w:r>
      <w:r w:rsidRPr="00AD61C2">
        <w:rPr>
          <w:rFonts w:ascii="Times New Roman" w:hAnsi="Times New Roman" w:cs="Times New Roman"/>
        </w:rPr>
        <w:instrText xml:space="preserve"> SEQ Supplement_Table \* ARABIC </w:instrText>
      </w:r>
      <w:r w:rsidRPr="00AD61C2">
        <w:rPr>
          <w:rFonts w:ascii="Times New Roman" w:hAnsi="Times New Roman" w:cs="Times New Roman"/>
        </w:rPr>
        <w:fldChar w:fldCharType="separate"/>
      </w:r>
      <w:r w:rsidRPr="00AD61C2">
        <w:rPr>
          <w:rFonts w:ascii="Times New Roman" w:hAnsi="Times New Roman" w:cs="Times New Roman"/>
          <w:noProof/>
        </w:rPr>
        <w:t>1</w:t>
      </w:r>
      <w:r w:rsidRPr="00AD61C2">
        <w:rPr>
          <w:rFonts w:ascii="Times New Roman" w:hAnsi="Times New Roman" w:cs="Times New Roman"/>
        </w:rPr>
        <w:fldChar w:fldCharType="end"/>
      </w:r>
      <w:r w:rsidRPr="00AD61C2">
        <w:rPr>
          <w:rFonts w:ascii="Times New Roman" w:hAnsi="Times New Roman" w:cs="Times New Roman"/>
        </w:rPr>
        <w:t>: Evidence hierarchy of lipid metabolic alterations in cholangiocarcinoma</w:t>
      </w:r>
    </w:p>
    <w:p w14:paraId="48D414F9" w14:textId="3041DE8B" w:rsidR="00281326" w:rsidRDefault="00B64F9B" w:rsidP="00281326">
      <w:pPr>
        <w:rPr>
          <w:rFonts w:ascii="Times New Roman" w:hAnsi="Times New Roman" w:cs="Times New Roman"/>
        </w:rPr>
      </w:pPr>
      <w:r w:rsidRPr="00AD61C2">
        <w:rPr>
          <w:rFonts w:ascii="Times New Roman" w:hAnsi="Times New Roman" w:cs="Times New Roman"/>
        </w:rPr>
        <w:t>Evidence level: A, clinical biomarker evidence with prospective or multi-cohort validation, although not necessarily routine clinical implementation; B, human CCA sample-supported evidence with functional or mechanistic validation; C, CCA-specific preclinical evidence from cell lines, organoids, animal models, or pharmacological experiments; D, clinical association or exploratory biomarker evidence without sufficient functional validation or independent confirmation; E, evidence extrapolated from other tumor types, general lipid biology, or hypothesis-generating observations.</w:t>
      </w:r>
      <w:bookmarkEnd w:id="1"/>
    </w:p>
    <w:p w14:paraId="6A6EBF89" w14:textId="77777777" w:rsidR="002E4D5B" w:rsidRDefault="002E4D5B" w:rsidP="00281326">
      <w:pPr>
        <w:rPr>
          <w:rFonts w:ascii="Times New Roman" w:hAnsi="Times New Roman" w:cs="Times New Roman"/>
        </w:rPr>
      </w:pPr>
    </w:p>
    <w:p w14:paraId="43365D17" w14:textId="77777777" w:rsidR="002E4D5B" w:rsidRDefault="002E4D5B" w:rsidP="00281326">
      <w:pPr>
        <w:rPr>
          <w:rFonts w:ascii="Times New Roman" w:hAnsi="Times New Roman" w:cs="Times New Roman"/>
        </w:rPr>
      </w:pPr>
    </w:p>
    <w:p w14:paraId="7C579AB7" w14:textId="77777777" w:rsidR="002E4D5B" w:rsidRPr="00175A27" w:rsidRDefault="002E4D5B" w:rsidP="002E4D5B">
      <w:pPr>
        <w:spacing w:line="480" w:lineRule="auto"/>
        <w:rPr>
          <w:rFonts w:ascii="SimSun" w:eastAsia="SimSun" w:hAnsi="SimSun"/>
          <w:b/>
          <w:bCs/>
          <w:sz w:val="28"/>
          <w:szCs w:val="28"/>
        </w:rPr>
      </w:pPr>
      <w:r w:rsidRPr="00175A27">
        <w:rPr>
          <w:rFonts w:ascii="SimSun" w:eastAsia="SimSun" w:hAnsi="SimSun"/>
          <w:b/>
          <w:bCs/>
          <w:sz w:val="28"/>
          <w:szCs w:val="28"/>
        </w:rPr>
        <w:t>References：</w:t>
      </w:r>
    </w:p>
    <w:p w14:paraId="437E7636" w14:textId="77777777" w:rsidR="002E4D5B" w:rsidRPr="002E4D5B" w:rsidRDefault="002E4D5B" w:rsidP="002E4D5B">
      <w:pPr>
        <w:pStyle w:val="af2"/>
      </w:pPr>
      <w:r>
        <w:fldChar w:fldCharType="begin"/>
      </w:r>
      <w:r>
        <w:instrText xml:space="preserve"> ADDIN ZOTERO_BIBL {"uncited":[],"omitted":[],"custom":[]} CSL_BIBLIOGRAPHY </w:instrText>
      </w:r>
      <w:r>
        <w:fldChar w:fldCharType="separate"/>
      </w:r>
      <w:r w:rsidRPr="002E4D5B">
        <w:t xml:space="preserve">1. Ruiz De Gauna M, Biancaniello F, González-Romero F, Rodrigues PM, </w:t>
      </w:r>
      <w:proofErr w:type="spellStart"/>
      <w:r w:rsidRPr="002E4D5B">
        <w:t>Lapitz</w:t>
      </w:r>
      <w:proofErr w:type="spellEnd"/>
      <w:r w:rsidRPr="002E4D5B">
        <w:t xml:space="preserve"> A, Gómez-Santos B, et al. Cholangiocarcinoma progression depends on the uptake and metabolization of extracellular lipids. Hepatology. </w:t>
      </w:r>
      <w:proofErr w:type="gramStart"/>
      <w:r w:rsidRPr="002E4D5B">
        <w:t>2022;76:1617</w:t>
      </w:r>
      <w:proofErr w:type="gramEnd"/>
      <w:r w:rsidRPr="002E4D5B">
        <w:t>–33. https://doi.org/10.1002/hep.32344</w:t>
      </w:r>
    </w:p>
    <w:p w14:paraId="6589D48D" w14:textId="77777777" w:rsidR="002E4D5B" w:rsidRPr="002E4D5B" w:rsidRDefault="002E4D5B" w:rsidP="002E4D5B">
      <w:pPr>
        <w:pStyle w:val="af2"/>
      </w:pPr>
      <w:r w:rsidRPr="002E4D5B">
        <w:t>2. Chen M, Zhao S, Xie X, Wang J, Su M, Zhang L, et al. Role of Tunneling Nanotubes in Arachidonic Acid Transfer and Macrophage Function Reprogramming in Intrahepatic Cholangiocarcinoma. Adv Sci (</w:t>
      </w:r>
      <w:proofErr w:type="spellStart"/>
      <w:r w:rsidRPr="002E4D5B">
        <w:t>Weinh</w:t>
      </w:r>
      <w:proofErr w:type="spellEnd"/>
      <w:r w:rsidRPr="002E4D5B">
        <w:t>). Germany; 2025;</w:t>
      </w:r>
      <w:proofErr w:type="gramStart"/>
      <w:r w:rsidRPr="002E4D5B">
        <w:t>12:e</w:t>
      </w:r>
      <w:proofErr w:type="gramEnd"/>
      <w:r w:rsidRPr="002E4D5B">
        <w:t>00148. https://doi.org/10.1002/advs.202500148</w:t>
      </w:r>
    </w:p>
    <w:p w14:paraId="73AC0461" w14:textId="77777777" w:rsidR="002E4D5B" w:rsidRPr="002E4D5B" w:rsidRDefault="002E4D5B" w:rsidP="002E4D5B">
      <w:pPr>
        <w:pStyle w:val="af2"/>
      </w:pPr>
      <w:r w:rsidRPr="002E4D5B">
        <w:t xml:space="preserve">3. Kito Y, Kachi K, Yoshida M, Hori Y, Kato A, </w:t>
      </w:r>
      <w:proofErr w:type="spellStart"/>
      <w:r w:rsidRPr="002E4D5B">
        <w:t>Sahashi</w:t>
      </w:r>
      <w:proofErr w:type="spellEnd"/>
      <w:r w:rsidRPr="002E4D5B">
        <w:t xml:space="preserve"> H, et al. Potential of Anti-Leukotriene Drugs as New Therapeutic Agents for Inhibiting Cholangiocarcinoma Progression. Molecules. Switzerland; 2024;29. https://doi.org/10.3390/molecules29143379</w:t>
      </w:r>
    </w:p>
    <w:p w14:paraId="2930F14E" w14:textId="77777777" w:rsidR="002E4D5B" w:rsidRPr="002E4D5B" w:rsidRDefault="002E4D5B" w:rsidP="002E4D5B">
      <w:pPr>
        <w:pStyle w:val="af2"/>
      </w:pPr>
      <w:r w:rsidRPr="002E4D5B">
        <w:lastRenderedPageBreak/>
        <w:t xml:space="preserve">4. </w:t>
      </w:r>
      <w:proofErr w:type="spellStart"/>
      <w:r w:rsidRPr="002E4D5B">
        <w:t>Khophai</w:t>
      </w:r>
      <w:proofErr w:type="spellEnd"/>
      <w:r w:rsidRPr="002E4D5B">
        <w:t xml:space="preserve"> S, Thanee M, </w:t>
      </w:r>
      <w:proofErr w:type="spellStart"/>
      <w:r w:rsidRPr="002E4D5B">
        <w:t>Techasen</w:t>
      </w:r>
      <w:proofErr w:type="spellEnd"/>
      <w:r w:rsidRPr="002E4D5B">
        <w:t xml:space="preserve"> A, </w:t>
      </w:r>
      <w:proofErr w:type="spellStart"/>
      <w:r w:rsidRPr="002E4D5B">
        <w:t>Namwat</w:t>
      </w:r>
      <w:proofErr w:type="spellEnd"/>
      <w:r w:rsidRPr="002E4D5B">
        <w:t xml:space="preserve"> N, </w:t>
      </w:r>
      <w:proofErr w:type="spellStart"/>
      <w:r w:rsidRPr="002E4D5B">
        <w:t>Klanrit</w:t>
      </w:r>
      <w:proofErr w:type="spellEnd"/>
      <w:r w:rsidRPr="002E4D5B">
        <w:t xml:space="preserve"> P, </w:t>
      </w:r>
      <w:proofErr w:type="spellStart"/>
      <w:r w:rsidRPr="002E4D5B">
        <w:t>Titapun</w:t>
      </w:r>
      <w:proofErr w:type="spellEnd"/>
      <w:r w:rsidRPr="002E4D5B">
        <w:t xml:space="preserve"> A, et al. Zileuton suppresses cholangiocarcinoma cell proliferation and migration through inhibition of the Akt signaling pathway. </w:t>
      </w:r>
      <w:proofErr w:type="spellStart"/>
      <w:r w:rsidRPr="002E4D5B">
        <w:t>Onco</w:t>
      </w:r>
      <w:proofErr w:type="spellEnd"/>
      <w:r w:rsidRPr="002E4D5B">
        <w:t xml:space="preserve"> Targets Ther. New Zealand; </w:t>
      </w:r>
      <w:proofErr w:type="gramStart"/>
      <w:r w:rsidRPr="002E4D5B">
        <w:t>2018;11:7019</w:t>
      </w:r>
      <w:proofErr w:type="gramEnd"/>
      <w:r w:rsidRPr="002E4D5B">
        <w:t>–29. https://doi.org/10.2147/OTT.S178942</w:t>
      </w:r>
    </w:p>
    <w:p w14:paraId="55A5FEBF" w14:textId="77777777" w:rsidR="002E4D5B" w:rsidRPr="002E4D5B" w:rsidRDefault="002E4D5B" w:rsidP="002E4D5B">
      <w:pPr>
        <w:pStyle w:val="af2"/>
      </w:pPr>
      <w:r w:rsidRPr="002E4D5B">
        <w:t xml:space="preserve">5. Shu L, Li X, Liu Z, Li K, Shi A, Tang Y, et al. Bile </w:t>
      </w:r>
      <w:proofErr w:type="spellStart"/>
      <w:r w:rsidRPr="002E4D5B">
        <w:t>exosomal</w:t>
      </w:r>
      <w:proofErr w:type="spellEnd"/>
      <w:r w:rsidRPr="002E4D5B">
        <w:t xml:space="preserve"> miR-182/183-5p increases cholangiocarcinoma stemness and progression by targeting HPGD and increasing PGE2 generation. Hepatology. </w:t>
      </w:r>
      <w:proofErr w:type="gramStart"/>
      <w:r w:rsidRPr="002E4D5B">
        <w:t>2024;79:307</w:t>
      </w:r>
      <w:proofErr w:type="gramEnd"/>
      <w:r w:rsidRPr="002E4D5B">
        <w:t>–22. https://doi.org/10.1097/HEP.0000000000000437</w:t>
      </w:r>
    </w:p>
    <w:p w14:paraId="5C2AD52E" w14:textId="77777777" w:rsidR="002E4D5B" w:rsidRPr="002E4D5B" w:rsidRDefault="002E4D5B" w:rsidP="002E4D5B">
      <w:pPr>
        <w:pStyle w:val="af2"/>
      </w:pPr>
      <w:r w:rsidRPr="002E4D5B">
        <w:t xml:space="preserve">6. Du M, Shi F, Zhang H, Xia S, Zhang M, Ma J, et al. Prostaglandin E2 promotes human cholangiocarcinoma cell proliferation, migration and invasion through the upregulation of β-catenin expression via EP3-4 receptor. Oncol Rep. Greece; </w:t>
      </w:r>
      <w:proofErr w:type="gramStart"/>
      <w:r w:rsidRPr="002E4D5B">
        <w:t>2015;34:715</w:t>
      </w:r>
      <w:proofErr w:type="gramEnd"/>
      <w:r w:rsidRPr="002E4D5B">
        <w:t>–26. https://doi.org/10.3892/or.2015.4043</w:t>
      </w:r>
    </w:p>
    <w:p w14:paraId="72411FD9" w14:textId="77777777" w:rsidR="002E4D5B" w:rsidRPr="002E4D5B" w:rsidRDefault="002E4D5B" w:rsidP="002E4D5B">
      <w:pPr>
        <w:pStyle w:val="af2"/>
      </w:pPr>
      <w:r w:rsidRPr="002E4D5B">
        <w:t xml:space="preserve">7. Ren X, Wu Y, Song T, Yang Q, Zhou Q, Lin J, et al. Clonorchis sinensis Promotes Intrahepatic Cholangiocarcinoma Progression by Activating FASN-Mediated Fatty Acid Metabolism. J Gastroenterol Hepatol. Australia; </w:t>
      </w:r>
      <w:proofErr w:type="gramStart"/>
      <w:r w:rsidRPr="002E4D5B">
        <w:t>2025;40:1004</w:t>
      </w:r>
      <w:proofErr w:type="gramEnd"/>
      <w:r w:rsidRPr="002E4D5B">
        <w:t>–15. https://doi.org/10.1111/jgh.16879</w:t>
      </w:r>
    </w:p>
    <w:p w14:paraId="476FB561" w14:textId="77777777" w:rsidR="002E4D5B" w:rsidRPr="002E4D5B" w:rsidRDefault="002E4D5B" w:rsidP="002E4D5B">
      <w:pPr>
        <w:pStyle w:val="af2"/>
      </w:pPr>
      <w:r w:rsidRPr="002E4D5B">
        <w:t xml:space="preserve">8. Xu L, Zhang Y, Lin Z, Deng X, Ren X, Huang M, et al. FASN-mediated fatty acid biosynthesis remodels immune environment in </w:t>
      </w:r>
      <w:proofErr w:type="spellStart"/>
      <w:r w:rsidRPr="002E4D5B">
        <w:t>clonorchis</w:t>
      </w:r>
      <w:proofErr w:type="spellEnd"/>
      <w:r w:rsidRPr="002E4D5B">
        <w:t xml:space="preserve"> sinensis infection-related intrahepatic cholangiocarcinoma. J Hepatol. </w:t>
      </w:r>
      <w:proofErr w:type="gramStart"/>
      <w:r w:rsidRPr="002E4D5B">
        <w:t>2024;81:265</w:t>
      </w:r>
      <w:proofErr w:type="gramEnd"/>
      <w:r w:rsidRPr="002E4D5B">
        <w:t>–77. https://doi.org/10.1016/j.jhep.2024.03.016</w:t>
      </w:r>
    </w:p>
    <w:p w14:paraId="238E134C" w14:textId="77777777" w:rsidR="002E4D5B" w:rsidRPr="002E4D5B" w:rsidRDefault="002E4D5B" w:rsidP="002E4D5B">
      <w:pPr>
        <w:pStyle w:val="af2"/>
      </w:pPr>
      <w:r w:rsidRPr="002E4D5B">
        <w:t xml:space="preserve">9. Zhao Q. Mutant IDH1 attenuates hepatic lipogenesis through PTEN dependent pathway. </w:t>
      </w:r>
      <w:proofErr w:type="spellStart"/>
      <w:r w:rsidRPr="002E4D5B">
        <w:t>Biochem</w:t>
      </w:r>
      <w:proofErr w:type="spellEnd"/>
      <w:r w:rsidRPr="002E4D5B">
        <w:t xml:space="preserve"> </w:t>
      </w:r>
      <w:proofErr w:type="spellStart"/>
      <w:r w:rsidRPr="002E4D5B">
        <w:t>Biophys</w:t>
      </w:r>
      <w:proofErr w:type="spellEnd"/>
      <w:r w:rsidRPr="002E4D5B">
        <w:t xml:space="preserve"> Res Commun. United States; </w:t>
      </w:r>
      <w:proofErr w:type="gramStart"/>
      <w:r w:rsidRPr="002E4D5B">
        <w:t>2022;637:254</w:t>
      </w:r>
      <w:proofErr w:type="gramEnd"/>
      <w:r w:rsidRPr="002E4D5B">
        <w:t>–8. https://doi.org/10.1016/j.bbrc.2022.11.041</w:t>
      </w:r>
    </w:p>
    <w:p w14:paraId="1C8701E9" w14:textId="77777777" w:rsidR="002E4D5B" w:rsidRPr="002E4D5B" w:rsidRDefault="002E4D5B" w:rsidP="002E4D5B">
      <w:pPr>
        <w:pStyle w:val="af2"/>
      </w:pPr>
      <w:r w:rsidRPr="002E4D5B">
        <w:t xml:space="preserve">10. Su L, Huang Y, Zheng L, Zhu Z, Wu Y, Li P. Isocitrate dehydrogenase 1 mutation in cholangiocarcinoma impairs tumor progression by sensitizing cells to ferroptosis. Open Med (Wars). Poland; </w:t>
      </w:r>
      <w:proofErr w:type="gramStart"/>
      <w:r w:rsidRPr="002E4D5B">
        <w:t>2022;17:863</w:t>
      </w:r>
      <w:proofErr w:type="gramEnd"/>
      <w:r w:rsidRPr="002E4D5B">
        <w:t>–70. https://doi.org/10.1515/med-2022-0477</w:t>
      </w:r>
    </w:p>
    <w:p w14:paraId="0260FD13" w14:textId="77777777" w:rsidR="002E4D5B" w:rsidRPr="002E4D5B" w:rsidRDefault="002E4D5B" w:rsidP="002E4D5B">
      <w:pPr>
        <w:pStyle w:val="af2"/>
      </w:pPr>
      <w:r w:rsidRPr="002E4D5B">
        <w:t xml:space="preserve">11. Guo Y, Zhang Y-G, Li H-C, Xu Y-H. Transiently elevated TC and </w:t>
      </w:r>
      <w:proofErr w:type="spellStart"/>
      <w:r w:rsidRPr="002E4D5B">
        <w:t>sdLDL</w:t>
      </w:r>
      <w:proofErr w:type="spellEnd"/>
      <w:r w:rsidRPr="002E4D5B">
        <w:t xml:space="preserve">-C levels and falsely low LDL-C levels in patients with extrahepatic cholangiocarcinoma. </w:t>
      </w:r>
      <w:proofErr w:type="spellStart"/>
      <w:r w:rsidRPr="002E4D5B">
        <w:t>OncoTargets</w:t>
      </w:r>
      <w:proofErr w:type="spellEnd"/>
      <w:r w:rsidRPr="002E4D5B">
        <w:t xml:space="preserve"> Ther. </w:t>
      </w:r>
      <w:proofErr w:type="gramStart"/>
      <w:r w:rsidRPr="002E4D5B">
        <w:t>2021;14:1061</w:t>
      </w:r>
      <w:proofErr w:type="gramEnd"/>
      <w:r w:rsidRPr="002E4D5B">
        <w:t>–71. https://doi.org/10.2147/OTT.S285856</w:t>
      </w:r>
    </w:p>
    <w:p w14:paraId="5DD96292" w14:textId="77777777" w:rsidR="002E4D5B" w:rsidRPr="002E4D5B" w:rsidRDefault="002E4D5B" w:rsidP="002E4D5B">
      <w:pPr>
        <w:pStyle w:val="af2"/>
      </w:pPr>
      <w:r w:rsidRPr="002E4D5B">
        <w:t xml:space="preserve">12. Wang Y, Aoki H, Yang J, Peng K, Liu R, Li X, et al. The role of sphingosine 1-phosphate receptor 2 in bile-acid-induced cholangiocyte proliferation and cholestasis-induced liver injury in mice. Hepatology. United States; </w:t>
      </w:r>
      <w:proofErr w:type="gramStart"/>
      <w:r w:rsidRPr="002E4D5B">
        <w:t>2017;65:2005</w:t>
      </w:r>
      <w:proofErr w:type="gramEnd"/>
      <w:r w:rsidRPr="002E4D5B">
        <w:t>–18. https://doi.org/10.1002/hep.29076</w:t>
      </w:r>
    </w:p>
    <w:p w14:paraId="77A75C5F" w14:textId="77777777" w:rsidR="002E4D5B" w:rsidRPr="002E4D5B" w:rsidRDefault="002E4D5B" w:rsidP="002E4D5B">
      <w:pPr>
        <w:pStyle w:val="af2"/>
      </w:pPr>
      <w:r w:rsidRPr="002E4D5B">
        <w:t>13. Liu R, Zhao R, Zhou X, Liang X, Campbell DJW, Zhang X, et al. Conjugated bile acids promote cholangiocarcinoma cell invasive growth through activation of sphingosine 1-phosphate receptor 2. Hepatology. Baltimore, Md.; 2014;60:908–18. https://doi.org/10.1002/hep.27085</w:t>
      </w:r>
    </w:p>
    <w:p w14:paraId="6A8F977A" w14:textId="77777777" w:rsidR="002E4D5B" w:rsidRPr="002E4D5B" w:rsidRDefault="002E4D5B" w:rsidP="002E4D5B">
      <w:pPr>
        <w:pStyle w:val="af2"/>
      </w:pPr>
      <w:r w:rsidRPr="002E4D5B">
        <w:t xml:space="preserve">14. Bu Y, Chen D, Li J, Yang R, Gao J, Qu W, et al. STAT3 induced BRD9 activation promotes </w:t>
      </w:r>
      <w:r w:rsidRPr="002E4D5B">
        <w:lastRenderedPageBreak/>
        <w:t xml:space="preserve">intrahepatic cholangiocarcinoma progression by enhancing CD36 controlled fatty acid metabolism. Cancer Lett. Ireland; </w:t>
      </w:r>
      <w:proofErr w:type="gramStart"/>
      <w:r w:rsidRPr="002E4D5B">
        <w:t>2025;634:218066</w:t>
      </w:r>
      <w:proofErr w:type="gramEnd"/>
      <w:r w:rsidRPr="002E4D5B">
        <w:t>. https://doi.org/10.1016/j.canlet.2025.218066</w:t>
      </w:r>
    </w:p>
    <w:p w14:paraId="21B323F9" w14:textId="77777777" w:rsidR="002E4D5B" w:rsidRPr="002E4D5B" w:rsidRDefault="002E4D5B" w:rsidP="002E4D5B">
      <w:pPr>
        <w:pStyle w:val="af2"/>
      </w:pPr>
      <w:r w:rsidRPr="002E4D5B">
        <w:t xml:space="preserve">15. Liu F, Chen W, Zhang Z, Zeng W, Hu H, Ning S, et al. Targeting Aurora kinase B regulates cholesterol metabolism and enhances chemoimmunotherapy in cholangiocarcinoma. Gut. England; </w:t>
      </w:r>
      <w:proofErr w:type="gramStart"/>
      <w:r w:rsidRPr="002E4D5B">
        <w:t>2025;gutjnl</w:t>
      </w:r>
      <w:proofErr w:type="gramEnd"/>
      <w:r w:rsidRPr="002E4D5B">
        <w:t>-2025-335291. https://doi.org/10.1136/gutjnl-2025-335291</w:t>
      </w:r>
    </w:p>
    <w:p w14:paraId="7077DC93" w14:textId="77777777" w:rsidR="002E4D5B" w:rsidRPr="002E4D5B" w:rsidRDefault="002E4D5B" w:rsidP="002E4D5B">
      <w:pPr>
        <w:pStyle w:val="af2"/>
      </w:pPr>
      <w:r w:rsidRPr="002E4D5B">
        <w:t>16. He T, Wang Z-Y, Xu B, Zhong C-J, Wang L-N, Shi H-C, et al. CXCL6 Reshapes Lipid Metabolism and Induces Neutrophil Extracellular Trap Formation in Cholangiocarcinoma Progression and Immunotherapy Resistance. Adv Sci (</w:t>
      </w:r>
      <w:proofErr w:type="spellStart"/>
      <w:r w:rsidRPr="002E4D5B">
        <w:t>Weinh</w:t>
      </w:r>
      <w:proofErr w:type="spellEnd"/>
      <w:r w:rsidRPr="002E4D5B">
        <w:t>). Germany; 2025;</w:t>
      </w:r>
      <w:proofErr w:type="gramStart"/>
      <w:r w:rsidRPr="002E4D5B">
        <w:t>12:e</w:t>
      </w:r>
      <w:proofErr w:type="gramEnd"/>
      <w:r w:rsidRPr="002E4D5B">
        <w:t>2503009. https://doi.org/10.1002/advs.202503009</w:t>
      </w:r>
    </w:p>
    <w:p w14:paraId="4155DA6E" w14:textId="77777777" w:rsidR="002E4D5B" w:rsidRPr="002E4D5B" w:rsidRDefault="002E4D5B" w:rsidP="002E4D5B">
      <w:pPr>
        <w:pStyle w:val="af2"/>
      </w:pPr>
      <w:r w:rsidRPr="002E4D5B">
        <w:t xml:space="preserve">17. Yin H, Yang K, Lou Y, Zhao Y. Investigating the causal relationship between the plasma lipidome and cholangiocarcinoma mediated by immune cells: a mediation Mendelian </w:t>
      </w:r>
      <w:proofErr w:type="gramStart"/>
      <w:r w:rsidRPr="002E4D5B">
        <w:t>randomization  study</w:t>
      </w:r>
      <w:proofErr w:type="gramEnd"/>
      <w:r w:rsidRPr="002E4D5B">
        <w:t xml:space="preserve">. Sci Rep. England; </w:t>
      </w:r>
      <w:proofErr w:type="gramStart"/>
      <w:r w:rsidRPr="002E4D5B">
        <w:t>2025;15:5807</w:t>
      </w:r>
      <w:proofErr w:type="gramEnd"/>
      <w:r w:rsidRPr="002E4D5B">
        <w:t>. https://doi.org/10.1038/s41598-025-90140-x</w:t>
      </w:r>
    </w:p>
    <w:p w14:paraId="15A97E83" w14:textId="77777777" w:rsidR="002E4D5B" w:rsidRPr="002E4D5B" w:rsidRDefault="002E4D5B" w:rsidP="002E4D5B">
      <w:pPr>
        <w:pStyle w:val="af2"/>
      </w:pPr>
      <w:r w:rsidRPr="002E4D5B">
        <w:t xml:space="preserve">18. Chen J, Tang Y, Qin D, Yu X, Tong H, Tang C, et al. ALOX5 acts as a key role in regulating the immune microenvironment in intrahepatic cholangiocarcinoma, recruiting tumor-associated macrophages </w:t>
      </w:r>
      <w:proofErr w:type="gramStart"/>
      <w:r w:rsidRPr="002E4D5B">
        <w:t>through  PI</w:t>
      </w:r>
      <w:proofErr w:type="gramEnd"/>
      <w:r w:rsidRPr="002E4D5B">
        <w:t xml:space="preserve">3K pathway. J </w:t>
      </w:r>
      <w:proofErr w:type="spellStart"/>
      <w:r w:rsidRPr="002E4D5B">
        <w:t>Transl</w:t>
      </w:r>
      <w:proofErr w:type="spellEnd"/>
      <w:r w:rsidRPr="002E4D5B">
        <w:t xml:space="preserve"> Med. England; </w:t>
      </w:r>
      <w:proofErr w:type="gramStart"/>
      <w:r w:rsidRPr="002E4D5B">
        <w:t>2023;21:923</w:t>
      </w:r>
      <w:proofErr w:type="gramEnd"/>
      <w:r w:rsidRPr="002E4D5B">
        <w:t>. https://doi.org/10.1186/s12967-023-04804-1</w:t>
      </w:r>
    </w:p>
    <w:p w14:paraId="2267252F" w14:textId="77777777" w:rsidR="002E4D5B" w:rsidRPr="002E4D5B" w:rsidRDefault="002E4D5B" w:rsidP="002E4D5B">
      <w:pPr>
        <w:pStyle w:val="af2"/>
      </w:pPr>
      <w:r w:rsidRPr="002E4D5B">
        <w:t xml:space="preserve">19. Lin C-R, Chu T-M, Luo A, Huang S-J, Chou H-Y, Lu M-W, et al. Omega-3 polyunsaturated fatty acids suppress metastatic features of human cholangiocarcinoma cells by suppressing twist. J </w:t>
      </w:r>
      <w:proofErr w:type="spellStart"/>
      <w:r w:rsidRPr="002E4D5B">
        <w:t>Nutr</w:t>
      </w:r>
      <w:proofErr w:type="spellEnd"/>
      <w:r w:rsidRPr="002E4D5B">
        <w:t xml:space="preserve"> </w:t>
      </w:r>
      <w:proofErr w:type="spellStart"/>
      <w:r w:rsidRPr="002E4D5B">
        <w:t>Biochem</w:t>
      </w:r>
      <w:proofErr w:type="spellEnd"/>
      <w:r w:rsidRPr="002E4D5B">
        <w:t xml:space="preserve">. United States; </w:t>
      </w:r>
      <w:proofErr w:type="gramStart"/>
      <w:r w:rsidRPr="002E4D5B">
        <w:t>2019;74:108245</w:t>
      </w:r>
      <w:proofErr w:type="gramEnd"/>
      <w:r w:rsidRPr="002E4D5B">
        <w:t>. https://doi.org/10.1016/j.jnutbio.2019.108245</w:t>
      </w:r>
    </w:p>
    <w:p w14:paraId="6A0A3B63" w14:textId="77777777" w:rsidR="002E4D5B" w:rsidRPr="002E4D5B" w:rsidRDefault="002E4D5B" w:rsidP="002E4D5B">
      <w:pPr>
        <w:pStyle w:val="af2"/>
      </w:pPr>
      <w:r w:rsidRPr="002E4D5B">
        <w:t xml:space="preserve">20. Nie J, Zhang J, Wang L, Lu L, Yuan Q, An F, et al. Adipocytes promote cholangiocarcinoma metastasis through fatty acid binding protein 4. J Exp Clin Cancer Res. England; </w:t>
      </w:r>
      <w:proofErr w:type="gramStart"/>
      <w:r w:rsidRPr="002E4D5B">
        <w:t>2017;36:183</w:t>
      </w:r>
      <w:proofErr w:type="gramEnd"/>
      <w:r w:rsidRPr="002E4D5B">
        <w:t>. https://doi.org/10.1186/s13046-017-0641-y</w:t>
      </w:r>
    </w:p>
    <w:p w14:paraId="25953177" w14:textId="77777777" w:rsidR="002E4D5B" w:rsidRPr="002E4D5B" w:rsidRDefault="002E4D5B" w:rsidP="002E4D5B">
      <w:pPr>
        <w:pStyle w:val="af2"/>
      </w:pPr>
      <w:r w:rsidRPr="002E4D5B">
        <w:t xml:space="preserve">21. Zhang H, Zhu K, Zhang R, Guo Y, Wang J, Liu C, et al. Oleic acid-PPARγ-FABP4 loop fuels cholangiocarcinoma colonization in lymph node metastases microenvironment. Hepatology. United States; </w:t>
      </w:r>
      <w:proofErr w:type="gramStart"/>
      <w:r w:rsidRPr="002E4D5B">
        <w:t>2024;80:69</w:t>
      </w:r>
      <w:proofErr w:type="gramEnd"/>
      <w:r w:rsidRPr="002E4D5B">
        <w:t>–86. https://doi.org/10.1097/HEP.0000000000000784</w:t>
      </w:r>
    </w:p>
    <w:p w14:paraId="6797564E" w14:textId="77777777" w:rsidR="002E4D5B" w:rsidRPr="002E4D5B" w:rsidRDefault="002E4D5B" w:rsidP="002E4D5B">
      <w:pPr>
        <w:pStyle w:val="af2"/>
      </w:pPr>
      <w:r w:rsidRPr="002E4D5B">
        <w:t xml:space="preserve">22. Sun X, Zhao X, Wang S, Liu Q, Wei W, Xu J, et al. The pathological significance and potential mechanism of ACLY in cholangiocarcinoma. Front Immunol. Switzerland; </w:t>
      </w:r>
      <w:proofErr w:type="gramStart"/>
      <w:r w:rsidRPr="002E4D5B">
        <w:t>2024;15:1477267</w:t>
      </w:r>
      <w:proofErr w:type="gramEnd"/>
      <w:r w:rsidRPr="002E4D5B">
        <w:t>. https://doi.org/10.3389/fimmu.2024.1477267</w:t>
      </w:r>
    </w:p>
    <w:p w14:paraId="33D6D164" w14:textId="77777777" w:rsidR="002E4D5B" w:rsidRPr="002E4D5B" w:rsidRDefault="002E4D5B" w:rsidP="002E4D5B">
      <w:pPr>
        <w:pStyle w:val="af2"/>
      </w:pPr>
      <w:r w:rsidRPr="002E4D5B">
        <w:t xml:space="preserve">23. Zhao Y, Yang S, Huang L, Liu X, Han Q, Niu Q, et al. MUC1 drives ferroptosis resistance in ICC via </w:t>
      </w:r>
      <w:proofErr w:type="spellStart"/>
      <w:r w:rsidRPr="002E4D5B">
        <w:t>Src</w:t>
      </w:r>
      <w:proofErr w:type="spellEnd"/>
      <w:r w:rsidRPr="002E4D5B">
        <w:t xml:space="preserve">-mediated FSP1 </w:t>
      </w:r>
      <w:proofErr w:type="spellStart"/>
      <w:r w:rsidRPr="002E4D5B">
        <w:t>deubiquitination</w:t>
      </w:r>
      <w:proofErr w:type="spellEnd"/>
      <w:r w:rsidRPr="002E4D5B">
        <w:t xml:space="preserve"> and </w:t>
      </w:r>
      <w:proofErr w:type="spellStart"/>
      <w:r w:rsidRPr="002E4D5B">
        <w:t>myristoylation</w:t>
      </w:r>
      <w:proofErr w:type="spellEnd"/>
      <w:r w:rsidRPr="002E4D5B">
        <w:t xml:space="preserve">. Clin </w:t>
      </w:r>
      <w:proofErr w:type="spellStart"/>
      <w:r w:rsidRPr="002E4D5B">
        <w:t>Transl</w:t>
      </w:r>
      <w:proofErr w:type="spellEnd"/>
      <w:r w:rsidRPr="002E4D5B">
        <w:t xml:space="preserve"> Med. United States; 2025;</w:t>
      </w:r>
      <w:proofErr w:type="gramStart"/>
      <w:r w:rsidRPr="002E4D5B">
        <w:t>15:e</w:t>
      </w:r>
      <w:proofErr w:type="gramEnd"/>
      <w:r w:rsidRPr="002E4D5B">
        <w:t>70495. https://doi.org/10.1002/ctm2.70495</w:t>
      </w:r>
    </w:p>
    <w:p w14:paraId="532BC81D" w14:textId="77777777" w:rsidR="002E4D5B" w:rsidRPr="002E4D5B" w:rsidRDefault="002E4D5B" w:rsidP="002E4D5B">
      <w:pPr>
        <w:pStyle w:val="af2"/>
      </w:pPr>
      <w:r w:rsidRPr="002E4D5B">
        <w:t xml:space="preserve">24. Zhao F, Peng S, Zou L, Zhong M, Huang Y, Wang P, et al. Lycorine hydrochloride inhibits cholangiocarcinoma through cholesterol biosynthesis and PTPN11 nuclear translocation. </w:t>
      </w:r>
      <w:r w:rsidRPr="002E4D5B">
        <w:lastRenderedPageBreak/>
        <w:t xml:space="preserve">Cell Commun Signal. England; </w:t>
      </w:r>
      <w:proofErr w:type="gramStart"/>
      <w:r w:rsidRPr="002E4D5B">
        <w:t>2025;23:315</w:t>
      </w:r>
      <w:proofErr w:type="gramEnd"/>
      <w:r w:rsidRPr="002E4D5B">
        <w:t>. https://doi.org/10.1186/s12964-025-02318-5</w:t>
      </w:r>
    </w:p>
    <w:p w14:paraId="51A8D1C2" w14:textId="77777777" w:rsidR="002E4D5B" w:rsidRPr="002E4D5B" w:rsidRDefault="002E4D5B" w:rsidP="002E4D5B">
      <w:pPr>
        <w:pStyle w:val="af2"/>
      </w:pPr>
      <w:r w:rsidRPr="002E4D5B">
        <w:t xml:space="preserve">25. Huang T, Cao H, Liu C, Sun X, Dai S, Liu L, et al. MAL2 reprograms lipid metabolism in intrahepatic cholangiocarcinoma via EGFR/SREBP-1 pathway based on single-cell RNA sequencing. Cell Death Dis. </w:t>
      </w:r>
      <w:proofErr w:type="gramStart"/>
      <w:r w:rsidRPr="002E4D5B">
        <w:t>2024;15:411</w:t>
      </w:r>
      <w:proofErr w:type="gramEnd"/>
      <w:r w:rsidRPr="002E4D5B">
        <w:t>. https://doi.org/10.1038/s41419-024-06775-7</w:t>
      </w:r>
    </w:p>
    <w:p w14:paraId="5483D56B" w14:textId="77777777" w:rsidR="002E4D5B" w:rsidRPr="002E4D5B" w:rsidRDefault="002E4D5B" w:rsidP="002E4D5B">
      <w:pPr>
        <w:pStyle w:val="af2"/>
      </w:pPr>
      <w:r w:rsidRPr="002E4D5B">
        <w:t xml:space="preserve">26. Duan Y, Deng M, Liu B, Meng X, Liao J, Qiu Y, et al. Mitochondria targeted drug delivery system overcoming drug resistance in intrahepatic cholangiocarcinoma by reprogramming lipid metabolism. Biomaterials. Netherlands; </w:t>
      </w:r>
      <w:proofErr w:type="gramStart"/>
      <w:r w:rsidRPr="002E4D5B">
        <w:t>2024;309:122609</w:t>
      </w:r>
      <w:proofErr w:type="gramEnd"/>
      <w:r w:rsidRPr="002E4D5B">
        <w:t>. https://doi.org/10.1016/j.biomaterials.2024.122609</w:t>
      </w:r>
    </w:p>
    <w:p w14:paraId="609F50D2" w14:textId="77777777" w:rsidR="002E4D5B" w:rsidRPr="002E4D5B" w:rsidRDefault="002E4D5B" w:rsidP="002E4D5B">
      <w:pPr>
        <w:pStyle w:val="af2"/>
      </w:pPr>
      <w:r w:rsidRPr="002E4D5B">
        <w:t xml:space="preserve">27. Banales JM, </w:t>
      </w:r>
      <w:proofErr w:type="spellStart"/>
      <w:r w:rsidRPr="002E4D5B">
        <w:t>Iñarrairaegui</w:t>
      </w:r>
      <w:proofErr w:type="spellEnd"/>
      <w:r w:rsidRPr="002E4D5B">
        <w:t xml:space="preserve"> M, </w:t>
      </w:r>
      <w:proofErr w:type="spellStart"/>
      <w:r w:rsidRPr="002E4D5B">
        <w:t>Arbelaiz</w:t>
      </w:r>
      <w:proofErr w:type="spellEnd"/>
      <w:r w:rsidRPr="002E4D5B">
        <w:t xml:space="preserve"> A, Milkiewicz P, </w:t>
      </w:r>
      <w:proofErr w:type="spellStart"/>
      <w:r w:rsidRPr="002E4D5B">
        <w:t>Muntané</w:t>
      </w:r>
      <w:proofErr w:type="spellEnd"/>
      <w:r w:rsidRPr="002E4D5B">
        <w:t xml:space="preserve"> J, Muñoz-</w:t>
      </w:r>
      <w:proofErr w:type="spellStart"/>
      <w:r w:rsidRPr="002E4D5B">
        <w:t>Bellvis</w:t>
      </w:r>
      <w:proofErr w:type="spellEnd"/>
      <w:r w:rsidRPr="002E4D5B">
        <w:t xml:space="preserve"> L, et al. Serum Metabolites as Diagnostic Biomarkers for Cholangiocarcinoma, Hepatocellular Carcinoma, and Primary Sclerosing Cholangitis. Hepatology. United States; </w:t>
      </w:r>
      <w:proofErr w:type="gramStart"/>
      <w:r w:rsidRPr="002E4D5B">
        <w:t>2019;70:547</w:t>
      </w:r>
      <w:proofErr w:type="gramEnd"/>
      <w:r w:rsidRPr="002E4D5B">
        <w:t>–62. https://doi.org/10.1002/hep.30319</w:t>
      </w:r>
    </w:p>
    <w:p w14:paraId="5AEC7828" w14:textId="77777777" w:rsidR="002E4D5B" w:rsidRPr="002E4D5B" w:rsidRDefault="002E4D5B" w:rsidP="002E4D5B">
      <w:pPr>
        <w:pStyle w:val="af2"/>
      </w:pPr>
      <w:r w:rsidRPr="002E4D5B">
        <w:t xml:space="preserve">28. Martín-Sierra C, Colombo S, Martins R, Laranjeira P, Melo T, Abrantes AM, et al. Tumor resection induces alterations on serum </w:t>
      </w:r>
      <w:proofErr w:type="spellStart"/>
      <w:r w:rsidRPr="002E4D5B">
        <w:t>phospholipidome</w:t>
      </w:r>
      <w:proofErr w:type="spellEnd"/>
      <w:r w:rsidRPr="002E4D5B">
        <w:t xml:space="preserve"> of liver cancer patients. Lipids. </w:t>
      </w:r>
      <w:proofErr w:type="gramStart"/>
      <w:r w:rsidRPr="002E4D5B">
        <w:t>2020;55:185</w:t>
      </w:r>
      <w:proofErr w:type="gramEnd"/>
      <w:r w:rsidRPr="002E4D5B">
        <w:t>–91. https://doi.org/10.1002/lipd.12221</w:t>
      </w:r>
    </w:p>
    <w:p w14:paraId="3CCA77A4" w14:textId="77777777" w:rsidR="002E4D5B" w:rsidRPr="002E4D5B" w:rsidRDefault="002E4D5B" w:rsidP="002E4D5B">
      <w:pPr>
        <w:pStyle w:val="af2"/>
      </w:pPr>
      <w:r w:rsidRPr="002E4D5B">
        <w:t xml:space="preserve">29. Muraki R, Morita Y, Ida S, Kitajima R, Furuhashi S, Takeda M, et al. Phosphatidylcholine in bile‐derived small extracellular vesicles as a novel biomarker of cholangiocarcinoma. Cancer Med. </w:t>
      </w:r>
      <w:proofErr w:type="gramStart"/>
      <w:r w:rsidRPr="002E4D5B">
        <w:t>2023;12:13007</w:t>
      </w:r>
      <w:proofErr w:type="gramEnd"/>
      <w:r w:rsidRPr="002E4D5B">
        <w:t>–18. https://doi.org/10.1002/cam4.5973</w:t>
      </w:r>
    </w:p>
    <w:p w14:paraId="3E5C91A4" w14:textId="77777777" w:rsidR="002E4D5B" w:rsidRPr="002E4D5B" w:rsidRDefault="002E4D5B" w:rsidP="002E4D5B">
      <w:pPr>
        <w:pStyle w:val="af2"/>
      </w:pPr>
      <w:r w:rsidRPr="002E4D5B">
        <w:t xml:space="preserve">30. Liu F-S. Lipidomic profiling of human bile distinguishes cholangiocarcinoma from benign bile duct diseases with high specificity and sensitivity: a prospective descriptive study. British Journal of Cancer. </w:t>
      </w:r>
    </w:p>
    <w:p w14:paraId="004C09DD" w14:textId="77777777" w:rsidR="002E4D5B" w:rsidRPr="002E4D5B" w:rsidRDefault="002E4D5B" w:rsidP="002E4D5B">
      <w:pPr>
        <w:pStyle w:val="af2"/>
      </w:pPr>
      <w:r w:rsidRPr="002E4D5B">
        <w:t xml:space="preserve">31. Yu HJ, Moon MH. Direct lipid analysis of exosomes in serum by online miniaturized asymmetrical flow field-flow fractionation and electrospray ionization-mass spectrometry:  Application to extrahepatic cholangiocarcinoma. J </w:t>
      </w:r>
      <w:proofErr w:type="spellStart"/>
      <w:r w:rsidRPr="002E4D5B">
        <w:t>Chromatogr</w:t>
      </w:r>
      <w:proofErr w:type="spellEnd"/>
      <w:r w:rsidRPr="002E4D5B">
        <w:t xml:space="preserve"> A. Netherlands; </w:t>
      </w:r>
      <w:proofErr w:type="gramStart"/>
      <w:r w:rsidRPr="002E4D5B">
        <w:t>2025;1746:465778</w:t>
      </w:r>
      <w:proofErr w:type="gramEnd"/>
      <w:r w:rsidRPr="002E4D5B">
        <w:t>. https://doi.org/10.1016/j.chroma.2025.465778</w:t>
      </w:r>
    </w:p>
    <w:p w14:paraId="00230921" w14:textId="77777777" w:rsidR="002E4D5B" w:rsidRPr="002E4D5B" w:rsidRDefault="002E4D5B" w:rsidP="002E4D5B">
      <w:pPr>
        <w:pStyle w:val="af2"/>
      </w:pPr>
      <w:r w:rsidRPr="002E4D5B">
        <w:t xml:space="preserve">32. </w:t>
      </w:r>
      <w:proofErr w:type="spellStart"/>
      <w:r w:rsidRPr="002E4D5B">
        <w:t>Silsirivanit</w:t>
      </w:r>
      <w:proofErr w:type="spellEnd"/>
      <w:r w:rsidRPr="002E4D5B">
        <w:t xml:space="preserve"> A, </w:t>
      </w:r>
      <w:proofErr w:type="spellStart"/>
      <w:r w:rsidRPr="002E4D5B">
        <w:t>Phoomak</w:t>
      </w:r>
      <w:proofErr w:type="spellEnd"/>
      <w:r w:rsidRPr="002E4D5B">
        <w:t xml:space="preserve"> C, </w:t>
      </w:r>
      <w:proofErr w:type="spellStart"/>
      <w:r w:rsidRPr="002E4D5B">
        <w:t>Teeravirote</w:t>
      </w:r>
      <w:proofErr w:type="spellEnd"/>
      <w:r w:rsidRPr="002E4D5B">
        <w:t xml:space="preserve"> K, </w:t>
      </w:r>
      <w:proofErr w:type="spellStart"/>
      <w:r w:rsidRPr="002E4D5B">
        <w:t>Wattanavises</w:t>
      </w:r>
      <w:proofErr w:type="spellEnd"/>
      <w:r w:rsidRPr="002E4D5B">
        <w:t xml:space="preserve"> S, </w:t>
      </w:r>
      <w:proofErr w:type="spellStart"/>
      <w:r w:rsidRPr="002E4D5B">
        <w:t>Seubwai</w:t>
      </w:r>
      <w:proofErr w:type="spellEnd"/>
      <w:r w:rsidRPr="002E4D5B">
        <w:t xml:space="preserve"> W, </w:t>
      </w:r>
      <w:proofErr w:type="spellStart"/>
      <w:r w:rsidRPr="002E4D5B">
        <w:t>Saengboonmee</w:t>
      </w:r>
      <w:proofErr w:type="spellEnd"/>
      <w:r w:rsidRPr="002E4D5B">
        <w:t xml:space="preserve"> C, et al. Overexpression of </w:t>
      </w:r>
      <w:proofErr w:type="spellStart"/>
      <w:r w:rsidRPr="002E4D5B">
        <w:t>HexCer</w:t>
      </w:r>
      <w:proofErr w:type="spellEnd"/>
      <w:r w:rsidRPr="002E4D5B">
        <w:t xml:space="preserve"> and </w:t>
      </w:r>
      <w:proofErr w:type="spellStart"/>
      <w:r w:rsidRPr="002E4D5B">
        <w:t>LacCer</w:t>
      </w:r>
      <w:proofErr w:type="spellEnd"/>
      <w:r w:rsidRPr="002E4D5B">
        <w:t xml:space="preserve"> containing 2-hydroxylated fatty acids in cholangiocarcinoma and the association of the increase of </w:t>
      </w:r>
      <w:proofErr w:type="spellStart"/>
      <w:r w:rsidRPr="002E4D5B">
        <w:t>LacCer</w:t>
      </w:r>
      <w:proofErr w:type="spellEnd"/>
      <w:r w:rsidRPr="002E4D5B">
        <w:t xml:space="preserve"> (d18:1-h23:0</w:t>
      </w:r>
      <w:proofErr w:type="gramStart"/>
      <w:r w:rsidRPr="002E4D5B">
        <w:t>)  with</w:t>
      </w:r>
      <w:proofErr w:type="gramEnd"/>
      <w:r w:rsidRPr="002E4D5B">
        <w:t xml:space="preserve"> shorter survival of the patients. </w:t>
      </w:r>
      <w:proofErr w:type="spellStart"/>
      <w:r w:rsidRPr="002E4D5B">
        <w:t>Glycoconj</w:t>
      </w:r>
      <w:proofErr w:type="spellEnd"/>
      <w:r w:rsidRPr="002E4D5B">
        <w:t xml:space="preserve"> J. United States; </w:t>
      </w:r>
      <w:proofErr w:type="gramStart"/>
      <w:r w:rsidRPr="002E4D5B">
        <w:t>2019;36:103</w:t>
      </w:r>
      <w:proofErr w:type="gramEnd"/>
      <w:r w:rsidRPr="002E4D5B">
        <w:t>–11. https://doi.org/10.1007/s10719-019-09864-4</w:t>
      </w:r>
    </w:p>
    <w:p w14:paraId="5B21E00D" w14:textId="77777777" w:rsidR="002E4D5B" w:rsidRPr="002E4D5B" w:rsidRDefault="002E4D5B" w:rsidP="002E4D5B">
      <w:pPr>
        <w:pStyle w:val="af2"/>
      </w:pPr>
      <w:r w:rsidRPr="002E4D5B">
        <w:t xml:space="preserve">33. Watling CZ, Petrick JL, Graubard BI, Zhang X, Barnett MJ, Buring JE, et al. Pre-diagnostic circulating bile acid concentrations and liver cancer risk: a nested case-control analysis of 12 cohorts. JNCI Cancer </w:t>
      </w:r>
      <w:proofErr w:type="spellStart"/>
      <w:r w:rsidRPr="002E4D5B">
        <w:t>Spectr</w:t>
      </w:r>
      <w:proofErr w:type="spellEnd"/>
      <w:r w:rsidRPr="002E4D5B">
        <w:t>. England; 2025;9. https://doi.org/10.1093/jncics/pkaf086</w:t>
      </w:r>
    </w:p>
    <w:p w14:paraId="3D9D2941" w14:textId="77777777" w:rsidR="002E4D5B" w:rsidRPr="002E4D5B" w:rsidRDefault="002E4D5B" w:rsidP="002E4D5B">
      <w:pPr>
        <w:pStyle w:val="af2"/>
      </w:pPr>
      <w:r w:rsidRPr="002E4D5B">
        <w:t>34. Kwee SA, Sato MM, Kuang Y, Franke A, Custer L, Miyazaki K, et al. [(18</w:t>
      </w:r>
      <w:proofErr w:type="gramStart"/>
      <w:r w:rsidRPr="002E4D5B">
        <w:t>)F]</w:t>
      </w:r>
      <w:proofErr w:type="spellStart"/>
      <w:r w:rsidRPr="002E4D5B">
        <w:t>Fluorocholine</w:t>
      </w:r>
      <w:proofErr w:type="spellEnd"/>
      <w:proofErr w:type="gramEnd"/>
      <w:r w:rsidRPr="002E4D5B">
        <w:t xml:space="preserve"> PET/CT Imaging of Liver Cancer: </w:t>
      </w:r>
      <w:proofErr w:type="spellStart"/>
      <w:r w:rsidRPr="002E4D5B">
        <w:t>Radiopathologic</w:t>
      </w:r>
      <w:proofErr w:type="spellEnd"/>
      <w:r w:rsidRPr="002E4D5B">
        <w:t xml:space="preserve"> Correlation with Tissue Phospholipid Profiling. Mol Imaging Biol. United States; </w:t>
      </w:r>
      <w:proofErr w:type="gramStart"/>
      <w:r w:rsidRPr="002E4D5B">
        <w:t>2017;19:446</w:t>
      </w:r>
      <w:proofErr w:type="gramEnd"/>
      <w:r w:rsidRPr="002E4D5B">
        <w:t>–55. https://doi.org/10.1007/s11307-016-1020-3</w:t>
      </w:r>
    </w:p>
    <w:p w14:paraId="51446EF7" w14:textId="77777777" w:rsidR="002E4D5B" w:rsidRPr="002E4D5B" w:rsidRDefault="002E4D5B" w:rsidP="002E4D5B">
      <w:pPr>
        <w:pStyle w:val="af2"/>
      </w:pPr>
      <w:r w:rsidRPr="002E4D5B">
        <w:lastRenderedPageBreak/>
        <w:t xml:space="preserve">35. </w:t>
      </w:r>
      <w:proofErr w:type="spellStart"/>
      <w:r w:rsidRPr="002E4D5B">
        <w:t>Padthaisong</w:t>
      </w:r>
      <w:proofErr w:type="spellEnd"/>
      <w:r w:rsidRPr="002E4D5B">
        <w:t xml:space="preserve"> S, </w:t>
      </w:r>
      <w:proofErr w:type="spellStart"/>
      <w:r w:rsidRPr="002E4D5B">
        <w:t>Phetcharaburanin</w:t>
      </w:r>
      <w:proofErr w:type="spellEnd"/>
      <w:r w:rsidRPr="002E4D5B">
        <w:t xml:space="preserve"> J, </w:t>
      </w:r>
      <w:proofErr w:type="spellStart"/>
      <w:r w:rsidRPr="002E4D5B">
        <w:t>Klanrit</w:t>
      </w:r>
      <w:proofErr w:type="spellEnd"/>
      <w:r w:rsidRPr="002E4D5B">
        <w:t xml:space="preserve"> P, Li JV, </w:t>
      </w:r>
      <w:proofErr w:type="spellStart"/>
      <w:r w:rsidRPr="002E4D5B">
        <w:t>Namwat</w:t>
      </w:r>
      <w:proofErr w:type="spellEnd"/>
      <w:r w:rsidRPr="002E4D5B">
        <w:t xml:space="preserve"> N, </w:t>
      </w:r>
      <w:proofErr w:type="spellStart"/>
      <w:r w:rsidRPr="002E4D5B">
        <w:t>Khuntikeo</w:t>
      </w:r>
      <w:proofErr w:type="spellEnd"/>
      <w:r w:rsidRPr="002E4D5B">
        <w:t xml:space="preserve"> N, et al. Integration of global metabolomics and </w:t>
      </w:r>
      <w:proofErr w:type="spellStart"/>
      <w:r w:rsidRPr="002E4D5B">
        <w:t>lipidomics</w:t>
      </w:r>
      <w:proofErr w:type="spellEnd"/>
      <w:r w:rsidRPr="002E4D5B">
        <w:t xml:space="preserve"> approaches reveals the molecular mechanisms and the potential biomarkers for postoperative recurrence </w:t>
      </w:r>
      <w:proofErr w:type="gramStart"/>
      <w:r w:rsidRPr="002E4D5B">
        <w:t>in  early</w:t>
      </w:r>
      <w:proofErr w:type="gramEnd"/>
      <w:r w:rsidRPr="002E4D5B">
        <w:t xml:space="preserve">-stage cholangiocarcinoma. Cancer </w:t>
      </w:r>
      <w:proofErr w:type="spellStart"/>
      <w:r w:rsidRPr="002E4D5B">
        <w:t>Metab</w:t>
      </w:r>
      <w:proofErr w:type="spellEnd"/>
      <w:r w:rsidRPr="002E4D5B">
        <w:t xml:space="preserve">. England; </w:t>
      </w:r>
      <w:proofErr w:type="gramStart"/>
      <w:r w:rsidRPr="002E4D5B">
        <w:t>2021;9:30</w:t>
      </w:r>
      <w:proofErr w:type="gramEnd"/>
      <w:r w:rsidRPr="002E4D5B">
        <w:t>. https://doi.org/10.1186/s40170-021-00266-5</w:t>
      </w:r>
    </w:p>
    <w:p w14:paraId="4961D717" w14:textId="77777777" w:rsidR="002E4D5B" w:rsidRPr="002E4D5B" w:rsidRDefault="002E4D5B" w:rsidP="002E4D5B">
      <w:pPr>
        <w:pStyle w:val="af2"/>
      </w:pPr>
      <w:r w:rsidRPr="002E4D5B">
        <w:t xml:space="preserve">36. Yang Z, Zhang D, Sima X, Fu Y, Zeng H, Hu Z, et al. Levels of pretreatment serum lipids predict responses to PD-1 inhibitor treatment in advanced intrahepatic cholangiocarcinoma. Int </w:t>
      </w:r>
      <w:proofErr w:type="spellStart"/>
      <w:r w:rsidRPr="002E4D5B">
        <w:t>Immunopharmacol</w:t>
      </w:r>
      <w:proofErr w:type="spellEnd"/>
      <w:r w:rsidRPr="002E4D5B">
        <w:t xml:space="preserve">. Netherlands; </w:t>
      </w:r>
      <w:proofErr w:type="gramStart"/>
      <w:r w:rsidRPr="002E4D5B">
        <w:t>2023;115:109687</w:t>
      </w:r>
      <w:proofErr w:type="gramEnd"/>
      <w:r w:rsidRPr="002E4D5B">
        <w:t>. https://doi.org/10.1016/j.intimp.2023.109687</w:t>
      </w:r>
    </w:p>
    <w:p w14:paraId="498573A2" w14:textId="77777777" w:rsidR="002E4D5B" w:rsidRPr="002E4D5B" w:rsidRDefault="002E4D5B" w:rsidP="002E4D5B">
      <w:pPr>
        <w:pStyle w:val="af2"/>
      </w:pPr>
      <w:r w:rsidRPr="002E4D5B">
        <w:t xml:space="preserve">37. Dei Cas M, Mantovani S, Oliviero B, Zulueta A, </w:t>
      </w:r>
      <w:proofErr w:type="spellStart"/>
      <w:r w:rsidRPr="002E4D5B">
        <w:t>Montavoci</w:t>
      </w:r>
      <w:proofErr w:type="spellEnd"/>
      <w:r w:rsidRPr="002E4D5B">
        <w:t xml:space="preserve"> L, </w:t>
      </w:r>
      <w:proofErr w:type="spellStart"/>
      <w:r w:rsidRPr="002E4D5B">
        <w:t>Falleni</w:t>
      </w:r>
      <w:proofErr w:type="spellEnd"/>
      <w:r w:rsidRPr="002E4D5B">
        <w:t xml:space="preserve"> M, et al. Cholangiocarcinoma cells direct fatty acids to support membrane synthesis and modulate macrophage phenotype. Hepatol Commun. United States; 2025;9. https://doi.org/10.1097/HC9.0000000000000717</w:t>
      </w:r>
    </w:p>
    <w:p w14:paraId="1FB1E55F" w14:textId="77777777" w:rsidR="002E4D5B" w:rsidRPr="002E4D5B" w:rsidRDefault="002E4D5B" w:rsidP="002E4D5B">
      <w:pPr>
        <w:pStyle w:val="af2"/>
      </w:pPr>
      <w:r w:rsidRPr="002E4D5B">
        <w:t xml:space="preserve">38. Urman JM, Herranz JM, Uriarte I, </w:t>
      </w:r>
      <w:proofErr w:type="spellStart"/>
      <w:r w:rsidRPr="002E4D5B">
        <w:t>Rullán</w:t>
      </w:r>
      <w:proofErr w:type="spellEnd"/>
      <w:r w:rsidRPr="002E4D5B">
        <w:t xml:space="preserve"> M, </w:t>
      </w:r>
      <w:proofErr w:type="spellStart"/>
      <w:r w:rsidRPr="002E4D5B">
        <w:t>Oyón</w:t>
      </w:r>
      <w:proofErr w:type="spellEnd"/>
      <w:r w:rsidRPr="002E4D5B">
        <w:t xml:space="preserve"> D, González B, et al. Pilot Multi-</w:t>
      </w:r>
      <w:proofErr w:type="spellStart"/>
      <w:r w:rsidRPr="002E4D5B">
        <w:t>Omic</w:t>
      </w:r>
      <w:proofErr w:type="spellEnd"/>
      <w:r w:rsidRPr="002E4D5B">
        <w:t xml:space="preserve"> Analysis of Human Bile from Benign and Malignant Biliary Strictures: A Machine-Learning Approach. Cancers. </w:t>
      </w:r>
      <w:proofErr w:type="gramStart"/>
      <w:r w:rsidRPr="002E4D5B">
        <w:t>2020;12:1644</w:t>
      </w:r>
      <w:proofErr w:type="gramEnd"/>
      <w:r w:rsidRPr="002E4D5B">
        <w:t>. https://doi.org/10.3390/cancers12061644</w:t>
      </w:r>
    </w:p>
    <w:p w14:paraId="06B926FC" w14:textId="77777777" w:rsidR="002E4D5B" w:rsidRPr="002E4D5B" w:rsidRDefault="002E4D5B" w:rsidP="002E4D5B">
      <w:pPr>
        <w:pStyle w:val="af2"/>
      </w:pPr>
      <w:r w:rsidRPr="002E4D5B">
        <w:t xml:space="preserve">39. </w:t>
      </w:r>
      <w:proofErr w:type="spellStart"/>
      <w:r w:rsidRPr="002E4D5B">
        <w:t>Hanpanich</w:t>
      </w:r>
      <w:proofErr w:type="spellEnd"/>
      <w:r w:rsidRPr="002E4D5B">
        <w:t xml:space="preserve"> P, </w:t>
      </w:r>
      <w:proofErr w:type="spellStart"/>
      <w:r w:rsidRPr="002E4D5B">
        <w:t>Pinlaor</w:t>
      </w:r>
      <w:proofErr w:type="spellEnd"/>
      <w:r w:rsidRPr="002E4D5B">
        <w:t xml:space="preserve"> S, Charoensuk L, </w:t>
      </w:r>
      <w:proofErr w:type="spellStart"/>
      <w:r w:rsidRPr="002E4D5B">
        <w:t>Yongvanit</w:t>
      </w:r>
      <w:proofErr w:type="spellEnd"/>
      <w:r w:rsidRPr="002E4D5B">
        <w:t xml:space="preserve"> P, </w:t>
      </w:r>
      <w:proofErr w:type="spellStart"/>
      <w:r w:rsidRPr="002E4D5B">
        <w:t>Chamgramol</w:t>
      </w:r>
      <w:proofErr w:type="spellEnd"/>
      <w:r w:rsidRPr="002E4D5B">
        <w:t xml:space="preserve"> Y, </w:t>
      </w:r>
      <w:proofErr w:type="spellStart"/>
      <w:r w:rsidRPr="002E4D5B">
        <w:t>Pairojkul</w:t>
      </w:r>
      <w:proofErr w:type="spellEnd"/>
      <w:r w:rsidRPr="002E4D5B">
        <w:t xml:space="preserve"> C, et al. MRI and (1)H MRS findings of </w:t>
      </w:r>
      <w:proofErr w:type="spellStart"/>
      <w:r w:rsidRPr="002E4D5B">
        <w:t>hepatobilary</w:t>
      </w:r>
      <w:proofErr w:type="spellEnd"/>
      <w:r w:rsidRPr="002E4D5B">
        <w:t xml:space="preserve"> changes and cholangiocarcinoma development in hamsters infected with Opisthorchis </w:t>
      </w:r>
      <w:proofErr w:type="spellStart"/>
      <w:r w:rsidRPr="002E4D5B">
        <w:t>viverrini</w:t>
      </w:r>
      <w:proofErr w:type="spellEnd"/>
      <w:r w:rsidRPr="002E4D5B">
        <w:t xml:space="preserve"> and treated </w:t>
      </w:r>
      <w:proofErr w:type="gramStart"/>
      <w:r w:rsidRPr="002E4D5B">
        <w:t>with  N</w:t>
      </w:r>
      <w:proofErr w:type="gramEnd"/>
      <w:r w:rsidRPr="002E4D5B">
        <w:t>-</w:t>
      </w:r>
      <w:proofErr w:type="spellStart"/>
      <w:r w:rsidRPr="002E4D5B">
        <w:t>nitrosodimethylamine</w:t>
      </w:r>
      <w:proofErr w:type="spellEnd"/>
      <w:r w:rsidRPr="002E4D5B">
        <w:t xml:space="preserve">. Magn </w:t>
      </w:r>
      <w:proofErr w:type="spellStart"/>
      <w:r w:rsidRPr="002E4D5B">
        <w:t>Reson</w:t>
      </w:r>
      <w:proofErr w:type="spellEnd"/>
      <w:r w:rsidRPr="002E4D5B">
        <w:t xml:space="preserve"> Imaging. Netherlands; </w:t>
      </w:r>
      <w:proofErr w:type="gramStart"/>
      <w:r w:rsidRPr="002E4D5B">
        <w:t>2015;33:1146</w:t>
      </w:r>
      <w:proofErr w:type="gramEnd"/>
      <w:r w:rsidRPr="002E4D5B">
        <w:t>–55. https://doi.org/10.1016/j.mri.2015.06.022</w:t>
      </w:r>
    </w:p>
    <w:p w14:paraId="0819513D" w14:textId="77777777" w:rsidR="002E4D5B" w:rsidRPr="002E4D5B" w:rsidRDefault="002E4D5B" w:rsidP="002E4D5B">
      <w:pPr>
        <w:pStyle w:val="af2"/>
      </w:pPr>
      <w:r w:rsidRPr="002E4D5B">
        <w:t xml:space="preserve">40. Yuan J, Li X, Shen X, Xiong P, Zhu N, Ye Y, et al. Comprehensive Metabolite Profiling in Single-Cell Systems via Dual-Modal MALDI-Mass Spectrometry Imaging. Anal Chem. United States; </w:t>
      </w:r>
      <w:proofErr w:type="gramStart"/>
      <w:r w:rsidRPr="002E4D5B">
        <w:t>2025;97:8729</w:t>
      </w:r>
      <w:proofErr w:type="gramEnd"/>
      <w:r w:rsidRPr="002E4D5B">
        <w:t>–37. https://doi.org/10.1021/acs.analchem.4c05480</w:t>
      </w:r>
    </w:p>
    <w:p w14:paraId="4E4E53C5" w14:textId="77777777" w:rsidR="002E4D5B" w:rsidRPr="002E4D5B" w:rsidRDefault="002E4D5B" w:rsidP="002E4D5B">
      <w:pPr>
        <w:pStyle w:val="af2"/>
      </w:pPr>
      <w:r w:rsidRPr="002E4D5B">
        <w:t xml:space="preserve">41. Qiu C, Xiang Y-K, Da X-B, Zhang H-L, Kong X-Y, Hou N-Z, et al. Phospholipase A2 enzymes PLA2G2A and PLA2G12B as potential diagnostic and prognostic biomarkers in cholangiocarcinoma. World J </w:t>
      </w:r>
      <w:proofErr w:type="spellStart"/>
      <w:r w:rsidRPr="002E4D5B">
        <w:t>Gastrointest</w:t>
      </w:r>
      <w:proofErr w:type="spellEnd"/>
      <w:r w:rsidRPr="002E4D5B">
        <w:t xml:space="preserve"> Surg. United States; </w:t>
      </w:r>
      <w:proofErr w:type="gramStart"/>
      <w:r w:rsidRPr="002E4D5B">
        <w:t>2024;16:289</w:t>
      </w:r>
      <w:proofErr w:type="gramEnd"/>
      <w:r w:rsidRPr="002E4D5B">
        <w:t>–306. https://doi.org/10.4240/wjgs.v16.i2.289</w:t>
      </w:r>
    </w:p>
    <w:p w14:paraId="2DF098C4" w14:textId="77777777" w:rsidR="002E4D5B" w:rsidRPr="002E4D5B" w:rsidRDefault="002E4D5B" w:rsidP="002E4D5B">
      <w:pPr>
        <w:pStyle w:val="af2"/>
      </w:pPr>
      <w:r w:rsidRPr="002E4D5B">
        <w:t xml:space="preserve">42. Sun R, Liu Z, Qiu B, Chen T, Li Z, Zhang X, et al. Annexin10 promotes extrahepatic cholangiocarcinoma metastasis by facilitating EMT via PLA2G4A/PGE2/STAT3 pathway. </w:t>
      </w:r>
      <w:proofErr w:type="spellStart"/>
      <w:r w:rsidRPr="002E4D5B">
        <w:t>EBioMedicine</w:t>
      </w:r>
      <w:proofErr w:type="spellEnd"/>
      <w:r w:rsidRPr="002E4D5B">
        <w:t xml:space="preserve">. Netherlands; </w:t>
      </w:r>
      <w:proofErr w:type="gramStart"/>
      <w:r w:rsidRPr="002E4D5B">
        <w:t>2019;47:142</w:t>
      </w:r>
      <w:proofErr w:type="gramEnd"/>
      <w:r w:rsidRPr="002E4D5B">
        <w:t>–55. https://doi.org/10.1016/j.ebiom.2019.08.062</w:t>
      </w:r>
    </w:p>
    <w:p w14:paraId="022155C6" w14:textId="77777777" w:rsidR="002E4D5B" w:rsidRPr="002E4D5B" w:rsidRDefault="002E4D5B" w:rsidP="002E4D5B">
      <w:pPr>
        <w:pStyle w:val="af2"/>
      </w:pPr>
      <w:r w:rsidRPr="002E4D5B">
        <w:t xml:space="preserve">43. </w:t>
      </w:r>
      <w:proofErr w:type="gramStart"/>
      <w:r w:rsidRPr="002E4D5B">
        <w:t>An</w:t>
      </w:r>
      <w:proofErr w:type="gramEnd"/>
      <w:r w:rsidRPr="002E4D5B">
        <w:t xml:space="preserve"> W, Zhang K, Li G, Zheng S, Cao Y, Liu J. Hypericin mediated photodynamic therapy induces ferroptosis via inhibiting the AKT/mTORC1/GPX4 axis in cholangiocarcinoma. </w:t>
      </w:r>
      <w:proofErr w:type="spellStart"/>
      <w:r w:rsidRPr="002E4D5B">
        <w:t>Transl</w:t>
      </w:r>
      <w:proofErr w:type="spellEnd"/>
      <w:r w:rsidRPr="002E4D5B">
        <w:t xml:space="preserve"> Oncol. United States; </w:t>
      </w:r>
      <w:proofErr w:type="gramStart"/>
      <w:r w:rsidRPr="002E4D5B">
        <w:t>2025;52:102234</w:t>
      </w:r>
      <w:proofErr w:type="gramEnd"/>
      <w:r w:rsidRPr="002E4D5B">
        <w:t>. https://doi.org/10.1016/j.tranon.2024.102234</w:t>
      </w:r>
    </w:p>
    <w:p w14:paraId="53E433BE" w14:textId="77777777" w:rsidR="002E4D5B" w:rsidRPr="002E4D5B" w:rsidRDefault="002E4D5B" w:rsidP="002E4D5B">
      <w:pPr>
        <w:pStyle w:val="af2"/>
      </w:pPr>
      <w:r w:rsidRPr="002E4D5B">
        <w:t xml:space="preserve">44. </w:t>
      </w:r>
      <w:proofErr w:type="spellStart"/>
      <w:r w:rsidRPr="002E4D5B">
        <w:t>Pongking</w:t>
      </w:r>
      <w:proofErr w:type="spellEnd"/>
      <w:r w:rsidRPr="002E4D5B">
        <w:t xml:space="preserve"> T, </w:t>
      </w:r>
      <w:proofErr w:type="spellStart"/>
      <w:r w:rsidRPr="002E4D5B">
        <w:t>Intuyod</w:t>
      </w:r>
      <w:proofErr w:type="spellEnd"/>
      <w:r w:rsidRPr="002E4D5B">
        <w:t xml:space="preserve"> K, </w:t>
      </w:r>
      <w:proofErr w:type="spellStart"/>
      <w:r w:rsidRPr="002E4D5B">
        <w:t>Thongpon</w:t>
      </w:r>
      <w:proofErr w:type="spellEnd"/>
      <w:r w:rsidRPr="002E4D5B">
        <w:t xml:space="preserve"> P, Thanan R, </w:t>
      </w:r>
      <w:proofErr w:type="spellStart"/>
      <w:r w:rsidRPr="002E4D5B">
        <w:t>Sitthirach</w:t>
      </w:r>
      <w:proofErr w:type="spellEnd"/>
      <w:r w:rsidRPr="002E4D5B">
        <w:t xml:space="preserve"> C, </w:t>
      </w:r>
      <w:proofErr w:type="spellStart"/>
      <w:r w:rsidRPr="002E4D5B">
        <w:t>Chaidee</w:t>
      </w:r>
      <w:proofErr w:type="spellEnd"/>
      <w:r w:rsidRPr="002E4D5B">
        <w:t xml:space="preserve"> A, et al. Cannabidiol suppresses proliferation and induces cell death, autophagy and senescence in human cholangiocarcinoma cells via the PI3K/AKT/mTOR pathway. J </w:t>
      </w:r>
      <w:proofErr w:type="spellStart"/>
      <w:r w:rsidRPr="002E4D5B">
        <w:t>Tradit</w:t>
      </w:r>
      <w:proofErr w:type="spellEnd"/>
      <w:r w:rsidRPr="002E4D5B">
        <w:t xml:space="preserve"> Complement Med. </w:t>
      </w:r>
      <w:r w:rsidRPr="002E4D5B">
        <w:lastRenderedPageBreak/>
        <w:t xml:space="preserve">Netherlands; </w:t>
      </w:r>
      <w:proofErr w:type="gramStart"/>
      <w:r w:rsidRPr="002E4D5B">
        <w:t>2024;14:622</w:t>
      </w:r>
      <w:proofErr w:type="gramEnd"/>
      <w:r w:rsidRPr="002E4D5B">
        <w:t>–34. https://doi.org/10.1016/j.jtcme.2024.04.007</w:t>
      </w:r>
    </w:p>
    <w:p w14:paraId="74A1DD4F" w14:textId="77777777" w:rsidR="002E4D5B" w:rsidRPr="002E4D5B" w:rsidRDefault="002E4D5B" w:rsidP="002E4D5B">
      <w:pPr>
        <w:pStyle w:val="af2"/>
      </w:pPr>
      <w:r w:rsidRPr="002E4D5B">
        <w:t xml:space="preserve">45. Stefanova D, Yordanov Y, Bogdanova R, </w:t>
      </w:r>
      <w:proofErr w:type="spellStart"/>
      <w:r w:rsidRPr="002E4D5B">
        <w:t>Voycheva</w:t>
      </w:r>
      <w:proofErr w:type="spellEnd"/>
      <w:r w:rsidRPr="002E4D5B">
        <w:t xml:space="preserve"> C, </w:t>
      </w:r>
      <w:proofErr w:type="spellStart"/>
      <w:r w:rsidRPr="002E4D5B">
        <w:t>Tzankov</w:t>
      </w:r>
      <w:proofErr w:type="spellEnd"/>
      <w:r w:rsidRPr="002E4D5B">
        <w:t xml:space="preserve"> B, Popova T, et al. In Vitro Evaluation of the Safety and Antineoplastic Effects in Gastrointestinal Tumors of Nanostructured Lipid Carriers Loaded with Berberine. Pharmaceutics. Switzerland; 2025;17. https://doi.org/10.3390/pharmaceutics17030331</w:t>
      </w:r>
    </w:p>
    <w:p w14:paraId="00B41604" w14:textId="77777777" w:rsidR="002E4D5B" w:rsidRPr="002E4D5B" w:rsidRDefault="002E4D5B" w:rsidP="002E4D5B">
      <w:pPr>
        <w:pStyle w:val="af2"/>
      </w:pPr>
      <w:r w:rsidRPr="002E4D5B">
        <w:t xml:space="preserve">46. Yu M, Sample JW, Yan IK, </w:t>
      </w:r>
      <w:proofErr w:type="spellStart"/>
      <w:r w:rsidRPr="002E4D5B">
        <w:t>Takaichi</w:t>
      </w:r>
      <w:proofErr w:type="spellEnd"/>
      <w:r w:rsidRPr="002E4D5B">
        <w:t xml:space="preserve"> S, Tomlinson JL, </w:t>
      </w:r>
      <w:proofErr w:type="spellStart"/>
      <w:r w:rsidRPr="002E4D5B">
        <w:t>Loeuillard</w:t>
      </w:r>
      <w:proofErr w:type="spellEnd"/>
      <w:r w:rsidRPr="002E4D5B">
        <w:t xml:space="preserve"> EJ, et al. Aptamer-directed, nanovesicle-mediated targeting of undruggable molecules in preclinical cholangiocarcinoma models. Hepatology. United States; 2025; https://doi.org/10.1097/HEP.0000000000001256</w:t>
      </w:r>
    </w:p>
    <w:p w14:paraId="17BD43BD" w14:textId="77777777" w:rsidR="002E4D5B" w:rsidRPr="002E4D5B" w:rsidRDefault="002E4D5B" w:rsidP="002E4D5B">
      <w:pPr>
        <w:pStyle w:val="af2"/>
      </w:pPr>
      <w:r w:rsidRPr="002E4D5B">
        <w:t xml:space="preserve">47. </w:t>
      </w:r>
      <w:proofErr w:type="spellStart"/>
      <w:r w:rsidRPr="002E4D5B">
        <w:t>Kangsamaksin</w:t>
      </w:r>
      <w:proofErr w:type="spellEnd"/>
      <w:r w:rsidRPr="002E4D5B">
        <w:t xml:space="preserve"> T, </w:t>
      </w:r>
      <w:proofErr w:type="spellStart"/>
      <w:r w:rsidRPr="002E4D5B">
        <w:t>Chaithongyot</w:t>
      </w:r>
      <w:proofErr w:type="spellEnd"/>
      <w:r w:rsidRPr="002E4D5B">
        <w:t xml:space="preserve"> S, </w:t>
      </w:r>
      <w:proofErr w:type="spellStart"/>
      <w:r w:rsidRPr="002E4D5B">
        <w:t>Wootthichairangsan</w:t>
      </w:r>
      <w:proofErr w:type="spellEnd"/>
      <w:r w:rsidRPr="002E4D5B">
        <w:t xml:space="preserve"> C, </w:t>
      </w:r>
      <w:proofErr w:type="spellStart"/>
      <w:r w:rsidRPr="002E4D5B">
        <w:t>Hanchaina</w:t>
      </w:r>
      <w:proofErr w:type="spellEnd"/>
      <w:r w:rsidRPr="002E4D5B">
        <w:t xml:space="preserve"> R, </w:t>
      </w:r>
      <w:proofErr w:type="spellStart"/>
      <w:r w:rsidRPr="002E4D5B">
        <w:t>Tangshewinsirikul</w:t>
      </w:r>
      <w:proofErr w:type="spellEnd"/>
      <w:r w:rsidRPr="002E4D5B">
        <w:t xml:space="preserve"> C, </w:t>
      </w:r>
      <w:proofErr w:type="spellStart"/>
      <w:r w:rsidRPr="002E4D5B">
        <w:t>Svasti</w:t>
      </w:r>
      <w:proofErr w:type="spellEnd"/>
      <w:r w:rsidRPr="002E4D5B">
        <w:t xml:space="preserve"> J. Lupeol and stigmasterol suppress tumor angiogenesis and inhibit cholangiocarcinoma growth in mice via downregulation of tumor necrosis factor-α. </w:t>
      </w:r>
      <w:proofErr w:type="spellStart"/>
      <w:r w:rsidRPr="002E4D5B">
        <w:t>PLoS</w:t>
      </w:r>
      <w:proofErr w:type="spellEnd"/>
      <w:r w:rsidRPr="002E4D5B">
        <w:t xml:space="preserve"> One. United States; 2017;</w:t>
      </w:r>
      <w:proofErr w:type="gramStart"/>
      <w:r w:rsidRPr="002E4D5B">
        <w:t>12:e</w:t>
      </w:r>
      <w:proofErr w:type="gramEnd"/>
      <w:r w:rsidRPr="002E4D5B">
        <w:t>0189628. https://doi.org/10.1371/journal.pone.0189628</w:t>
      </w:r>
    </w:p>
    <w:p w14:paraId="52DC6A8C" w14:textId="77777777" w:rsidR="002E4D5B" w:rsidRPr="002E4D5B" w:rsidRDefault="002E4D5B" w:rsidP="002E4D5B">
      <w:pPr>
        <w:pStyle w:val="af2"/>
      </w:pPr>
      <w:r w:rsidRPr="002E4D5B">
        <w:t xml:space="preserve">48. </w:t>
      </w:r>
      <w:proofErr w:type="spellStart"/>
      <w:r w:rsidRPr="002E4D5B">
        <w:t>Maphanao</w:t>
      </w:r>
      <w:proofErr w:type="spellEnd"/>
      <w:r w:rsidRPr="002E4D5B">
        <w:t xml:space="preserve"> P, Thanan R, </w:t>
      </w:r>
      <w:proofErr w:type="spellStart"/>
      <w:r w:rsidRPr="002E4D5B">
        <w:t>Loilome</w:t>
      </w:r>
      <w:proofErr w:type="spellEnd"/>
      <w:r w:rsidRPr="002E4D5B">
        <w:t xml:space="preserve"> W, Chio-</w:t>
      </w:r>
      <w:proofErr w:type="spellStart"/>
      <w:r w:rsidRPr="002E4D5B">
        <w:t>Srichan</w:t>
      </w:r>
      <w:proofErr w:type="spellEnd"/>
      <w:r w:rsidRPr="002E4D5B">
        <w:t xml:space="preserve"> S, </w:t>
      </w:r>
      <w:proofErr w:type="spellStart"/>
      <w:r w:rsidRPr="002E4D5B">
        <w:t>Wongwattanakul</w:t>
      </w:r>
      <w:proofErr w:type="spellEnd"/>
      <w:r w:rsidRPr="002E4D5B">
        <w:t xml:space="preserve"> M, </w:t>
      </w:r>
      <w:proofErr w:type="spellStart"/>
      <w:r w:rsidRPr="002E4D5B">
        <w:t>Sakonsinsiri</w:t>
      </w:r>
      <w:proofErr w:type="spellEnd"/>
      <w:r w:rsidRPr="002E4D5B">
        <w:t xml:space="preserve"> C. Synchrotron FTIR </w:t>
      </w:r>
      <w:proofErr w:type="spellStart"/>
      <w:r w:rsidRPr="002E4D5B">
        <w:t>microspectroscopy</w:t>
      </w:r>
      <w:proofErr w:type="spellEnd"/>
      <w:r w:rsidRPr="002E4D5B">
        <w:t xml:space="preserve"> revealed apoptosis-induced biomolecular changes of cholangiocarcinoma cells treated with </w:t>
      </w:r>
      <w:proofErr w:type="spellStart"/>
      <w:r w:rsidRPr="002E4D5B">
        <w:t>ursolic</w:t>
      </w:r>
      <w:proofErr w:type="spellEnd"/>
      <w:r w:rsidRPr="002E4D5B">
        <w:t xml:space="preserve"> acid. </w:t>
      </w:r>
      <w:proofErr w:type="spellStart"/>
      <w:r w:rsidRPr="002E4D5B">
        <w:t>Biochim</w:t>
      </w:r>
      <w:proofErr w:type="spellEnd"/>
      <w:r w:rsidRPr="002E4D5B">
        <w:t xml:space="preserve"> </w:t>
      </w:r>
      <w:proofErr w:type="spellStart"/>
      <w:r w:rsidRPr="002E4D5B">
        <w:t>Biophys</w:t>
      </w:r>
      <w:proofErr w:type="spellEnd"/>
      <w:r w:rsidRPr="002E4D5B">
        <w:t xml:space="preserve"> Acta Gen Subj. Netherlands; </w:t>
      </w:r>
      <w:proofErr w:type="gramStart"/>
      <w:r w:rsidRPr="002E4D5B">
        <w:t>2020;1864:129708</w:t>
      </w:r>
      <w:proofErr w:type="gramEnd"/>
      <w:r w:rsidRPr="002E4D5B">
        <w:t>. https://doi.org/10.1016/j.bbagen.2020.129708</w:t>
      </w:r>
    </w:p>
    <w:p w14:paraId="6CF06DBD" w14:textId="77777777" w:rsidR="002E4D5B" w:rsidRPr="002E4D5B" w:rsidRDefault="002E4D5B" w:rsidP="002E4D5B">
      <w:pPr>
        <w:pStyle w:val="af2"/>
      </w:pPr>
      <w:r w:rsidRPr="002E4D5B">
        <w:t xml:space="preserve">49. Hong Z-F, Zhao W-X, Yin Z-Y, Xie C-R, Xu Y-P, Chi X-Q, et al. Capsaicin Enhances the Drug Sensitivity of Cholangiocarcinoma through the Inhibition of Chemotherapeutic-Induced Autophagy. </w:t>
      </w:r>
      <w:proofErr w:type="spellStart"/>
      <w:r w:rsidRPr="002E4D5B">
        <w:t>PLoS</w:t>
      </w:r>
      <w:proofErr w:type="spellEnd"/>
      <w:r w:rsidRPr="002E4D5B">
        <w:t xml:space="preserve"> One. United States; 2015;</w:t>
      </w:r>
      <w:proofErr w:type="gramStart"/>
      <w:r w:rsidRPr="002E4D5B">
        <w:t>10:e</w:t>
      </w:r>
      <w:proofErr w:type="gramEnd"/>
      <w:r w:rsidRPr="002E4D5B">
        <w:t>0121538. https://doi.org/10.1371/journal.pone.0121538</w:t>
      </w:r>
    </w:p>
    <w:p w14:paraId="5EAECAF8" w14:textId="77777777" w:rsidR="002E4D5B" w:rsidRPr="002E4D5B" w:rsidRDefault="002E4D5B" w:rsidP="002E4D5B">
      <w:pPr>
        <w:pStyle w:val="af2"/>
      </w:pPr>
      <w:r w:rsidRPr="002E4D5B">
        <w:t xml:space="preserve">50. He Y, Yu Q, Ma X, </w:t>
      </w:r>
      <w:proofErr w:type="spellStart"/>
      <w:r w:rsidRPr="002E4D5B">
        <w:t>Lv</w:t>
      </w:r>
      <w:proofErr w:type="spellEnd"/>
      <w:r w:rsidRPr="002E4D5B">
        <w:t xml:space="preserve"> D, Wang H, Qiu W, et al. A metabolomics approach reveals metabolic disturbance of human cholangiocarcinoma cells after </w:t>
      </w:r>
      <w:proofErr w:type="spellStart"/>
      <w:r w:rsidRPr="002E4D5B">
        <w:t>parthenolide</w:t>
      </w:r>
      <w:proofErr w:type="spellEnd"/>
      <w:r w:rsidRPr="002E4D5B">
        <w:t xml:space="preserve"> treatment. J </w:t>
      </w:r>
      <w:proofErr w:type="spellStart"/>
      <w:r w:rsidRPr="002E4D5B">
        <w:t>Ethnopharmacol</w:t>
      </w:r>
      <w:proofErr w:type="spellEnd"/>
      <w:r w:rsidRPr="002E4D5B">
        <w:t xml:space="preserve">. Ireland; </w:t>
      </w:r>
      <w:proofErr w:type="gramStart"/>
      <w:r w:rsidRPr="002E4D5B">
        <w:t>2024;328:118075</w:t>
      </w:r>
      <w:proofErr w:type="gramEnd"/>
      <w:r w:rsidRPr="002E4D5B">
        <w:t>. https://doi.org/10.1016/j.jep.2024.118075</w:t>
      </w:r>
    </w:p>
    <w:p w14:paraId="2504E355" w14:textId="7325F60D" w:rsidR="002E4D5B" w:rsidRPr="00AD61C2" w:rsidRDefault="002E4D5B" w:rsidP="002E4D5B">
      <w:pPr>
        <w:rPr>
          <w:rFonts w:ascii="Times New Roman" w:hAnsi="Times New Roman" w:cs="Times New Roman" w:hint="eastAsia"/>
        </w:rPr>
      </w:pPr>
      <w:r>
        <w:rPr>
          <w:rFonts w:ascii="Times New Roman" w:hAnsi="Times New Roman" w:cs="Times New Roman"/>
        </w:rPr>
        <w:fldChar w:fldCharType="end"/>
      </w:r>
    </w:p>
    <w:sectPr w:rsidR="002E4D5B" w:rsidRPr="00AD61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FA208" w14:textId="77777777" w:rsidR="00B2123B" w:rsidRDefault="00B2123B" w:rsidP="00094AEB">
      <w:r>
        <w:separator/>
      </w:r>
    </w:p>
  </w:endnote>
  <w:endnote w:type="continuationSeparator" w:id="0">
    <w:p w14:paraId="2967BA9B" w14:textId="77777777" w:rsidR="00B2123B" w:rsidRDefault="00B2123B" w:rsidP="0009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altName w:val="DengXian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B88F3" w14:textId="77777777" w:rsidR="00B2123B" w:rsidRDefault="00B2123B" w:rsidP="00094AEB">
      <w:r>
        <w:separator/>
      </w:r>
    </w:p>
  </w:footnote>
  <w:footnote w:type="continuationSeparator" w:id="0">
    <w:p w14:paraId="6DA5E22E" w14:textId="77777777" w:rsidR="00B2123B" w:rsidRDefault="00B2123B" w:rsidP="00094A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8087B"/>
    <w:rsid w:val="00094AEB"/>
    <w:rsid w:val="00105BD2"/>
    <w:rsid w:val="001353CC"/>
    <w:rsid w:val="001606A2"/>
    <w:rsid w:val="00184D53"/>
    <w:rsid w:val="001C6EAB"/>
    <w:rsid w:val="002155DE"/>
    <w:rsid w:val="00225985"/>
    <w:rsid w:val="00281326"/>
    <w:rsid w:val="002A1232"/>
    <w:rsid w:val="002E4D5B"/>
    <w:rsid w:val="003046FE"/>
    <w:rsid w:val="00305F91"/>
    <w:rsid w:val="00321D34"/>
    <w:rsid w:val="00321F36"/>
    <w:rsid w:val="00334C55"/>
    <w:rsid w:val="003A5C90"/>
    <w:rsid w:val="003E144F"/>
    <w:rsid w:val="003E26EB"/>
    <w:rsid w:val="00417969"/>
    <w:rsid w:val="00420DAF"/>
    <w:rsid w:val="00427052"/>
    <w:rsid w:val="00486E6F"/>
    <w:rsid w:val="004C4F33"/>
    <w:rsid w:val="00590392"/>
    <w:rsid w:val="0059272B"/>
    <w:rsid w:val="007212F7"/>
    <w:rsid w:val="008B7800"/>
    <w:rsid w:val="0090368A"/>
    <w:rsid w:val="009B49C0"/>
    <w:rsid w:val="009E1483"/>
    <w:rsid w:val="009F0542"/>
    <w:rsid w:val="00A6301A"/>
    <w:rsid w:val="00AB4278"/>
    <w:rsid w:val="00AD61C2"/>
    <w:rsid w:val="00B2123B"/>
    <w:rsid w:val="00B64F9B"/>
    <w:rsid w:val="00B8087B"/>
    <w:rsid w:val="00C9303C"/>
    <w:rsid w:val="00CB07DE"/>
    <w:rsid w:val="00CB68A5"/>
    <w:rsid w:val="00D137A7"/>
    <w:rsid w:val="00D948AF"/>
    <w:rsid w:val="00D97180"/>
    <w:rsid w:val="00E62A56"/>
    <w:rsid w:val="00E733B8"/>
    <w:rsid w:val="00EF6580"/>
    <w:rsid w:val="00F36AD9"/>
    <w:rsid w:val="00F43B11"/>
    <w:rsid w:val="00FF0259"/>
    <w:rsid w:val="00FF5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305586"/>
  <w15:chartTrackingRefBased/>
  <w15:docId w15:val="{558FC9D2-F6C1-492C-812F-BC67D746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7052"/>
    <w:pPr>
      <w:widowControl w:val="0"/>
      <w:jc w:val="both"/>
    </w:pPr>
  </w:style>
  <w:style w:type="paragraph" w:styleId="1">
    <w:name w:val="heading 1"/>
    <w:basedOn w:val="a"/>
    <w:next w:val="a"/>
    <w:link w:val="10"/>
    <w:uiPriority w:val="9"/>
    <w:qFormat/>
    <w:rsid w:val="00B8087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8087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8087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8087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8087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B8087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8087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8087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8087B"/>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8087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8087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8087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8087B"/>
    <w:rPr>
      <w:rFonts w:cstheme="majorBidi"/>
      <w:color w:val="2F5496" w:themeColor="accent1" w:themeShade="BF"/>
      <w:sz w:val="28"/>
      <w:szCs w:val="28"/>
    </w:rPr>
  </w:style>
  <w:style w:type="character" w:customStyle="1" w:styleId="50">
    <w:name w:val="标题 5 字符"/>
    <w:basedOn w:val="a0"/>
    <w:link w:val="5"/>
    <w:uiPriority w:val="9"/>
    <w:semiHidden/>
    <w:rsid w:val="00B8087B"/>
    <w:rPr>
      <w:rFonts w:cstheme="majorBidi"/>
      <w:color w:val="2F5496" w:themeColor="accent1" w:themeShade="BF"/>
      <w:sz w:val="24"/>
      <w:szCs w:val="24"/>
    </w:rPr>
  </w:style>
  <w:style w:type="character" w:customStyle="1" w:styleId="60">
    <w:name w:val="标题 6 字符"/>
    <w:basedOn w:val="a0"/>
    <w:link w:val="6"/>
    <w:uiPriority w:val="9"/>
    <w:semiHidden/>
    <w:rsid w:val="00B8087B"/>
    <w:rPr>
      <w:rFonts w:cstheme="majorBidi"/>
      <w:b/>
      <w:bCs/>
      <w:color w:val="2F5496" w:themeColor="accent1" w:themeShade="BF"/>
    </w:rPr>
  </w:style>
  <w:style w:type="character" w:customStyle="1" w:styleId="70">
    <w:name w:val="标题 7 字符"/>
    <w:basedOn w:val="a0"/>
    <w:link w:val="7"/>
    <w:uiPriority w:val="9"/>
    <w:semiHidden/>
    <w:rsid w:val="00B8087B"/>
    <w:rPr>
      <w:rFonts w:cstheme="majorBidi"/>
      <w:b/>
      <w:bCs/>
      <w:color w:val="595959" w:themeColor="text1" w:themeTint="A6"/>
    </w:rPr>
  </w:style>
  <w:style w:type="character" w:customStyle="1" w:styleId="80">
    <w:name w:val="标题 8 字符"/>
    <w:basedOn w:val="a0"/>
    <w:link w:val="8"/>
    <w:uiPriority w:val="9"/>
    <w:semiHidden/>
    <w:rsid w:val="00B8087B"/>
    <w:rPr>
      <w:rFonts w:cstheme="majorBidi"/>
      <w:color w:val="595959" w:themeColor="text1" w:themeTint="A6"/>
    </w:rPr>
  </w:style>
  <w:style w:type="character" w:customStyle="1" w:styleId="90">
    <w:name w:val="标题 9 字符"/>
    <w:basedOn w:val="a0"/>
    <w:link w:val="9"/>
    <w:uiPriority w:val="9"/>
    <w:semiHidden/>
    <w:rsid w:val="00B8087B"/>
    <w:rPr>
      <w:rFonts w:eastAsiaTheme="majorEastAsia" w:cstheme="majorBidi"/>
      <w:color w:val="595959" w:themeColor="text1" w:themeTint="A6"/>
    </w:rPr>
  </w:style>
  <w:style w:type="paragraph" w:styleId="a3">
    <w:name w:val="Title"/>
    <w:basedOn w:val="a"/>
    <w:next w:val="a"/>
    <w:link w:val="a4"/>
    <w:uiPriority w:val="10"/>
    <w:qFormat/>
    <w:rsid w:val="00B8087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808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087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8087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087B"/>
    <w:pPr>
      <w:spacing w:before="160" w:after="160"/>
      <w:jc w:val="center"/>
    </w:pPr>
    <w:rPr>
      <w:i/>
      <w:iCs/>
      <w:color w:val="404040" w:themeColor="text1" w:themeTint="BF"/>
    </w:rPr>
  </w:style>
  <w:style w:type="character" w:customStyle="1" w:styleId="a8">
    <w:name w:val="引用 字符"/>
    <w:basedOn w:val="a0"/>
    <w:link w:val="a7"/>
    <w:uiPriority w:val="29"/>
    <w:rsid w:val="00B8087B"/>
    <w:rPr>
      <w:i/>
      <w:iCs/>
      <w:color w:val="404040" w:themeColor="text1" w:themeTint="BF"/>
    </w:rPr>
  </w:style>
  <w:style w:type="paragraph" w:styleId="a9">
    <w:name w:val="List Paragraph"/>
    <w:basedOn w:val="a"/>
    <w:uiPriority w:val="34"/>
    <w:qFormat/>
    <w:rsid w:val="00B8087B"/>
    <w:pPr>
      <w:ind w:left="720"/>
      <w:contextualSpacing/>
    </w:pPr>
  </w:style>
  <w:style w:type="character" w:styleId="aa">
    <w:name w:val="Intense Emphasis"/>
    <w:basedOn w:val="a0"/>
    <w:uiPriority w:val="21"/>
    <w:qFormat/>
    <w:rsid w:val="00B8087B"/>
    <w:rPr>
      <w:i/>
      <w:iCs/>
      <w:color w:val="2F5496" w:themeColor="accent1" w:themeShade="BF"/>
    </w:rPr>
  </w:style>
  <w:style w:type="paragraph" w:styleId="ab">
    <w:name w:val="Intense Quote"/>
    <w:basedOn w:val="a"/>
    <w:next w:val="a"/>
    <w:link w:val="ac"/>
    <w:uiPriority w:val="30"/>
    <w:qFormat/>
    <w:rsid w:val="00B808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8087B"/>
    <w:rPr>
      <w:i/>
      <w:iCs/>
      <w:color w:val="2F5496" w:themeColor="accent1" w:themeShade="BF"/>
    </w:rPr>
  </w:style>
  <w:style w:type="character" w:styleId="ad">
    <w:name w:val="Intense Reference"/>
    <w:basedOn w:val="a0"/>
    <w:uiPriority w:val="32"/>
    <w:qFormat/>
    <w:rsid w:val="00B8087B"/>
    <w:rPr>
      <w:b/>
      <w:bCs/>
      <w:smallCaps/>
      <w:color w:val="2F5496" w:themeColor="accent1" w:themeShade="BF"/>
      <w:spacing w:val="5"/>
    </w:rPr>
  </w:style>
  <w:style w:type="paragraph" w:styleId="ae">
    <w:name w:val="header"/>
    <w:basedOn w:val="a"/>
    <w:link w:val="af"/>
    <w:uiPriority w:val="99"/>
    <w:unhideWhenUsed/>
    <w:rsid w:val="00094AEB"/>
    <w:pPr>
      <w:tabs>
        <w:tab w:val="center" w:pos="4153"/>
        <w:tab w:val="right" w:pos="8306"/>
      </w:tabs>
      <w:snapToGrid w:val="0"/>
      <w:jc w:val="center"/>
    </w:pPr>
    <w:rPr>
      <w:sz w:val="18"/>
      <w:szCs w:val="18"/>
    </w:rPr>
  </w:style>
  <w:style w:type="character" w:customStyle="1" w:styleId="af">
    <w:name w:val="页眉 字符"/>
    <w:basedOn w:val="a0"/>
    <w:link w:val="ae"/>
    <w:uiPriority w:val="99"/>
    <w:rsid w:val="00094AEB"/>
    <w:rPr>
      <w:sz w:val="18"/>
      <w:szCs w:val="18"/>
    </w:rPr>
  </w:style>
  <w:style w:type="paragraph" w:styleId="af0">
    <w:name w:val="footer"/>
    <w:basedOn w:val="a"/>
    <w:link w:val="af1"/>
    <w:uiPriority w:val="99"/>
    <w:unhideWhenUsed/>
    <w:rsid w:val="00094AEB"/>
    <w:pPr>
      <w:tabs>
        <w:tab w:val="center" w:pos="4153"/>
        <w:tab w:val="right" w:pos="8306"/>
      </w:tabs>
      <w:snapToGrid w:val="0"/>
      <w:jc w:val="left"/>
    </w:pPr>
    <w:rPr>
      <w:sz w:val="18"/>
      <w:szCs w:val="18"/>
    </w:rPr>
  </w:style>
  <w:style w:type="character" w:customStyle="1" w:styleId="af1">
    <w:name w:val="页脚 字符"/>
    <w:basedOn w:val="a0"/>
    <w:link w:val="af0"/>
    <w:uiPriority w:val="99"/>
    <w:rsid w:val="00094AEB"/>
    <w:rPr>
      <w:sz w:val="18"/>
      <w:szCs w:val="18"/>
    </w:rPr>
  </w:style>
  <w:style w:type="paragraph" w:styleId="af2">
    <w:name w:val="Bibliography"/>
    <w:basedOn w:val="a"/>
    <w:next w:val="a"/>
    <w:uiPriority w:val="37"/>
    <w:unhideWhenUsed/>
    <w:rsid w:val="00094AEB"/>
    <w:pPr>
      <w:spacing w:after="240"/>
    </w:pPr>
  </w:style>
  <w:style w:type="paragraph" w:styleId="af3">
    <w:name w:val="caption"/>
    <w:basedOn w:val="a"/>
    <w:next w:val="a"/>
    <w:uiPriority w:val="35"/>
    <w:unhideWhenUsed/>
    <w:qFormat/>
    <w:rsid w:val="00427052"/>
    <w:rPr>
      <w:rFonts w:asciiTheme="majorHAnsi" w:eastAsia="SimHei"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5DA0D-F4DD-4B4C-A725-D83A131CE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7</Pages>
  <Words>25667</Words>
  <Characters>177873</Characters>
  <Application>Microsoft Office Word</Application>
  <DocSecurity>0</DocSecurity>
  <Lines>3293</Lines>
  <Paragraphs>1272</Paragraphs>
  <ScaleCrop>false</ScaleCrop>
  <Company/>
  <LinksUpToDate>false</LinksUpToDate>
  <CharactersWithSpaces>202268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 C</dc:creator>
  <cp:keywords/>
  <dc:description/>
  <cp:lastModifiedBy>BY C</cp:lastModifiedBy>
  <cp:revision>8</cp:revision>
  <dcterms:created xsi:type="dcterms:W3CDTF">2026-06-15T12:54:00Z</dcterms:created>
  <dcterms:modified xsi:type="dcterms:W3CDTF">2026-06-18T09:35:00Z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9e7ff095-a0b3-4cb8-91ad-6669261b8046</vt:lpwstr>
  </property>
  <property fmtid="{D5CDD505-2E9C-101B-9397-08002B2CF9AE}" pid="3" name="ZOTERO_PREF_1">
    <vt:lpwstr>&lt;data data-version="3" zotero-version="9.0.5"&gt;&lt;session id="EWM3kWsb"/&gt;&lt;style id="http://www.zotero.org/styles/journal-of-translational-medicine" hasBibliography="1" bibliographyStyleHasBeenSet="1"/&gt;&lt;prefs&gt;&lt;pref name="fieldType" value="Field"/&gt;&lt;/prefs&gt;&lt;/da</vt:lpwstr>
  </property>
  <property fmtid="{D5CDD505-2E9C-101B-9397-08002B2CF9AE}" pid="4" name="ZOTERO_PREF_2">
    <vt:lpwstr>ta&gt;</vt:lpwstr>
  </property>
</Properties>
</file>