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7ED5" w:rsidRPr="00557ED5" w:rsidRDefault="00557ED5" w:rsidP="004700C9">
      <w:pPr>
        <w:pStyle w:val="af6"/>
        <w:snapToGrid w:val="0"/>
        <w:spacing w:after="50" w:afterAutospacing="0"/>
        <w:jc w:val="both"/>
        <w:rPr>
          <w:rFonts w:ascii="Times New Roman" w:hAnsi="Times New Roman" w:cs="Times New Roman"/>
          <w:b/>
          <w:bCs/>
          <w:kern w:val="2"/>
          <w:sz w:val="28"/>
          <w:szCs w:val="28"/>
        </w:rPr>
      </w:pPr>
      <w:r w:rsidRPr="00557ED5">
        <w:rPr>
          <w:rFonts w:ascii="Times New Roman" w:hAnsi="Times New Roman" w:cs="Times New Roman"/>
          <w:b/>
          <w:bCs/>
          <w:kern w:val="2"/>
          <w:sz w:val="28"/>
          <w:szCs w:val="28"/>
        </w:rPr>
        <w:t>Supporting methods</w:t>
      </w:r>
    </w:p>
    <w:p w:rsidR="004700C9" w:rsidRPr="006B5912" w:rsidRDefault="004700C9" w:rsidP="004700C9">
      <w:pPr>
        <w:pStyle w:val="af6"/>
        <w:snapToGrid w:val="0"/>
        <w:spacing w:after="50" w:afterAutospacing="0"/>
        <w:jc w:val="both"/>
        <w:rPr>
          <w:rFonts w:ascii="Times New Roman" w:hAnsi="Times New Roman" w:cs="Times New Roman"/>
          <w:b/>
          <w:bCs/>
          <w:kern w:val="2"/>
        </w:rPr>
      </w:pPr>
      <w:r w:rsidRPr="006B5912">
        <w:rPr>
          <w:rFonts w:ascii="Times New Roman" w:hAnsi="Times New Roman" w:cs="Times New Roman"/>
          <w:b/>
          <w:bCs/>
          <w:kern w:val="2"/>
        </w:rPr>
        <w:t>2.</w:t>
      </w:r>
      <w:r>
        <w:rPr>
          <w:rFonts w:ascii="Times New Roman" w:hAnsi="Times New Roman" w:cs="Times New Roman" w:hint="eastAsia"/>
          <w:b/>
          <w:bCs/>
          <w:kern w:val="2"/>
        </w:rPr>
        <w:t>8</w:t>
      </w:r>
      <w:r w:rsidRPr="006B5912">
        <w:rPr>
          <w:rFonts w:ascii="Times New Roman" w:hAnsi="Times New Roman" w:cs="Times New Roman"/>
          <w:b/>
          <w:bCs/>
          <w:kern w:val="2"/>
        </w:rPr>
        <w:t>.3 LC-MS/MS Analysis</w:t>
      </w:r>
    </w:p>
    <w:p w:rsidR="004700C9" w:rsidRPr="006B5912" w:rsidRDefault="004700C9" w:rsidP="004700C9">
      <w:pPr>
        <w:pStyle w:val="af6"/>
        <w:snapToGrid w:val="0"/>
        <w:spacing w:after="50" w:afterAutospacing="0"/>
        <w:jc w:val="both"/>
        <w:rPr>
          <w:rFonts w:ascii="Times New Roman" w:hAnsi="Times New Roman" w:cs="Times New Roman"/>
          <w:b/>
          <w:bCs/>
          <w:kern w:val="2"/>
        </w:rPr>
      </w:pPr>
      <w:r w:rsidRPr="006B5912">
        <w:rPr>
          <w:rFonts w:ascii="Times New Roman" w:hAnsi="Times New Roman" w:cs="Times New Roman"/>
          <w:b/>
          <w:bCs/>
          <w:kern w:val="2"/>
        </w:rPr>
        <w:t>2.</w:t>
      </w:r>
      <w:r>
        <w:rPr>
          <w:rFonts w:ascii="Times New Roman" w:hAnsi="Times New Roman" w:cs="Times New Roman" w:hint="eastAsia"/>
          <w:b/>
          <w:bCs/>
          <w:kern w:val="2"/>
        </w:rPr>
        <w:t>8</w:t>
      </w:r>
      <w:r w:rsidRPr="006B5912">
        <w:rPr>
          <w:rFonts w:ascii="Times New Roman" w:hAnsi="Times New Roman" w:cs="Times New Roman"/>
          <w:b/>
          <w:bCs/>
          <w:kern w:val="2"/>
        </w:rPr>
        <w:t>.3.1 Liquid Chromatography Detection</w:t>
      </w:r>
    </w:p>
    <w:p w:rsidR="004700C9" w:rsidRPr="006B5912" w:rsidRDefault="004700C9" w:rsidP="004700C9">
      <w:pPr>
        <w:pStyle w:val="af6"/>
        <w:snapToGrid w:val="0"/>
        <w:spacing w:after="50" w:afterAutospacing="0" w:line="480" w:lineRule="auto"/>
        <w:jc w:val="both"/>
        <w:rPr>
          <w:rFonts w:ascii="Times New Roman" w:hAnsi="Times New Roman" w:cs="Times New Roman"/>
          <w:kern w:val="2"/>
        </w:rPr>
      </w:pPr>
      <w:r w:rsidRPr="006B5912">
        <w:rPr>
          <w:rFonts w:ascii="Times New Roman" w:hAnsi="Times New Roman" w:cs="Times New Roman"/>
          <w:kern w:val="2"/>
        </w:rPr>
        <w:t>Samples were separated using the Vanquish Neo UHPLC liquid chromatography system. The mobile phase A consisted of0.1% formic acid agueous solution, while mobile phase B was acetonitrile containing0.1% formic acid. The injection mode employed a trap-and-elute dual-column method, with a Peplap Neo Trap Cartridge (300 um * 5 mm, 5 um) as the trapping column and an Easy-SprayrM PepMapTMNeo UHPLC column (150 u' x 15 cm, 2 um) as the analytical column. The column temperature was controlled at 55 'C, with an injection volume of 200 ng, a flow rate of 2.5 ul/min, an effective gradient of 6.9 minutes, and a total runtime of</w:t>
      </w:r>
      <w:r>
        <w:rPr>
          <w:rFonts w:ascii="Times New Roman" w:hAnsi="Times New Roman" w:cs="Times New Roman" w:hint="eastAsia"/>
          <w:kern w:val="2"/>
        </w:rPr>
        <w:t xml:space="preserve"> </w:t>
      </w:r>
      <w:r w:rsidRPr="006B5912">
        <w:rPr>
          <w:rFonts w:ascii="Times New Roman" w:hAnsi="Times New Roman" w:cs="Times New Roman"/>
          <w:kern w:val="2"/>
        </w:rPr>
        <w:t>8 minutes.</w:t>
      </w:r>
    </w:p>
    <w:p w:rsidR="004700C9" w:rsidRPr="006B5912" w:rsidRDefault="004700C9" w:rsidP="004700C9">
      <w:pPr>
        <w:snapToGrid w:val="0"/>
        <w:spacing w:after="120"/>
        <w:rPr>
          <w:rFonts w:ascii="Times New Roman" w:hAnsi="Times New Roman" w:cs="Times New Roman"/>
          <w:b/>
          <w:bCs/>
        </w:rPr>
      </w:pPr>
      <w:r w:rsidRPr="006B5912">
        <w:rPr>
          <w:rFonts w:ascii="Times New Roman" w:hAnsi="Times New Roman" w:cs="Times New Roman"/>
          <w:b/>
          <w:bCs/>
        </w:rPr>
        <w:t>2.</w:t>
      </w:r>
      <w:r>
        <w:rPr>
          <w:rFonts w:ascii="Times New Roman" w:hAnsi="Times New Roman" w:cs="Times New Roman" w:hint="eastAsia"/>
          <w:b/>
          <w:bCs/>
        </w:rPr>
        <w:t>8</w:t>
      </w:r>
      <w:r w:rsidRPr="006B5912">
        <w:rPr>
          <w:rFonts w:ascii="Times New Roman" w:hAnsi="Times New Roman" w:cs="Times New Roman"/>
          <w:b/>
          <w:bCs/>
        </w:rPr>
        <w:t xml:space="preserve">.3.2 Orbitrap Astral Mass Spectrometry Detection </w:t>
      </w:r>
    </w:p>
    <w:p w:rsidR="004700C9" w:rsidRPr="006B5912" w:rsidRDefault="004700C9" w:rsidP="004700C9">
      <w:pPr>
        <w:snapToGrid w:val="0"/>
        <w:spacing w:after="120" w:line="480" w:lineRule="auto"/>
        <w:rPr>
          <w:rFonts w:ascii="Times New Roman" w:hAnsi="Times New Roman" w:cs="Times New Roman"/>
        </w:rPr>
      </w:pPr>
      <w:r w:rsidRPr="006B5912">
        <w:rPr>
          <w:rFonts w:ascii="Times New Roman" w:hAnsi="Times New Roman" w:cs="Times New Roman"/>
        </w:rPr>
        <w:t>DIA analysis utilized the Vanguish Neo system (Thermo Fisher Scientific) for chromatographic separation. Samples separated by nano-flow high-performance liquid chromatography were subjected to DIA (Data-Independent Acquisition) mass spectrometry analysis using the Orbitrap Astral high-resolution mass spectrometer (Thermo Scientific). The detection mode was positive ion mode, with a precursorion scan range of 380-980 m/z, a primary mass resolution of 240000 at 200 m/z, a Normalized AGC Target of 500%, and a Maximum I'T of 5 ms. MS2 was performed using DlA data acquisition mode, with299 scan windows, an Isolation Window of2 Th, HCD Collision Energy of 25%, a Normalized AGC Target of 500%, and a Maximum IT of 3 ms.</w:t>
      </w:r>
    </w:p>
    <w:p w:rsidR="004700C9" w:rsidRPr="006B5912" w:rsidRDefault="004700C9" w:rsidP="004700C9">
      <w:pPr>
        <w:snapToGrid w:val="0"/>
        <w:spacing w:after="120"/>
        <w:rPr>
          <w:rFonts w:ascii="Times New Roman" w:hAnsi="Times New Roman" w:cs="Times New Roman"/>
          <w:b/>
          <w:bCs/>
        </w:rPr>
      </w:pPr>
      <w:bookmarkStart w:id="0" w:name="OLE_LINK14"/>
      <w:r w:rsidRPr="006B5912">
        <w:rPr>
          <w:rFonts w:ascii="Times New Roman" w:hAnsi="Times New Roman" w:cs="Times New Roman"/>
          <w:b/>
          <w:bCs/>
        </w:rPr>
        <w:t>2.</w:t>
      </w:r>
      <w:r>
        <w:rPr>
          <w:rFonts w:ascii="Times New Roman" w:hAnsi="Times New Roman" w:cs="Times New Roman" w:hint="eastAsia"/>
          <w:b/>
          <w:bCs/>
        </w:rPr>
        <w:t>8</w:t>
      </w:r>
      <w:r w:rsidRPr="006B5912">
        <w:rPr>
          <w:rFonts w:ascii="Times New Roman" w:hAnsi="Times New Roman" w:cs="Times New Roman"/>
          <w:b/>
          <w:bCs/>
        </w:rPr>
        <w:t>.</w:t>
      </w:r>
      <w:bookmarkEnd w:id="0"/>
      <w:r w:rsidRPr="006B5912">
        <w:rPr>
          <w:rFonts w:ascii="Times New Roman" w:hAnsi="Times New Roman" w:cs="Times New Roman"/>
          <w:b/>
          <w:bCs/>
        </w:rPr>
        <w:t>4 Database search and quantification</w:t>
      </w:r>
    </w:p>
    <w:p w:rsidR="004700C9" w:rsidRPr="006B5912" w:rsidRDefault="004700C9" w:rsidP="004700C9">
      <w:pPr>
        <w:snapToGrid w:val="0"/>
        <w:spacing w:after="120" w:line="480" w:lineRule="auto"/>
        <w:rPr>
          <w:rFonts w:ascii="Times New Roman" w:hAnsi="Times New Roman" w:cs="Times New Roman"/>
        </w:rPr>
      </w:pPr>
      <w:r w:rsidRPr="006B5912">
        <w:rPr>
          <w:rFonts w:ascii="Times New Roman" w:hAnsi="Times New Roman" w:cs="Times New Roman"/>
        </w:rPr>
        <w:t>MS raw data were analyzed using DIA-NN (v1.8.1) with library-free method. the uniprotkb proteome UP000000589 mouse 54910 20240528.fasta database (A total of 54910 sequences) was used to creat a spectra library with deep learning algorithms of neural networks. the option of MBR (Match Between Runs) was employed to create a spectral library from DlA data and then reanlyse using this library. FDR (false discovery rate) of search results was adjusted to &lt; 1% at both protein and precursor ion levels, the remaining identi</w:t>
      </w:r>
      <w:bookmarkStart w:id="1" w:name="OLE_LINK16"/>
      <w:r w:rsidRPr="006B5912">
        <w:rPr>
          <w:rFonts w:ascii="Times New Roman" w:hAnsi="Times New Roman" w:cs="Times New Roman"/>
        </w:rPr>
        <w:t>ficat</w:t>
      </w:r>
      <w:bookmarkEnd w:id="1"/>
      <w:r w:rsidRPr="006B5912">
        <w:rPr>
          <w:rFonts w:ascii="Times New Roman" w:hAnsi="Times New Roman" w:cs="Times New Roman"/>
        </w:rPr>
        <w:t>ions were used for further quantification analysis.</w:t>
      </w:r>
    </w:p>
    <w:p w:rsidR="004700C9" w:rsidRPr="006B5912" w:rsidRDefault="004700C9" w:rsidP="004700C9">
      <w:pPr>
        <w:pStyle w:val="af6"/>
        <w:snapToGrid w:val="0"/>
        <w:spacing w:after="50" w:afterAutospacing="0"/>
        <w:jc w:val="both"/>
        <w:rPr>
          <w:rFonts w:ascii="Times New Roman" w:hAnsi="Times New Roman" w:cs="Times New Roman"/>
          <w:b/>
          <w:bCs/>
        </w:rPr>
      </w:pPr>
      <w:bookmarkStart w:id="2" w:name="OLE_LINK20"/>
    </w:p>
    <w:p w:rsidR="004700C9" w:rsidRPr="006B5912" w:rsidRDefault="004700C9" w:rsidP="004700C9">
      <w:pPr>
        <w:pStyle w:val="af6"/>
        <w:snapToGrid w:val="0"/>
        <w:spacing w:after="50" w:afterAutospacing="0"/>
        <w:jc w:val="both"/>
        <w:rPr>
          <w:rFonts w:ascii="Times New Roman" w:hAnsi="Times New Roman" w:cs="Times New Roman"/>
        </w:rPr>
      </w:pPr>
      <w:r w:rsidRPr="006B5912">
        <w:rPr>
          <w:rFonts w:ascii="Times New Roman" w:hAnsi="Times New Roman" w:cs="Times New Roman"/>
          <w:b/>
          <w:bCs/>
        </w:rPr>
        <w:t>2.</w:t>
      </w:r>
      <w:r>
        <w:rPr>
          <w:rFonts w:ascii="Times New Roman" w:hAnsi="Times New Roman" w:cs="Times New Roman" w:hint="eastAsia"/>
          <w:b/>
          <w:bCs/>
        </w:rPr>
        <w:t>9</w:t>
      </w:r>
      <w:r w:rsidRPr="006B5912">
        <w:rPr>
          <w:rFonts w:ascii="Times New Roman" w:hAnsi="Times New Roman" w:cs="Times New Roman"/>
          <w:b/>
          <w:bCs/>
        </w:rPr>
        <w:t xml:space="preserve"> Quantitative Transcriptomics</w:t>
      </w:r>
    </w:p>
    <w:bookmarkEnd w:id="2"/>
    <w:p w:rsidR="004700C9" w:rsidRPr="006B5912" w:rsidRDefault="004700C9" w:rsidP="004700C9">
      <w:pPr>
        <w:pStyle w:val="af6"/>
        <w:snapToGrid w:val="0"/>
        <w:spacing w:after="50" w:afterAutospacing="0"/>
        <w:jc w:val="both"/>
        <w:rPr>
          <w:rFonts w:ascii="Times New Roman" w:hAnsi="Times New Roman" w:cs="Times New Roman"/>
          <w:b/>
          <w:bCs/>
        </w:rPr>
      </w:pPr>
      <w:r w:rsidRPr="006B5912">
        <w:rPr>
          <w:rFonts w:ascii="Times New Roman" w:hAnsi="Times New Roman" w:cs="Times New Roman"/>
          <w:b/>
          <w:bCs/>
        </w:rPr>
        <w:t>2.</w:t>
      </w:r>
      <w:r>
        <w:rPr>
          <w:rFonts w:ascii="Times New Roman" w:hAnsi="Times New Roman" w:cs="Times New Roman" w:hint="eastAsia"/>
          <w:b/>
          <w:bCs/>
        </w:rPr>
        <w:t>9</w:t>
      </w:r>
      <w:r w:rsidRPr="006B5912">
        <w:rPr>
          <w:rFonts w:ascii="Times New Roman" w:hAnsi="Times New Roman" w:cs="Times New Roman"/>
          <w:b/>
          <w:bCs/>
        </w:rPr>
        <w:t>.1 RNA extraction and detection</w:t>
      </w:r>
    </w:p>
    <w:p w:rsidR="004700C9" w:rsidRPr="006B5912" w:rsidRDefault="004700C9" w:rsidP="004700C9">
      <w:pPr>
        <w:pStyle w:val="af6"/>
        <w:snapToGrid w:val="0"/>
        <w:spacing w:after="50" w:afterAutospacing="0" w:line="480" w:lineRule="auto"/>
        <w:jc w:val="both"/>
        <w:rPr>
          <w:rFonts w:ascii="Times New Roman" w:hAnsi="Times New Roman" w:cs="Times New Roman"/>
          <w:kern w:val="2"/>
        </w:rPr>
      </w:pPr>
      <w:r w:rsidRPr="006B5912">
        <w:rPr>
          <w:rFonts w:ascii="Times New Roman" w:hAnsi="Times New Roman" w:cs="Times New Roman"/>
          <w:kern w:val="2"/>
        </w:rPr>
        <w:t>Plant samples were extracted by ethanol precipitation and CTAB-PBIOZOL. Animal samples were extracted byTrizol method. After successful extraction, RNA was dissolved by adding 50 uL of DEPC-treated water. Subsequently, total RINA was identified and quantified using a Oubit fluorescence quantifier and a Osep400 high throughput biofragment analyzer.</w:t>
      </w:r>
    </w:p>
    <w:p w:rsidR="004700C9" w:rsidRPr="006B5912" w:rsidRDefault="004700C9" w:rsidP="004700C9">
      <w:pPr>
        <w:pStyle w:val="af6"/>
        <w:snapToGrid w:val="0"/>
        <w:spacing w:after="50" w:afterAutospacing="0"/>
        <w:jc w:val="both"/>
        <w:rPr>
          <w:rFonts w:ascii="Times New Roman" w:hAnsi="Times New Roman" w:cs="Times New Roman"/>
          <w:b/>
          <w:bCs/>
        </w:rPr>
      </w:pPr>
      <w:bookmarkStart w:id="3" w:name="OLE_LINK17"/>
      <w:r w:rsidRPr="006B5912">
        <w:rPr>
          <w:rFonts w:ascii="Times New Roman" w:hAnsi="Times New Roman" w:cs="Times New Roman"/>
          <w:b/>
          <w:bCs/>
        </w:rPr>
        <w:t>2.</w:t>
      </w:r>
      <w:r>
        <w:rPr>
          <w:rFonts w:ascii="Times New Roman" w:hAnsi="Times New Roman" w:cs="Times New Roman" w:hint="eastAsia"/>
          <w:b/>
          <w:bCs/>
        </w:rPr>
        <w:t>9</w:t>
      </w:r>
      <w:r w:rsidRPr="006B5912">
        <w:rPr>
          <w:rFonts w:ascii="Times New Roman" w:hAnsi="Times New Roman" w:cs="Times New Roman"/>
          <w:b/>
          <w:bCs/>
        </w:rPr>
        <w:t>.2</w:t>
      </w:r>
      <w:bookmarkEnd w:id="3"/>
      <w:r w:rsidRPr="006B5912">
        <w:rPr>
          <w:rFonts w:ascii="Times New Roman" w:hAnsi="Times New Roman" w:cs="Times New Roman"/>
          <w:b/>
          <w:bCs/>
        </w:rPr>
        <w:t xml:space="preserve"> mRNA library construction</w:t>
      </w:r>
    </w:p>
    <w:p w:rsidR="004700C9" w:rsidRPr="006B5912" w:rsidRDefault="004700C9" w:rsidP="004700C9">
      <w:pPr>
        <w:pStyle w:val="af6"/>
        <w:snapToGrid w:val="0"/>
        <w:spacing w:after="50" w:afterAutospacing="0" w:line="480" w:lineRule="auto"/>
        <w:jc w:val="both"/>
        <w:rPr>
          <w:rFonts w:ascii="Times New Roman" w:hAnsi="Times New Roman" w:cs="Times New Roman"/>
          <w:kern w:val="2"/>
        </w:rPr>
      </w:pPr>
      <w:r w:rsidRPr="006B5912">
        <w:rPr>
          <w:rFonts w:ascii="Times New Roman" w:hAnsi="Times New Roman" w:cs="Times New Roman"/>
          <w:kern w:val="2"/>
        </w:rPr>
        <w:t>1) By utilizing the structural characteristic that most eukaryotic mRNAs carry a polyA tail, mRNAs with polyA tailswere enriched by Oligo(dT) magnetic beads;</w:t>
      </w:r>
    </w:p>
    <w:p w:rsidR="004700C9" w:rsidRPr="006B5912" w:rsidRDefault="004700C9" w:rsidP="004700C9">
      <w:pPr>
        <w:pStyle w:val="af6"/>
        <w:snapToGrid w:val="0"/>
        <w:spacing w:after="50" w:afterAutospacing="0" w:line="480" w:lineRule="auto"/>
        <w:jc w:val="both"/>
        <w:rPr>
          <w:rFonts w:ascii="Times New Roman" w:hAnsi="Times New Roman" w:cs="Times New Roman"/>
          <w:kern w:val="2"/>
        </w:rPr>
      </w:pPr>
      <w:r w:rsidRPr="006B5912">
        <w:rPr>
          <w:rFonts w:ascii="Times New Roman" w:hAnsi="Times New Roman" w:cs="Times New Roman"/>
          <w:kern w:val="2"/>
        </w:rPr>
        <w:t>2) The purified mRNAs were cleaved into small fragments with fragmentation buffer at a suitable temperature;</w:t>
      </w:r>
    </w:p>
    <w:p w:rsidR="004700C9" w:rsidRPr="006B5912" w:rsidRDefault="004700C9" w:rsidP="004700C9">
      <w:pPr>
        <w:pStyle w:val="af6"/>
        <w:snapToGrid w:val="0"/>
        <w:spacing w:after="50" w:afterAutospacing="0" w:line="480" w:lineRule="auto"/>
        <w:jc w:val="both"/>
        <w:rPr>
          <w:rFonts w:ascii="Times New Roman" w:hAnsi="Times New Roman" w:cs="Times New Roman"/>
          <w:kern w:val="2"/>
        </w:rPr>
      </w:pPr>
      <w:r w:rsidRPr="006B5912">
        <w:rPr>
          <w:rFonts w:ascii="Times New Roman" w:hAnsi="Times New Roman" w:cs="Times New Roman"/>
          <w:kern w:val="2"/>
        </w:rPr>
        <w:t>3) First-strand cDNAs were produced by reverse transcription using a random hexamer primer,</w:t>
      </w:r>
    </w:p>
    <w:p w:rsidR="004700C9" w:rsidRPr="006B5912" w:rsidRDefault="004700C9" w:rsidP="004700C9">
      <w:pPr>
        <w:pStyle w:val="af6"/>
        <w:snapToGrid w:val="0"/>
        <w:spacing w:after="50" w:afterAutospacing="0" w:line="480" w:lineRule="auto"/>
        <w:jc w:val="both"/>
        <w:rPr>
          <w:rFonts w:ascii="Times New Roman" w:hAnsi="Times New Roman" w:cs="Times New Roman"/>
          <w:kern w:val="2"/>
        </w:rPr>
      </w:pPr>
      <w:r w:rsidRPr="006B5912">
        <w:rPr>
          <w:rFonts w:ascii="Times New Roman" w:hAnsi="Times New Roman" w:cs="Times New Roman"/>
          <w:kern w:val="2"/>
        </w:rPr>
        <w:t>4) Second-strand cDNAs are synthesized (strand-specifie library: dUT'P's were used instead of dTT'P's in thesecond-strand synthesis to incorporate dUTPs in the second-strand cDNAs, while the high-fidelity DNApolymerase used in this method could not amplify uracil-containing DNA templates, thus realizing the strand-specificity), while simultaneously performing end repair and dA-Tailing;</w:t>
      </w:r>
    </w:p>
    <w:p w:rsidR="004700C9" w:rsidRPr="006B5912" w:rsidRDefault="004700C9" w:rsidP="004700C9">
      <w:pPr>
        <w:pStyle w:val="af6"/>
        <w:snapToGrid w:val="0"/>
        <w:spacing w:after="50" w:afterAutospacing="0" w:line="480" w:lineRule="auto"/>
        <w:jc w:val="both"/>
        <w:rPr>
          <w:rFonts w:ascii="Times New Roman" w:hAnsi="Times New Roman" w:cs="Times New Roman"/>
          <w:kern w:val="2"/>
        </w:rPr>
      </w:pPr>
      <w:r w:rsidRPr="006B5912">
        <w:rPr>
          <w:rFonts w:ascii="Times New Roman" w:hAnsi="Times New Roman" w:cs="Times New Roman"/>
          <w:kern w:val="2"/>
        </w:rPr>
        <w:t>5) Seauencing adapter ligation was performed, followed by DNA maenetic bead purification and fragment selectionafter ligation was completed to yield a library with 250-350 bp insert fragments;</w:t>
      </w:r>
    </w:p>
    <w:p w:rsidR="004700C9" w:rsidRPr="006B5912" w:rsidRDefault="004700C9" w:rsidP="004700C9">
      <w:pPr>
        <w:pStyle w:val="af6"/>
        <w:snapToGrid w:val="0"/>
        <w:spacing w:after="50" w:afterAutospacing="0" w:line="480" w:lineRule="auto"/>
        <w:jc w:val="both"/>
        <w:rPr>
          <w:rFonts w:ascii="Times New Roman" w:hAnsi="Times New Roman" w:cs="Times New Roman"/>
          <w:kern w:val="2"/>
        </w:rPr>
      </w:pPr>
      <w:r w:rsidRPr="006B5912">
        <w:rPr>
          <w:rFonts w:ascii="Times New Roman" w:hAnsi="Times New Roman" w:cs="Times New Roman"/>
          <w:kern w:val="2"/>
        </w:rPr>
        <w:lastRenderedPageBreak/>
        <w:t>6) The ligated products were amplified by PCR and purified again using DNA magnetic beads, where the products were solubilized with nuclear-free water;</w:t>
      </w:r>
    </w:p>
    <w:p w:rsidR="004700C9" w:rsidRPr="006B5912" w:rsidRDefault="004700C9" w:rsidP="004700C9">
      <w:pPr>
        <w:snapToGrid w:val="0"/>
        <w:spacing w:after="120" w:line="480" w:lineRule="auto"/>
        <w:rPr>
          <w:rFonts w:ascii="Times New Roman" w:hAnsi="Times New Roman" w:cs="Times New Roman"/>
        </w:rPr>
      </w:pPr>
      <w:r w:rsidRPr="006B5912">
        <w:rPr>
          <w:rFonts w:ascii="Times New Roman" w:hAnsi="Times New Roman" w:cs="Times New Roman"/>
        </w:rPr>
        <w:t xml:space="preserve">7) After the initial library was constructed, a Qubit fluorescence quantifier was used for concentration detection, followed by a Osep400 high-throughput biofragment analyzer for fragment size detection. </w:t>
      </w:r>
    </w:p>
    <w:p w:rsidR="004700C9" w:rsidRPr="006B5912" w:rsidRDefault="004700C9" w:rsidP="004700C9">
      <w:pPr>
        <w:snapToGrid w:val="0"/>
        <w:spacing w:after="120"/>
        <w:rPr>
          <w:rFonts w:ascii="Times New Roman" w:hAnsi="Times New Roman" w:cs="Times New Roman"/>
          <w:b/>
          <w:bCs/>
        </w:rPr>
      </w:pPr>
      <w:r w:rsidRPr="006B5912">
        <w:rPr>
          <w:rFonts w:ascii="Times New Roman" w:hAnsi="Times New Roman" w:cs="Times New Roman"/>
          <w:b/>
          <w:bCs/>
        </w:rPr>
        <w:t>2.</w:t>
      </w:r>
      <w:r>
        <w:rPr>
          <w:rFonts w:ascii="Times New Roman" w:hAnsi="Times New Roman" w:cs="Times New Roman" w:hint="eastAsia"/>
          <w:b/>
          <w:bCs/>
        </w:rPr>
        <w:t>9</w:t>
      </w:r>
      <w:r w:rsidRPr="006B5912">
        <w:rPr>
          <w:rFonts w:ascii="Times New Roman" w:hAnsi="Times New Roman" w:cs="Times New Roman"/>
          <w:b/>
          <w:bCs/>
        </w:rPr>
        <w:t>.</w:t>
      </w:r>
      <w:r>
        <w:rPr>
          <w:rFonts w:ascii="Times New Roman" w:hAnsi="Times New Roman" w:cs="Times New Roman" w:hint="eastAsia"/>
          <w:b/>
          <w:bCs/>
        </w:rPr>
        <w:t>3</w:t>
      </w:r>
      <w:r w:rsidRPr="006B5912">
        <w:rPr>
          <w:rFonts w:ascii="Times New Roman" w:hAnsi="Times New Roman" w:cs="Times New Roman"/>
          <w:b/>
          <w:bCs/>
        </w:rPr>
        <w:t xml:space="preserve"> Sequencing run</w:t>
      </w:r>
    </w:p>
    <w:p w:rsidR="004700C9" w:rsidRPr="006B5912" w:rsidRDefault="004700C9" w:rsidP="004700C9">
      <w:pPr>
        <w:snapToGrid w:val="0"/>
        <w:spacing w:after="120" w:line="480" w:lineRule="auto"/>
        <w:rPr>
          <w:rFonts w:ascii="Times New Roman" w:hAnsi="Times New Roman" w:cs="Times New Roman"/>
        </w:rPr>
      </w:pPr>
      <w:r w:rsidRPr="006B5912">
        <w:rPr>
          <w:rFonts w:ascii="Times New Roman" w:hAnsi="Times New Roman" w:cs="Times New Roman"/>
        </w:rPr>
        <w:t>After passing the library check, the different libraries were sequenced in Illumina after pooling them according to the effective concentration and the target sequencing output data volume, yielding 150bp paired-end reads. The basic principle of sequencing is to synthesize and sequence at the same time. Four types of fluorescently labeled dN'T'P's, DNA polymerase, and junction primers were added to the sequencing flow cell for amplification. When extending the complementary strand of each sequencing cluster, each fluorescently labeled diN'TP added emits corresponding fluorescence, and the sequencer captures the fluorescence signals, and converts the light signals into sequencing peaks through computer software, so as to obtain the sequence information of the fragment to be-tested.</w:t>
      </w:r>
    </w:p>
    <w:p w:rsidR="004700C9" w:rsidRPr="006B5912" w:rsidRDefault="004700C9" w:rsidP="004700C9">
      <w:pPr>
        <w:snapToGrid w:val="0"/>
        <w:spacing w:after="50"/>
        <w:rPr>
          <w:rFonts w:ascii="Times New Roman" w:hAnsi="Times New Roman" w:cs="Times New Roman"/>
          <w:b/>
          <w:bCs/>
        </w:rPr>
      </w:pPr>
    </w:p>
    <w:p w:rsidR="004700C9" w:rsidRDefault="004700C9" w:rsidP="007E1879">
      <w:pPr>
        <w:snapToGrid w:val="0"/>
        <w:spacing w:after="120"/>
        <w:rPr>
          <w:rFonts w:ascii="Times New Roman" w:hAnsi="Times New Roman" w:cs="Times New Roman"/>
        </w:rPr>
      </w:pPr>
    </w:p>
    <w:p w:rsidR="007E3AAE" w:rsidRPr="007E1879" w:rsidRDefault="007E3AAE">
      <w:pPr>
        <w:spacing w:line="360" w:lineRule="auto"/>
        <w:jc w:val="left"/>
        <w:rPr>
          <w:rFonts w:ascii="Arial" w:eastAsia="Arial" w:hAnsi="Arial" w:cs="Arial"/>
          <w:color w:val="595959"/>
        </w:rPr>
      </w:pPr>
    </w:p>
    <w:sectPr w:rsidR="007E3AAE" w:rsidRPr="007E1879">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BB8" w:rsidRDefault="00594BB8">
      <w:r>
        <w:separator/>
      </w:r>
    </w:p>
  </w:endnote>
  <w:endnote w:type="continuationSeparator" w:id="0">
    <w:p w:rsidR="00594BB8" w:rsidRDefault="00594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BB8" w:rsidRDefault="00594BB8">
      <w:r>
        <w:separator/>
      </w:r>
    </w:p>
  </w:footnote>
  <w:footnote w:type="continuationSeparator" w:id="0">
    <w:p w:rsidR="00594BB8" w:rsidRDefault="00594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B92333"/>
    <w:multiLevelType w:val="hybridMultilevel"/>
    <w:tmpl w:val="2D7C60E6"/>
    <w:lvl w:ilvl="0" w:tplc="BF941584">
      <w:start w:val="1"/>
      <w:numFmt w:val="bullet"/>
      <w:lvlText w:val="·"/>
      <w:lvlJc w:val="left"/>
      <w:pPr>
        <w:ind w:left="720" w:hanging="349"/>
      </w:pPr>
      <w:rPr>
        <w:rFonts w:ascii="Symbol" w:eastAsia="Symbol" w:hAnsi="Symbol" w:cs="Symbol"/>
      </w:rPr>
    </w:lvl>
    <w:lvl w:ilvl="1" w:tplc="D752048C">
      <w:start w:val="1"/>
      <w:numFmt w:val="bullet"/>
      <w:lvlText w:val="o"/>
      <w:lvlJc w:val="left"/>
      <w:pPr>
        <w:ind w:left="1440" w:hanging="349"/>
      </w:pPr>
      <w:rPr>
        <w:rFonts w:ascii="Courier New" w:eastAsia="Courier New" w:hAnsi="Courier New" w:cs="Courier New"/>
      </w:rPr>
    </w:lvl>
    <w:lvl w:ilvl="2" w:tplc="C12C373A">
      <w:start w:val="1"/>
      <w:numFmt w:val="bullet"/>
      <w:lvlText w:val="§"/>
      <w:lvlJc w:val="left"/>
      <w:pPr>
        <w:ind w:left="2160" w:hanging="349"/>
      </w:pPr>
      <w:rPr>
        <w:rFonts w:ascii="Wingdings" w:eastAsia="Wingdings" w:hAnsi="Wingdings" w:cs="Wingdings"/>
      </w:rPr>
    </w:lvl>
    <w:lvl w:ilvl="3" w:tplc="21EA84D0">
      <w:start w:val="1"/>
      <w:numFmt w:val="bullet"/>
      <w:lvlText w:val="·"/>
      <w:lvlJc w:val="left"/>
      <w:pPr>
        <w:ind w:left="2880" w:hanging="349"/>
      </w:pPr>
      <w:rPr>
        <w:rFonts w:ascii="Symbol" w:eastAsia="Symbol" w:hAnsi="Symbol" w:cs="Symbol"/>
      </w:rPr>
    </w:lvl>
    <w:lvl w:ilvl="4" w:tplc="867E04E0">
      <w:start w:val="1"/>
      <w:numFmt w:val="bullet"/>
      <w:lvlText w:val="o"/>
      <w:lvlJc w:val="left"/>
      <w:pPr>
        <w:ind w:left="3600" w:hanging="349"/>
      </w:pPr>
      <w:rPr>
        <w:rFonts w:ascii="Courier New" w:eastAsia="Courier New" w:hAnsi="Courier New" w:cs="Courier New"/>
      </w:rPr>
    </w:lvl>
    <w:lvl w:ilvl="5" w:tplc="5650D76A">
      <w:start w:val="1"/>
      <w:numFmt w:val="bullet"/>
      <w:lvlText w:val="§"/>
      <w:lvlJc w:val="left"/>
      <w:pPr>
        <w:ind w:left="4320" w:hanging="349"/>
      </w:pPr>
      <w:rPr>
        <w:rFonts w:ascii="Wingdings" w:eastAsia="Wingdings" w:hAnsi="Wingdings" w:cs="Wingdings"/>
      </w:rPr>
    </w:lvl>
    <w:lvl w:ilvl="6" w:tplc="782CA608">
      <w:start w:val="1"/>
      <w:numFmt w:val="bullet"/>
      <w:lvlText w:val="·"/>
      <w:lvlJc w:val="left"/>
      <w:pPr>
        <w:ind w:left="5040" w:hanging="349"/>
      </w:pPr>
      <w:rPr>
        <w:rFonts w:ascii="Symbol" w:eastAsia="Symbol" w:hAnsi="Symbol" w:cs="Symbol"/>
      </w:rPr>
    </w:lvl>
    <w:lvl w:ilvl="7" w:tplc="30F6C480">
      <w:start w:val="1"/>
      <w:numFmt w:val="bullet"/>
      <w:lvlText w:val="o"/>
      <w:lvlJc w:val="left"/>
      <w:pPr>
        <w:ind w:left="5760" w:hanging="349"/>
      </w:pPr>
      <w:rPr>
        <w:rFonts w:ascii="Courier New" w:eastAsia="Courier New" w:hAnsi="Courier New" w:cs="Courier New"/>
      </w:rPr>
    </w:lvl>
    <w:lvl w:ilvl="8" w:tplc="F7923536">
      <w:start w:val="1"/>
      <w:numFmt w:val="bullet"/>
      <w:lvlText w:val="§"/>
      <w:lvlJc w:val="left"/>
      <w:pPr>
        <w:ind w:left="6480" w:hanging="349"/>
      </w:pPr>
      <w:rPr>
        <w:rFonts w:ascii="Wingdings" w:eastAsia="Wingdings" w:hAnsi="Wingdings" w:cs="Wingdings"/>
      </w:rPr>
    </w:lvl>
  </w:abstractNum>
  <w:num w:numId="1" w16cid:durableId="1684672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bordersDoNotSurroundHeader/>
  <w:bordersDoNotSurroundFooter/>
  <w:proofState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AAE"/>
    <w:rsid w:val="00261C2D"/>
    <w:rsid w:val="00316706"/>
    <w:rsid w:val="004700C9"/>
    <w:rsid w:val="00557ED5"/>
    <w:rsid w:val="00594BB8"/>
    <w:rsid w:val="005F169D"/>
    <w:rsid w:val="00624863"/>
    <w:rsid w:val="007E1879"/>
    <w:rsid w:val="007E3AAE"/>
    <w:rsid w:val="00C93F68"/>
    <w:rsid w:val="00D95A5C"/>
    <w:rsid w:val="00E5129F"/>
    <w:rsid w:val="00FD0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3FD0"/>
  <w15:docId w15:val="{7B248FF4-FB13-B641-9554-7517E660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1"/>
        <w:szCs w:val="22"/>
        <w:lang w:val="en-US" w:eastAsia="zh-CN"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keepLines/>
      <w:spacing w:before="340" w:after="330" w:line="578" w:lineRule="auto"/>
      <w:outlineLvl w:val="0"/>
    </w:pPr>
    <w:rPr>
      <w:b/>
      <w:bCs/>
      <w:sz w:val="44"/>
      <w:szCs w:val="44"/>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标题 2 字符"/>
    <w:basedOn w:val="a0"/>
    <w:link w:val="2"/>
    <w:uiPriority w:val="9"/>
    <w:rPr>
      <w:rFonts w:ascii="Arial" w:eastAsia="Arial" w:hAnsi="Arial" w:cs="Arial"/>
      <w:sz w:val="34"/>
    </w:rPr>
  </w:style>
  <w:style w:type="character" w:customStyle="1" w:styleId="30">
    <w:name w:val="标题 3 字符"/>
    <w:basedOn w:val="a0"/>
    <w:link w:val="3"/>
    <w:uiPriority w:val="9"/>
    <w:rPr>
      <w:rFonts w:ascii="Arial" w:eastAsia="Arial" w:hAnsi="Arial" w:cs="Arial"/>
      <w:sz w:val="30"/>
      <w:szCs w:val="30"/>
    </w:rPr>
  </w:style>
  <w:style w:type="character" w:customStyle="1" w:styleId="40">
    <w:name w:val="标题 4 字符"/>
    <w:basedOn w:val="a0"/>
    <w:link w:val="4"/>
    <w:uiPriority w:val="9"/>
    <w:rPr>
      <w:rFonts w:ascii="Arial" w:eastAsia="Arial" w:hAnsi="Arial" w:cs="Arial"/>
      <w:b/>
      <w:bCs/>
      <w:sz w:val="26"/>
      <w:szCs w:val="26"/>
    </w:rPr>
  </w:style>
  <w:style w:type="character" w:customStyle="1" w:styleId="50">
    <w:name w:val="标题 5 字符"/>
    <w:basedOn w:val="a0"/>
    <w:link w:val="5"/>
    <w:uiPriority w:val="9"/>
    <w:rPr>
      <w:rFonts w:ascii="Arial" w:eastAsia="Arial" w:hAnsi="Arial" w:cs="Arial"/>
      <w:b/>
      <w:bCs/>
      <w:sz w:val="24"/>
      <w:szCs w:val="24"/>
    </w:rPr>
  </w:style>
  <w:style w:type="character" w:customStyle="1" w:styleId="60">
    <w:name w:val="标题 6 字符"/>
    <w:basedOn w:val="a0"/>
    <w:link w:val="6"/>
    <w:uiPriority w:val="9"/>
    <w:rPr>
      <w:rFonts w:ascii="Arial" w:eastAsia="Arial" w:hAnsi="Arial" w:cs="Arial"/>
      <w:b/>
      <w:bCs/>
      <w:sz w:val="22"/>
      <w:szCs w:val="22"/>
    </w:rPr>
  </w:style>
  <w:style w:type="character" w:customStyle="1" w:styleId="70">
    <w:name w:val="标题 7 字符"/>
    <w:basedOn w:val="a0"/>
    <w:link w:val="7"/>
    <w:uiPriority w:val="9"/>
    <w:rPr>
      <w:rFonts w:ascii="Arial" w:eastAsia="Arial" w:hAnsi="Arial" w:cs="Arial"/>
      <w:b/>
      <w:bCs/>
      <w:i/>
      <w:iCs/>
      <w:sz w:val="22"/>
      <w:szCs w:val="22"/>
    </w:rPr>
  </w:style>
  <w:style w:type="character" w:customStyle="1" w:styleId="80">
    <w:name w:val="标题 8 字符"/>
    <w:basedOn w:val="a0"/>
    <w:link w:val="8"/>
    <w:uiPriority w:val="9"/>
    <w:rPr>
      <w:rFonts w:ascii="Arial" w:eastAsia="Arial" w:hAnsi="Arial" w:cs="Arial"/>
      <w:i/>
      <w:iCs/>
      <w:sz w:val="22"/>
      <w:szCs w:val="22"/>
    </w:rPr>
  </w:style>
  <w:style w:type="character" w:customStyle="1" w:styleId="90">
    <w:name w:val="标题 9 字符"/>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标题 字符"/>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副标题 字符"/>
    <w:basedOn w:val="a0"/>
    <w:link w:val="a7"/>
    <w:uiPriority w:val="11"/>
    <w:rPr>
      <w:sz w:val="24"/>
      <w:szCs w:val="24"/>
    </w:rPr>
  </w:style>
  <w:style w:type="paragraph" w:styleId="a9">
    <w:name w:val="Quote"/>
    <w:basedOn w:val="a"/>
    <w:next w:val="a"/>
    <w:link w:val="aa"/>
    <w:uiPriority w:val="29"/>
    <w:qFormat/>
    <w:pPr>
      <w:ind w:left="720" w:right="720"/>
    </w:pPr>
    <w:rPr>
      <w:i/>
    </w:rPr>
  </w:style>
  <w:style w:type="character" w:customStyle="1" w:styleId="aa">
    <w:name w:val="引用 字符"/>
    <w:link w:val="a9"/>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明显引用 字符"/>
    <w:link w:val="ab"/>
    <w:uiPriority w:val="30"/>
    <w:rPr>
      <w:i/>
    </w:rPr>
  </w:style>
  <w:style w:type="paragraph" w:styleId="ad">
    <w:name w:val="header"/>
    <w:basedOn w:val="a"/>
    <w:link w:val="ae"/>
    <w:uiPriority w:val="99"/>
    <w:unhideWhenUsed/>
    <w:pPr>
      <w:tabs>
        <w:tab w:val="center" w:pos="7143"/>
        <w:tab w:val="right" w:pos="14287"/>
      </w:tabs>
    </w:pPr>
  </w:style>
  <w:style w:type="character" w:customStyle="1" w:styleId="ae">
    <w:name w:val="页眉 字符"/>
    <w:basedOn w:val="a0"/>
    <w:link w:val="ad"/>
    <w:uiPriority w:val="99"/>
  </w:style>
  <w:style w:type="paragraph" w:styleId="af">
    <w:name w:val="footer"/>
    <w:basedOn w:val="a"/>
    <w:link w:val="af0"/>
    <w:uiPriority w:val="99"/>
    <w:unhideWhenUsed/>
    <w:pPr>
      <w:tabs>
        <w:tab w:val="center" w:pos="7143"/>
        <w:tab w:val="right" w:pos="14287"/>
      </w:tabs>
    </w:pPr>
  </w:style>
  <w:style w:type="character" w:customStyle="1" w:styleId="af0">
    <w:name w:val="页脚 字符"/>
    <w:basedOn w:val="a0"/>
    <w:link w:val="af"/>
    <w:uiPriority w:val="99"/>
  </w:style>
  <w:style w:type="table" w:styleId="af1">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f2">
    <w:name w:val="Hyperlink"/>
    <w:uiPriority w:val="99"/>
    <w:unhideWhenUsed/>
    <w:rPr>
      <w:color w:val="0000FF" w:themeColor="hyperlink"/>
      <w:u w:val="single"/>
    </w:rPr>
  </w:style>
  <w:style w:type="paragraph" w:styleId="af3">
    <w:name w:val="footnote text"/>
    <w:basedOn w:val="a"/>
    <w:link w:val="af4"/>
    <w:uiPriority w:val="99"/>
    <w:semiHidden/>
    <w:unhideWhenUsed/>
    <w:pPr>
      <w:spacing w:after="40"/>
    </w:pPr>
    <w:rPr>
      <w:sz w:val="18"/>
    </w:rPr>
  </w:style>
  <w:style w:type="character" w:customStyle="1" w:styleId="af4">
    <w:name w:val="脚注文本 字符"/>
    <w:link w:val="af3"/>
    <w:uiPriority w:val="99"/>
    <w:rPr>
      <w:sz w:val="18"/>
    </w:rPr>
  </w:style>
  <w:style w:type="character" w:styleId="af5">
    <w:name w:val="footnote reference"/>
    <w:basedOn w:val="a0"/>
    <w:uiPriority w:val="99"/>
    <w:unhideWhenUsed/>
    <w:rPr>
      <w:vertAlign w:val="superscript"/>
    </w:rPr>
  </w:style>
  <w:style w:type="paragraph" w:styleId="TOC1">
    <w:name w:val="toc 1"/>
    <w:basedOn w:val="a"/>
    <w:next w:val="a"/>
    <w:uiPriority w:val="39"/>
    <w:unhideWhenUsed/>
    <w:pPr>
      <w:spacing w:after="57"/>
    </w:pPr>
  </w:style>
  <w:style w:type="paragraph" w:styleId="TOC2">
    <w:name w:val="toc 2"/>
    <w:basedOn w:val="a"/>
    <w:next w:val="a"/>
    <w:uiPriority w:val="39"/>
    <w:unhideWhenUsed/>
    <w:pPr>
      <w:spacing w:after="57"/>
      <w:ind w:left="283"/>
    </w:pPr>
  </w:style>
  <w:style w:type="paragraph" w:styleId="TOC3">
    <w:name w:val="toc 3"/>
    <w:basedOn w:val="a"/>
    <w:next w:val="a"/>
    <w:uiPriority w:val="39"/>
    <w:unhideWhenUsed/>
    <w:pPr>
      <w:spacing w:after="57"/>
      <w:ind w:left="567"/>
    </w:pPr>
  </w:style>
  <w:style w:type="paragraph" w:styleId="TOC4">
    <w:name w:val="toc 4"/>
    <w:basedOn w:val="a"/>
    <w:next w:val="a"/>
    <w:uiPriority w:val="39"/>
    <w:unhideWhenUsed/>
    <w:pPr>
      <w:spacing w:after="57"/>
      <w:ind w:left="850"/>
    </w:pPr>
  </w:style>
  <w:style w:type="paragraph" w:styleId="TOC5">
    <w:name w:val="toc 5"/>
    <w:basedOn w:val="a"/>
    <w:next w:val="a"/>
    <w:uiPriority w:val="39"/>
    <w:unhideWhenUsed/>
    <w:pPr>
      <w:spacing w:after="57"/>
      <w:ind w:left="1134"/>
    </w:pPr>
  </w:style>
  <w:style w:type="paragraph" w:styleId="TOC6">
    <w:name w:val="toc 6"/>
    <w:basedOn w:val="a"/>
    <w:next w:val="a"/>
    <w:uiPriority w:val="39"/>
    <w:unhideWhenUsed/>
    <w:pPr>
      <w:spacing w:after="57"/>
      <w:ind w:left="1417"/>
    </w:pPr>
  </w:style>
  <w:style w:type="paragraph" w:styleId="TOC7">
    <w:name w:val="toc 7"/>
    <w:basedOn w:val="a"/>
    <w:next w:val="a"/>
    <w:uiPriority w:val="39"/>
    <w:unhideWhenUsed/>
    <w:pPr>
      <w:spacing w:after="57"/>
      <w:ind w:left="1701"/>
    </w:pPr>
  </w:style>
  <w:style w:type="paragraph" w:styleId="TOC8">
    <w:name w:val="toc 8"/>
    <w:basedOn w:val="a"/>
    <w:next w:val="a"/>
    <w:uiPriority w:val="39"/>
    <w:unhideWhenUsed/>
    <w:pPr>
      <w:spacing w:after="57"/>
      <w:ind w:left="1984"/>
    </w:pPr>
  </w:style>
  <w:style w:type="paragraph" w:styleId="TOC9">
    <w:name w:val="toc 9"/>
    <w:basedOn w:val="a"/>
    <w:next w:val="a"/>
    <w:uiPriority w:val="39"/>
    <w:unhideWhenUsed/>
    <w:pPr>
      <w:spacing w:after="57"/>
      <w:ind w:left="2268"/>
    </w:pPr>
  </w:style>
  <w:style w:type="paragraph" w:styleId="TOC">
    <w:name w:val="TOC Heading"/>
    <w:uiPriority w:val="39"/>
    <w:unhideWhenUsed/>
  </w:style>
  <w:style w:type="character" w:customStyle="1" w:styleId="10">
    <w:name w:val="标题 1 字符"/>
    <w:basedOn w:val="a0"/>
    <w:link w:val="1"/>
    <w:uiPriority w:val="9"/>
    <w:rPr>
      <w:b/>
      <w:bCs/>
      <w:sz w:val="44"/>
      <w:szCs w:val="44"/>
    </w:rPr>
  </w:style>
  <w:style w:type="character" w:customStyle="1" w:styleId="null">
    <w:name w:val="null"/>
    <w:basedOn w:val="a0"/>
    <w:rsid w:val="007E1879"/>
  </w:style>
  <w:style w:type="character" w:customStyle="1" w:styleId="apple-converted-space">
    <w:name w:val="apple-converted-space"/>
    <w:basedOn w:val="a0"/>
    <w:rsid w:val="007E1879"/>
  </w:style>
  <w:style w:type="paragraph" w:styleId="af6">
    <w:name w:val="Normal (Web)"/>
    <w:basedOn w:val="a"/>
    <w:uiPriority w:val="99"/>
    <w:unhideWhenUsed/>
    <w:rsid w:val="004700C9"/>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697</Words>
  <Characters>3979</Characters>
  <Application>Microsoft Office Word</Application>
  <DocSecurity>0</DocSecurity>
  <Lines>33</Lines>
  <Paragraphs>9</Paragraphs>
  <ScaleCrop>false</ScaleCrop>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wjr15949217418@163.com</cp:lastModifiedBy>
  <cp:revision>8</cp:revision>
  <dcterms:created xsi:type="dcterms:W3CDTF">2025-09-20T08:06:00Z</dcterms:created>
  <dcterms:modified xsi:type="dcterms:W3CDTF">2025-10-14T06:53:00Z</dcterms:modified>
</cp:coreProperties>
</file>