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D34DB" w14:textId="750EA2AA" w:rsidR="009D3AA4" w:rsidRPr="00207831" w:rsidRDefault="009D3AA4" w:rsidP="009D3AA4">
      <w:pPr>
        <w:spacing w:before="240" w:after="240"/>
        <w:jc w:val="both"/>
        <w:rPr>
          <w:b/>
          <w:bCs/>
          <w:sz w:val="20"/>
          <w:szCs w:val="20"/>
        </w:rPr>
      </w:pPr>
      <w:r w:rsidRPr="00207831">
        <w:rPr>
          <w:b/>
          <w:bCs/>
          <w:sz w:val="20"/>
          <w:szCs w:val="20"/>
        </w:rPr>
        <w:t>SUPPLEMENTARY MATERIALS</w:t>
      </w:r>
    </w:p>
    <w:p w14:paraId="59D2CD1F" w14:textId="4A4784E2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  <w:r w:rsidRPr="00207831">
        <w:rPr>
          <w:b/>
          <w:bCs/>
          <w:sz w:val="20"/>
          <w:szCs w:val="20"/>
        </w:rPr>
        <w:t xml:space="preserve">Table 1. Genes </w:t>
      </w:r>
      <w:proofErr w:type="spellStart"/>
      <w:r w:rsidRPr="00207831">
        <w:rPr>
          <w:b/>
          <w:bCs/>
          <w:sz w:val="20"/>
          <w:szCs w:val="20"/>
        </w:rPr>
        <w:t>primers</w:t>
      </w:r>
      <w:proofErr w:type="spellEnd"/>
      <w:r w:rsidRPr="00207831">
        <w:rPr>
          <w:b/>
          <w:bCs/>
          <w:sz w:val="20"/>
          <w:szCs w:val="20"/>
        </w:rPr>
        <w:t xml:space="preserve"> </w:t>
      </w:r>
      <w:proofErr w:type="spellStart"/>
      <w:r w:rsidRPr="00207831">
        <w:rPr>
          <w:b/>
          <w:bCs/>
          <w:sz w:val="20"/>
          <w:szCs w:val="20"/>
        </w:rPr>
        <w:t>secuence</w:t>
      </w:r>
      <w:proofErr w:type="spellEnd"/>
      <w:r w:rsidRPr="00207831">
        <w:rPr>
          <w:b/>
          <w:bCs/>
          <w:sz w:val="20"/>
          <w:szCs w:val="20"/>
        </w:rPr>
        <w:t xml:space="preserve"> 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7720"/>
      </w:tblGrid>
      <w:tr w:rsidR="00A6113E" w:rsidRPr="00207831" w14:paraId="696C59AA" w14:textId="77777777" w:rsidTr="00C86728">
        <w:trPr>
          <w:trHeight w:val="3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6EF0E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proofErr w:type="spellStart"/>
            <w:r w:rsidRPr="00207831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Name</w:t>
            </w:r>
            <w:proofErr w:type="spellEnd"/>
            <w:r w:rsidRPr="00207831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207831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of</w:t>
            </w:r>
            <w:proofErr w:type="spellEnd"/>
            <w:r w:rsidRPr="00207831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 xml:space="preserve"> gene</w:t>
            </w:r>
          </w:p>
        </w:tc>
        <w:tc>
          <w:tcPr>
            <w:tcW w:w="7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95E6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proofErr w:type="spellStart"/>
            <w:r w:rsidRPr="00207831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Sequence</w:t>
            </w:r>
            <w:proofErr w:type="spellEnd"/>
          </w:p>
        </w:tc>
      </w:tr>
      <w:tr w:rsidR="00A6113E" w:rsidRPr="00207831" w14:paraId="6389FCBC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C90A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hcol2a1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6F41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 xml:space="preserve"> (F) TCCAATGACGTGGAGATCC, (R) CTTACCGGTATGTTTCGTGC</w:t>
            </w:r>
          </w:p>
        </w:tc>
      </w:tr>
      <w:tr w:rsidR="00A6113E" w:rsidRPr="00207831" w14:paraId="5961E157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19642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hacan</w:t>
            </w:r>
            <w:proofErr w:type="spellEnd"/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3347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>(F) ATCACCCTCTGGTGTGGAGGA, (R) GGCCAAGTAGGAAGGATCCCTG</w:t>
            </w:r>
          </w:p>
        </w:tc>
      </w:tr>
      <w:tr w:rsidR="00A6113E" w:rsidRPr="00207831" w14:paraId="00D45344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EA970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hmmp1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F792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>(F) TGAAGATGAAAGGTGGACCAA, (R) AACGTCCATATATGGCTTGGAT</w:t>
            </w:r>
          </w:p>
        </w:tc>
      </w:tr>
      <w:tr w:rsidR="00A6113E" w:rsidRPr="00207831" w14:paraId="17259EC9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B0628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hmmp13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1E0D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 xml:space="preserve"> (F) TAAGGAGCATGGCGACTTCT, (R) GTCTGGCGTTTTTGGATGTT</w:t>
            </w:r>
          </w:p>
        </w:tc>
      </w:tr>
      <w:tr w:rsidR="00A6113E" w:rsidRPr="00207831" w14:paraId="436782E2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3221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hmfn2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DCCE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 xml:space="preserve"> (F) AGCCACCAAGTCCAGCAG, (R) AACCTCAATTTTCTTGTTCATGG</w:t>
            </w:r>
          </w:p>
        </w:tc>
      </w:tr>
      <w:tr w:rsidR="00A6113E" w:rsidRPr="00207831" w14:paraId="27004F89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4ECD8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18s</w:t>
            </w:r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F0504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  <w:lang w:val="en-US"/>
              </w:rPr>
              <w:t>(F) CCC TGC CCT TTG TAC ACA CC, (R) CGA TCC GAG GGC CTC ACT A</w:t>
            </w:r>
          </w:p>
        </w:tc>
      </w:tr>
      <w:tr w:rsidR="00A6113E" w:rsidRPr="00207831" w14:paraId="0B11277C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7EF85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hpink</w:t>
            </w:r>
            <w:proofErr w:type="spellEnd"/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C965D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>(F) GCCAGTACCTTTGTGTGAACAC, (R) TGTCGGATTTCAGGTCTCTGTG</w:t>
            </w:r>
          </w:p>
        </w:tc>
      </w:tr>
      <w:tr w:rsidR="00A6113E" w:rsidRPr="00207831" w14:paraId="0F763ABE" w14:textId="77777777" w:rsidTr="00C86728">
        <w:trPr>
          <w:trHeight w:val="3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46E47" w14:textId="77777777" w:rsidR="00A6113E" w:rsidRPr="00207831" w:rsidRDefault="00A6113E" w:rsidP="00C86728">
            <w:pPr>
              <w:jc w:val="both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07831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hparkin</w:t>
            </w:r>
            <w:proofErr w:type="spellEnd"/>
          </w:p>
        </w:tc>
        <w:tc>
          <w:tcPr>
            <w:tcW w:w="7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77668" w14:textId="77777777" w:rsidR="00A6113E" w:rsidRPr="00207831" w:rsidRDefault="00A6113E" w:rsidP="00C86728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207831">
              <w:rPr>
                <w:rFonts w:ascii="Aptos Narrow" w:eastAsia="Times New Roman" w:hAnsi="Aptos Narrow" w:cs="Times New Roman"/>
                <w:color w:val="000000"/>
              </w:rPr>
              <w:t>(F)CCAGAGGAAAGTCACCTGCGAA, (R) CTGAGGCTTCAAATACGGCACTG</w:t>
            </w:r>
          </w:p>
        </w:tc>
      </w:tr>
    </w:tbl>
    <w:p w14:paraId="078F3537" w14:textId="77777777" w:rsidR="009D3AA4" w:rsidRPr="00207831" w:rsidRDefault="009D3AA4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49564178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48CA9356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26657E50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376A4A34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33D15D33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2054526F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2404180D" w14:textId="77777777" w:rsidR="00A6113E" w:rsidRPr="00207831" w:rsidRDefault="00A6113E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4253A134" w14:textId="77777777" w:rsidR="009D3AA4" w:rsidRPr="00207831" w:rsidRDefault="009D3AA4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11E1839A" w14:textId="1BF9342F" w:rsidR="009D3AA4" w:rsidRPr="00207831" w:rsidRDefault="009D3AA4" w:rsidP="009D3AA4">
      <w:pPr>
        <w:spacing w:before="240" w:after="240"/>
        <w:jc w:val="both"/>
        <w:rPr>
          <w:b/>
          <w:bCs/>
          <w:sz w:val="20"/>
          <w:szCs w:val="20"/>
        </w:rPr>
      </w:pPr>
      <w:r w:rsidRPr="00207831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074345CF" wp14:editId="3AD9C508">
            <wp:extent cx="5736093" cy="1510301"/>
            <wp:effectExtent l="0" t="0" r="4445" b="1270"/>
            <wp:docPr id="202870306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703067" name="Imagen 20287030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119" cy="152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264DE" w14:textId="77777777" w:rsidR="009D3AA4" w:rsidRPr="00207831" w:rsidRDefault="009D3AA4" w:rsidP="009D3AA4">
      <w:pPr>
        <w:spacing w:before="240" w:after="240"/>
        <w:jc w:val="both"/>
        <w:rPr>
          <w:b/>
          <w:bCs/>
          <w:sz w:val="20"/>
          <w:szCs w:val="20"/>
        </w:rPr>
      </w:pPr>
    </w:p>
    <w:p w14:paraId="0C645BCA" w14:textId="77777777" w:rsidR="009D3AA4" w:rsidRPr="00207831" w:rsidRDefault="009D3AA4" w:rsidP="009D3AA4">
      <w:pPr>
        <w:spacing w:before="240" w:after="240"/>
        <w:jc w:val="both"/>
        <w:rPr>
          <w:sz w:val="20"/>
          <w:szCs w:val="20"/>
          <w:lang w:val="en-US"/>
        </w:rPr>
      </w:pPr>
      <w:r w:rsidRPr="00207831">
        <w:rPr>
          <w:b/>
          <w:bCs/>
          <w:sz w:val="20"/>
          <w:szCs w:val="20"/>
          <w:lang w:val="en-US"/>
        </w:rPr>
        <w:t>Figure S1. Gating strategy for the identification and purity assessment of isolated human platelets by flow cytometry.</w:t>
      </w:r>
      <w:r w:rsidRPr="00207831">
        <w:rPr>
          <w:sz w:val="20"/>
          <w:szCs w:val="20"/>
          <w:lang w:val="en-US"/>
        </w:rPr>
        <w:t xml:space="preserve"> (A) Representative </w:t>
      </w:r>
      <w:proofErr w:type="spellStart"/>
      <w:r w:rsidRPr="00207831">
        <w:rPr>
          <w:sz w:val="20"/>
          <w:szCs w:val="20"/>
          <w:lang w:val="en-US"/>
        </w:rPr>
        <w:t>pseudocolor</w:t>
      </w:r>
      <w:proofErr w:type="spellEnd"/>
      <w:r w:rsidRPr="00207831">
        <w:rPr>
          <w:sz w:val="20"/>
          <w:szCs w:val="20"/>
          <w:lang w:val="en-US"/>
        </w:rPr>
        <w:t xml:space="preserve"> dot plot of whole blood showing the platelet gate defined on forward scatter (FSC-A) versus side scatter (SSC-H); platelets represented 1.40% of total acquired events. (B) Equivalent representative dot plot of the platelet-enriched fraction obtained after differential centrifugation, showing a marked increase of events within the platelet gate (73.3%), consistent with successful isolation. (C) Fluorescence-minus-one (FMO) control for CD61 used to define the CD61</w:t>
      </w:r>
      <w:r w:rsidRPr="00207831">
        <w:rPr>
          <w:rFonts w:ascii="Cambria Math" w:hAnsi="Cambria Math" w:cs="Cambria Math"/>
          <w:sz w:val="20"/>
          <w:szCs w:val="20"/>
          <w:lang w:val="en-US"/>
        </w:rPr>
        <w:t>⁺</w:t>
      </w:r>
      <w:r w:rsidRPr="00207831">
        <w:rPr>
          <w:sz w:val="20"/>
          <w:szCs w:val="20"/>
          <w:lang w:val="en-US"/>
        </w:rPr>
        <w:t xml:space="preserve"> threshold in the purified fraction; only 0.079% of events fell within the positive region. (D) Representative histogram (normalized to mode) of CD61 fluorescence intensity comparing the unstained control (red) with the CD61-stained purified platelet sample (magenta), confirming high CD61 positivity and thus the platelet identity of the isolated population.</w:t>
      </w:r>
    </w:p>
    <w:p w14:paraId="51ABD42E" w14:textId="77777777" w:rsidR="00A6113E" w:rsidRPr="00207831" w:rsidRDefault="00A6113E" w:rsidP="009D3AA4">
      <w:pPr>
        <w:spacing w:before="240" w:after="240"/>
        <w:jc w:val="both"/>
        <w:rPr>
          <w:sz w:val="20"/>
          <w:szCs w:val="20"/>
          <w:lang w:val="en-US"/>
        </w:rPr>
      </w:pPr>
    </w:p>
    <w:p w14:paraId="08D2572C" w14:textId="77777777" w:rsidR="00A6113E" w:rsidRPr="00207831" w:rsidRDefault="00A6113E" w:rsidP="009D3AA4">
      <w:pPr>
        <w:spacing w:before="240" w:after="240"/>
        <w:jc w:val="both"/>
        <w:rPr>
          <w:sz w:val="20"/>
          <w:szCs w:val="20"/>
          <w:lang w:val="en-US"/>
        </w:rPr>
      </w:pPr>
    </w:p>
    <w:p w14:paraId="6E4DD26B" w14:textId="77777777" w:rsidR="00A6113E" w:rsidRPr="00207831" w:rsidRDefault="00A6113E" w:rsidP="009D3AA4">
      <w:pPr>
        <w:spacing w:before="240" w:after="240"/>
        <w:jc w:val="both"/>
        <w:rPr>
          <w:sz w:val="20"/>
          <w:szCs w:val="20"/>
          <w:lang w:val="en-US"/>
        </w:rPr>
      </w:pPr>
    </w:p>
    <w:p w14:paraId="7C8C85E5" w14:textId="77777777" w:rsidR="00A6113E" w:rsidRPr="00207831" w:rsidRDefault="00A6113E" w:rsidP="009D3AA4">
      <w:pPr>
        <w:spacing w:before="240" w:after="240"/>
        <w:jc w:val="both"/>
        <w:rPr>
          <w:sz w:val="20"/>
          <w:szCs w:val="20"/>
          <w:lang w:val="en-US"/>
        </w:rPr>
      </w:pPr>
    </w:p>
    <w:p w14:paraId="3FB7D2E1" w14:textId="77777777" w:rsidR="009D3AA4" w:rsidRPr="00207831" w:rsidRDefault="009D3AA4" w:rsidP="009D3AA4">
      <w:pPr>
        <w:spacing w:before="240" w:after="240"/>
        <w:jc w:val="both"/>
        <w:rPr>
          <w:b/>
          <w:bCs/>
          <w:sz w:val="20"/>
          <w:szCs w:val="20"/>
          <w:lang w:val="en-US"/>
        </w:rPr>
      </w:pPr>
    </w:p>
    <w:p w14:paraId="0121FE46" w14:textId="77777777" w:rsidR="009D3AA4" w:rsidRPr="00207831" w:rsidRDefault="009D3AA4" w:rsidP="009D3AA4">
      <w:pPr>
        <w:spacing w:before="240" w:after="240"/>
        <w:jc w:val="both"/>
        <w:rPr>
          <w:sz w:val="20"/>
          <w:szCs w:val="20"/>
          <w:lang w:val="en-US"/>
        </w:rPr>
      </w:pPr>
      <w:r w:rsidRPr="00207831">
        <w:rPr>
          <w:noProof/>
          <w:sz w:val="20"/>
          <w:szCs w:val="20"/>
          <w:lang w:val="en-US"/>
        </w:rPr>
        <w:lastRenderedPageBreak/>
        <w:drawing>
          <wp:inline distT="0" distB="0" distL="0" distR="0" wp14:anchorId="4F688B89" wp14:editId="35F991D6">
            <wp:extent cx="5461000" cy="2743200"/>
            <wp:effectExtent l="0" t="0" r="0" b="0"/>
            <wp:docPr id="66099902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9028" name="Imagen 6609990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46527" w14:textId="77777777" w:rsidR="009D3AA4" w:rsidRPr="00207831" w:rsidRDefault="009D3AA4" w:rsidP="009D3AA4">
      <w:pPr>
        <w:spacing w:after="0"/>
        <w:jc w:val="both"/>
        <w:rPr>
          <w:b/>
          <w:bCs/>
          <w:sz w:val="20"/>
          <w:szCs w:val="20"/>
        </w:rPr>
      </w:pPr>
    </w:p>
    <w:p w14:paraId="5F49329A" w14:textId="77777777" w:rsidR="009D3AA4" w:rsidRPr="00207831" w:rsidRDefault="009D3AA4" w:rsidP="009D3AA4">
      <w:pPr>
        <w:spacing w:after="0"/>
        <w:jc w:val="both"/>
        <w:rPr>
          <w:b/>
          <w:bCs/>
          <w:sz w:val="20"/>
          <w:szCs w:val="20"/>
        </w:rPr>
      </w:pPr>
    </w:p>
    <w:p w14:paraId="16273473" w14:textId="77777777" w:rsidR="009D3AA4" w:rsidRPr="00207831" w:rsidRDefault="009D3AA4" w:rsidP="009D3AA4">
      <w:pPr>
        <w:spacing w:after="0"/>
        <w:jc w:val="both"/>
        <w:rPr>
          <w:b/>
          <w:bCs/>
          <w:sz w:val="20"/>
          <w:szCs w:val="20"/>
          <w:lang w:val="en-US"/>
        </w:rPr>
      </w:pPr>
      <w:r w:rsidRPr="00207831">
        <w:rPr>
          <w:b/>
          <w:bCs/>
          <w:sz w:val="20"/>
          <w:szCs w:val="20"/>
          <w:lang w:val="en-US"/>
        </w:rPr>
        <w:t>Figure S2. Platelet-derived mitochondrial transfer does not alter chondrogenic marker expression but progressively downregulates the catabolic genes mmp1 and mmp13 in osteoarthritic chondrocytes</w:t>
      </w:r>
      <w:r w:rsidRPr="00207831">
        <w:rPr>
          <w:sz w:val="20"/>
          <w:szCs w:val="20"/>
          <w:lang w:val="en-US"/>
        </w:rPr>
        <w:t xml:space="preserve">. Primary human osteoarthritic chondrocytes were </w:t>
      </w:r>
      <w:proofErr w:type="spellStart"/>
      <w:r w:rsidRPr="00207831">
        <w:rPr>
          <w:sz w:val="20"/>
          <w:szCs w:val="20"/>
          <w:lang w:val="en-US"/>
        </w:rPr>
        <w:t>mitocepted</w:t>
      </w:r>
      <w:proofErr w:type="spellEnd"/>
      <w:r w:rsidRPr="00207831">
        <w:rPr>
          <w:sz w:val="20"/>
          <w:szCs w:val="20"/>
          <w:lang w:val="en-US"/>
        </w:rPr>
        <w:t xml:space="preserve"> with platelet-derived mitochondria (MitoT+) at a platelet-equivalent mitochondria dose-to-cell ratio of 100:1 or left untreated (No </w:t>
      </w:r>
      <w:proofErr w:type="spellStart"/>
      <w:r w:rsidRPr="00207831">
        <w:rPr>
          <w:sz w:val="20"/>
          <w:szCs w:val="20"/>
          <w:lang w:val="en-US"/>
        </w:rPr>
        <w:t>mito</w:t>
      </w:r>
      <w:proofErr w:type="spellEnd"/>
      <w:r w:rsidRPr="00207831">
        <w:rPr>
          <w:sz w:val="20"/>
          <w:szCs w:val="20"/>
          <w:lang w:val="en-US"/>
        </w:rPr>
        <w:t xml:space="preserve">) and harvested 24, 48, or 72 h after </w:t>
      </w:r>
      <w:proofErr w:type="spellStart"/>
      <w:r w:rsidRPr="00207831">
        <w:rPr>
          <w:sz w:val="20"/>
          <w:szCs w:val="20"/>
          <w:lang w:val="en-US"/>
        </w:rPr>
        <w:t>mitoception</w:t>
      </w:r>
      <w:proofErr w:type="spellEnd"/>
      <w:r w:rsidRPr="00207831">
        <w:rPr>
          <w:sz w:val="20"/>
          <w:szCs w:val="20"/>
          <w:lang w:val="en-US"/>
        </w:rPr>
        <w:t>. Relative mRNA expression was determined by RT-qPCR, using the 2</w:t>
      </w:r>
      <w:r w:rsidRPr="00207831">
        <w:rPr>
          <w:sz w:val="20"/>
          <w:szCs w:val="20"/>
          <w:vertAlign w:val="superscript"/>
          <w:lang w:val="en-US"/>
        </w:rPr>
        <w:t>-ΔΔCt</w:t>
      </w:r>
      <w:r w:rsidRPr="00207831">
        <w:rPr>
          <w:sz w:val="20"/>
          <w:szCs w:val="20"/>
          <w:lang w:val="en-US"/>
        </w:rPr>
        <w:t xml:space="preserve"> method, for the chondrogenic markers col2a1 (A–C) and </w:t>
      </w:r>
      <w:proofErr w:type="spellStart"/>
      <w:r w:rsidRPr="00207831">
        <w:rPr>
          <w:sz w:val="20"/>
          <w:szCs w:val="20"/>
          <w:lang w:val="en-US"/>
        </w:rPr>
        <w:t>acan</w:t>
      </w:r>
      <w:proofErr w:type="spellEnd"/>
      <w:r w:rsidRPr="00207831">
        <w:rPr>
          <w:sz w:val="20"/>
          <w:szCs w:val="20"/>
          <w:lang w:val="en-US"/>
        </w:rPr>
        <w:t xml:space="preserve"> (D–F), and the catabolic markers mmp1 (G–I) and mmp13 (J–L), at 24 h (A, D, G, J), 48 h (B, E, H, K), and 72 h (C, F, I, L). Bars represent the mean ± SD of at least four independent experiments, with each symbol representing one biological replicate. Statistical comparisons were performed using the Mann–Whitney U test; *p &lt; 0.05; ns, not significant (p &gt; 0.05).</w:t>
      </w:r>
      <w:bookmarkStart w:id="0" w:name="_GoBack"/>
      <w:bookmarkEnd w:id="0"/>
    </w:p>
    <w:p w14:paraId="7913CA42" w14:textId="77777777" w:rsidR="009D3AA4" w:rsidRDefault="009D3AA4" w:rsidP="009D3AA4">
      <w:pPr>
        <w:spacing w:after="0"/>
        <w:jc w:val="left"/>
        <w:rPr>
          <w:b/>
          <w:bCs/>
          <w:sz w:val="20"/>
          <w:szCs w:val="20"/>
          <w:lang w:val="en-US"/>
        </w:rPr>
      </w:pPr>
    </w:p>
    <w:p w14:paraId="364705E4" w14:textId="77777777" w:rsidR="002B377D" w:rsidRDefault="002B377D"/>
    <w:sectPr w:rsidR="002B37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A4"/>
    <w:rsid w:val="00020288"/>
    <w:rsid w:val="00026438"/>
    <w:rsid w:val="00041FD2"/>
    <w:rsid w:val="0004293B"/>
    <w:rsid w:val="00042D9D"/>
    <w:rsid w:val="000808E5"/>
    <w:rsid w:val="00087B7A"/>
    <w:rsid w:val="00094962"/>
    <w:rsid w:val="00095BC2"/>
    <w:rsid w:val="000C3D76"/>
    <w:rsid w:val="000E31B2"/>
    <w:rsid w:val="000E5A70"/>
    <w:rsid w:val="00132809"/>
    <w:rsid w:val="00136552"/>
    <w:rsid w:val="001370A3"/>
    <w:rsid w:val="00137638"/>
    <w:rsid w:val="001378DF"/>
    <w:rsid w:val="00140937"/>
    <w:rsid w:val="00141E3D"/>
    <w:rsid w:val="0015220A"/>
    <w:rsid w:val="0015261C"/>
    <w:rsid w:val="00157CF8"/>
    <w:rsid w:val="00162D44"/>
    <w:rsid w:val="00171C87"/>
    <w:rsid w:val="00184BA5"/>
    <w:rsid w:val="001960D9"/>
    <w:rsid w:val="001975F9"/>
    <w:rsid w:val="001C0028"/>
    <w:rsid w:val="001C391B"/>
    <w:rsid w:val="001D4226"/>
    <w:rsid w:val="001D4766"/>
    <w:rsid w:val="001E11D6"/>
    <w:rsid w:val="001F04BB"/>
    <w:rsid w:val="00207831"/>
    <w:rsid w:val="00211D67"/>
    <w:rsid w:val="002153C2"/>
    <w:rsid w:val="00223FCF"/>
    <w:rsid w:val="00225D9A"/>
    <w:rsid w:val="00236ACE"/>
    <w:rsid w:val="00254265"/>
    <w:rsid w:val="00277EDA"/>
    <w:rsid w:val="00284542"/>
    <w:rsid w:val="002A2572"/>
    <w:rsid w:val="002B22B0"/>
    <w:rsid w:val="002B377D"/>
    <w:rsid w:val="002C48EB"/>
    <w:rsid w:val="002E0298"/>
    <w:rsid w:val="002E68A5"/>
    <w:rsid w:val="003111E0"/>
    <w:rsid w:val="0031417C"/>
    <w:rsid w:val="00316727"/>
    <w:rsid w:val="00316754"/>
    <w:rsid w:val="00322EB5"/>
    <w:rsid w:val="00325A3C"/>
    <w:rsid w:val="00334A28"/>
    <w:rsid w:val="00337572"/>
    <w:rsid w:val="00341969"/>
    <w:rsid w:val="003432ED"/>
    <w:rsid w:val="003471A8"/>
    <w:rsid w:val="00356F69"/>
    <w:rsid w:val="00362A72"/>
    <w:rsid w:val="00375E1D"/>
    <w:rsid w:val="00383468"/>
    <w:rsid w:val="00391F1F"/>
    <w:rsid w:val="003936D9"/>
    <w:rsid w:val="003D3B0F"/>
    <w:rsid w:val="003D5B1D"/>
    <w:rsid w:val="003D7E6A"/>
    <w:rsid w:val="003E0FC8"/>
    <w:rsid w:val="003E4C34"/>
    <w:rsid w:val="003E6596"/>
    <w:rsid w:val="003E68B8"/>
    <w:rsid w:val="004041C8"/>
    <w:rsid w:val="0041006C"/>
    <w:rsid w:val="00412E71"/>
    <w:rsid w:val="00413280"/>
    <w:rsid w:val="00425687"/>
    <w:rsid w:val="00463C5C"/>
    <w:rsid w:val="004850A1"/>
    <w:rsid w:val="00486440"/>
    <w:rsid w:val="004B47F1"/>
    <w:rsid w:val="004B555B"/>
    <w:rsid w:val="004D7BD7"/>
    <w:rsid w:val="004E10A6"/>
    <w:rsid w:val="00512F05"/>
    <w:rsid w:val="005178B4"/>
    <w:rsid w:val="00522879"/>
    <w:rsid w:val="00570741"/>
    <w:rsid w:val="0057323C"/>
    <w:rsid w:val="005858D4"/>
    <w:rsid w:val="00593112"/>
    <w:rsid w:val="005A42E0"/>
    <w:rsid w:val="005B4F8F"/>
    <w:rsid w:val="005C69D3"/>
    <w:rsid w:val="005D7454"/>
    <w:rsid w:val="005F5CE2"/>
    <w:rsid w:val="006174A2"/>
    <w:rsid w:val="006360AE"/>
    <w:rsid w:val="00654CA9"/>
    <w:rsid w:val="006709A9"/>
    <w:rsid w:val="00672E04"/>
    <w:rsid w:val="006749D3"/>
    <w:rsid w:val="00683F24"/>
    <w:rsid w:val="00694702"/>
    <w:rsid w:val="00695CB6"/>
    <w:rsid w:val="006966E0"/>
    <w:rsid w:val="006A187F"/>
    <w:rsid w:val="006B609D"/>
    <w:rsid w:val="006C0834"/>
    <w:rsid w:val="006D6161"/>
    <w:rsid w:val="006D69F9"/>
    <w:rsid w:val="006E49FC"/>
    <w:rsid w:val="006E73E9"/>
    <w:rsid w:val="006E7799"/>
    <w:rsid w:val="006F0367"/>
    <w:rsid w:val="006F3159"/>
    <w:rsid w:val="006F4A2F"/>
    <w:rsid w:val="00705ED2"/>
    <w:rsid w:val="007063E0"/>
    <w:rsid w:val="0071346E"/>
    <w:rsid w:val="007134E0"/>
    <w:rsid w:val="00726E4C"/>
    <w:rsid w:val="00737F45"/>
    <w:rsid w:val="00755220"/>
    <w:rsid w:val="0076538E"/>
    <w:rsid w:val="00765416"/>
    <w:rsid w:val="007815FC"/>
    <w:rsid w:val="00781760"/>
    <w:rsid w:val="007A7A49"/>
    <w:rsid w:val="007B3BE8"/>
    <w:rsid w:val="007B6533"/>
    <w:rsid w:val="007E16BF"/>
    <w:rsid w:val="008151BD"/>
    <w:rsid w:val="00817DFD"/>
    <w:rsid w:val="008246AF"/>
    <w:rsid w:val="0084284C"/>
    <w:rsid w:val="00851044"/>
    <w:rsid w:val="00857E1E"/>
    <w:rsid w:val="00867F71"/>
    <w:rsid w:val="008741FA"/>
    <w:rsid w:val="00882B95"/>
    <w:rsid w:val="00882E24"/>
    <w:rsid w:val="008C5D7E"/>
    <w:rsid w:val="008D1583"/>
    <w:rsid w:val="00900BC4"/>
    <w:rsid w:val="00904EE8"/>
    <w:rsid w:val="009312B3"/>
    <w:rsid w:val="00944D6B"/>
    <w:rsid w:val="00952080"/>
    <w:rsid w:val="00960B94"/>
    <w:rsid w:val="00963779"/>
    <w:rsid w:val="0096608F"/>
    <w:rsid w:val="009677D6"/>
    <w:rsid w:val="009906D1"/>
    <w:rsid w:val="009906F7"/>
    <w:rsid w:val="009B63E1"/>
    <w:rsid w:val="009B6A2F"/>
    <w:rsid w:val="009D2B50"/>
    <w:rsid w:val="009D3AA4"/>
    <w:rsid w:val="009E30B2"/>
    <w:rsid w:val="009E6E8B"/>
    <w:rsid w:val="009F3706"/>
    <w:rsid w:val="00A15A35"/>
    <w:rsid w:val="00A16EAD"/>
    <w:rsid w:val="00A40505"/>
    <w:rsid w:val="00A40CA7"/>
    <w:rsid w:val="00A6113E"/>
    <w:rsid w:val="00A63254"/>
    <w:rsid w:val="00A6775F"/>
    <w:rsid w:val="00A739BB"/>
    <w:rsid w:val="00A872DE"/>
    <w:rsid w:val="00A95C19"/>
    <w:rsid w:val="00AA3949"/>
    <w:rsid w:val="00AB2282"/>
    <w:rsid w:val="00AC31D7"/>
    <w:rsid w:val="00AD0A7A"/>
    <w:rsid w:val="00AE4034"/>
    <w:rsid w:val="00AE6212"/>
    <w:rsid w:val="00AF398C"/>
    <w:rsid w:val="00AF58DF"/>
    <w:rsid w:val="00B0235F"/>
    <w:rsid w:val="00B03D8B"/>
    <w:rsid w:val="00B16A3D"/>
    <w:rsid w:val="00B17283"/>
    <w:rsid w:val="00B17C1E"/>
    <w:rsid w:val="00B20F58"/>
    <w:rsid w:val="00B218D8"/>
    <w:rsid w:val="00B33AE6"/>
    <w:rsid w:val="00B33DAB"/>
    <w:rsid w:val="00B40AD9"/>
    <w:rsid w:val="00B4199D"/>
    <w:rsid w:val="00B47B37"/>
    <w:rsid w:val="00B51473"/>
    <w:rsid w:val="00B52967"/>
    <w:rsid w:val="00B53299"/>
    <w:rsid w:val="00B60449"/>
    <w:rsid w:val="00B7555C"/>
    <w:rsid w:val="00BA1BEE"/>
    <w:rsid w:val="00BA3CCE"/>
    <w:rsid w:val="00BA6935"/>
    <w:rsid w:val="00BB4013"/>
    <w:rsid w:val="00BB59DB"/>
    <w:rsid w:val="00BC0E7F"/>
    <w:rsid w:val="00BC0E9E"/>
    <w:rsid w:val="00BC1B99"/>
    <w:rsid w:val="00BD12A7"/>
    <w:rsid w:val="00BD6A34"/>
    <w:rsid w:val="00BF32C8"/>
    <w:rsid w:val="00C1275A"/>
    <w:rsid w:val="00C13289"/>
    <w:rsid w:val="00C172FA"/>
    <w:rsid w:val="00C219CE"/>
    <w:rsid w:val="00C21DDD"/>
    <w:rsid w:val="00C235ED"/>
    <w:rsid w:val="00C27039"/>
    <w:rsid w:val="00C30C2E"/>
    <w:rsid w:val="00C32710"/>
    <w:rsid w:val="00C35229"/>
    <w:rsid w:val="00C51C08"/>
    <w:rsid w:val="00C52FDD"/>
    <w:rsid w:val="00C82AA7"/>
    <w:rsid w:val="00CA0662"/>
    <w:rsid w:val="00CB0419"/>
    <w:rsid w:val="00CB6C9F"/>
    <w:rsid w:val="00CB70BC"/>
    <w:rsid w:val="00CC0BA8"/>
    <w:rsid w:val="00CD5D25"/>
    <w:rsid w:val="00CE0662"/>
    <w:rsid w:val="00CE18D3"/>
    <w:rsid w:val="00CE4FB5"/>
    <w:rsid w:val="00CE5E2D"/>
    <w:rsid w:val="00CF4889"/>
    <w:rsid w:val="00CF6087"/>
    <w:rsid w:val="00D05EE8"/>
    <w:rsid w:val="00D20CC7"/>
    <w:rsid w:val="00D23BFB"/>
    <w:rsid w:val="00D46C49"/>
    <w:rsid w:val="00D51350"/>
    <w:rsid w:val="00D60B88"/>
    <w:rsid w:val="00D6259B"/>
    <w:rsid w:val="00D76F0B"/>
    <w:rsid w:val="00D7761B"/>
    <w:rsid w:val="00D84F61"/>
    <w:rsid w:val="00D929EF"/>
    <w:rsid w:val="00DC0DD9"/>
    <w:rsid w:val="00DC5A4C"/>
    <w:rsid w:val="00DD79F1"/>
    <w:rsid w:val="00E13523"/>
    <w:rsid w:val="00E426C1"/>
    <w:rsid w:val="00E44099"/>
    <w:rsid w:val="00E4582A"/>
    <w:rsid w:val="00E54C07"/>
    <w:rsid w:val="00E6083E"/>
    <w:rsid w:val="00E72D60"/>
    <w:rsid w:val="00E91C1E"/>
    <w:rsid w:val="00E94892"/>
    <w:rsid w:val="00E97A77"/>
    <w:rsid w:val="00EA131C"/>
    <w:rsid w:val="00EA1AF0"/>
    <w:rsid w:val="00EB5324"/>
    <w:rsid w:val="00EB5DDA"/>
    <w:rsid w:val="00EC5605"/>
    <w:rsid w:val="00ED5202"/>
    <w:rsid w:val="00EE7F39"/>
    <w:rsid w:val="00EF4597"/>
    <w:rsid w:val="00EF6F41"/>
    <w:rsid w:val="00F16437"/>
    <w:rsid w:val="00F208C2"/>
    <w:rsid w:val="00F227A3"/>
    <w:rsid w:val="00F256E8"/>
    <w:rsid w:val="00F25931"/>
    <w:rsid w:val="00F54ED0"/>
    <w:rsid w:val="00F914AC"/>
    <w:rsid w:val="00FA0A07"/>
    <w:rsid w:val="00FA4E7B"/>
    <w:rsid w:val="00FB0AE4"/>
    <w:rsid w:val="00FC7AF7"/>
    <w:rsid w:val="00FD2DEE"/>
    <w:rsid w:val="00FD6364"/>
    <w:rsid w:val="00FE716A"/>
    <w:rsid w:val="00FF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683FA"/>
  <w15:chartTrackingRefBased/>
  <w15:docId w15:val="{7026170C-B953-5546-8348-E4ABA130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3AA4"/>
    <w:pPr>
      <w:widowControl w:val="0"/>
      <w:tabs>
        <w:tab w:val="left" w:pos="4905"/>
      </w:tabs>
      <w:spacing w:after="200" w:line="276" w:lineRule="auto"/>
      <w:jc w:val="center"/>
    </w:pPr>
    <w:rPr>
      <w:rFonts w:ascii="Verdana" w:eastAsia="Verdana" w:hAnsi="Verdana" w:cs="Verdana"/>
      <w:kern w:val="0"/>
      <w:sz w:val="22"/>
      <w:szCs w:val="22"/>
      <w:lang w:val="es" w:eastAsia="es-MX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3AA4"/>
    <w:pPr>
      <w:keepNext/>
      <w:keepLines/>
      <w:widowControl/>
      <w:tabs>
        <w:tab w:val="clear" w:pos="4905"/>
      </w:tabs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AA4"/>
    <w:pPr>
      <w:keepNext/>
      <w:keepLines/>
      <w:widowControl/>
      <w:tabs>
        <w:tab w:val="clear" w:pos="4905"/>
      </w:tabs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AA4"/>
    <w:pPr>
      <w:widowControl/>
      <w:tabs>
        <w:tab w:val="clear" w:pos="4905"/>
      </w:tabs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3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AA4"/>
    <w:pPr>
      <w:widowControl/>
      <w:numPr>
        <w:ilvl w:val="1"/>
      </w:numPr>
      <w:tabs>
        <w:tab w:val="clear" w:pos="4905"/>
      </w:tabs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3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AA4"/>
    <w:pPr>
      <w:widowControl/>
      <w:tabs>
        <w:tab w:val="clear" w:pos="4905"/>
      </w:tabs>
      <w:spacing w:before="160" w:after="160" w:line="240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3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AA4"/>
    <w:pPr>
      <w:widowControl/>
      <w:tabs>
        <w:tab w:val="clear" w:pos="4905"/>
      </w:tabs>
      <w:spacing w:after="0"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s-C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3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AA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4905"/>
      </w:tabs>
      <w:spacing w:before="360" w:after="360" w:line="240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A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Ignacio Cruz Nunez (pablo170693)</dc:creator>
  <cp:keywords/>
  <dc:description/>
  <cp:lastModifiedBy>Anitha Narayanasamy (Integra)</cp:lastModifiedBy>
  <cp:revision>3</cp:revision>
  <dcterms:created xsi:type="dcterms:W3CDTF">2026-07-17T18:59:00Z</dcterms:created>
  <dcterms:modified xsi:type="dcterms:W3CDTF">2026-08-10T02:50:00Z</dcterms:modified>
</cp:coreProperties>
</file>