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F6D7D" w14:textId="77777777" w:rsidR="009C61DA" w:rsidRPr="00B44037" w:rsidRDefault="009C61DA" w:rsidP="009C61DA">
      <w:pPr>
        <w:spacing w:line="480" w:lineRule="auto"/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</w:pPr>
    </w:p>
    <w:p w14:paraId="5EF833F1" w14:textId="77777777" w:rsidR="009C61DA" w:rsidRPr="00B44037" w:rsidRDefault="009C61DA" w:rsidP="009C61DA">
      <w:pPr>
        <w:spacing w:line="480" w:lineRule="auto"/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</w:pPr>
      <w:r w:rsidRPr="00B44037">
        <w:rPr>
          <w:rFonts w:ascii="Arial" w:hAnsi="Arial" w:cs="Arial"/>
          <w:noProof/>
          <w:color w:val="000000" w:themeColor="text1"/>
          <w:szCs w:val="22"/>
        </w:rPr>
        <w:drawing>
          <wp:inline distT="0" distB="0" distL="0" distR="0" wp14:anchorId="4E39CC5A" wp14:editId="01B9E013">
            <wp:extent cx="5274310" cy="1497965"/>
            <wp:effectExtent l="12700" t="12700" r="8890" b="13335"/>
            <wp:docPr id="1266240030" name="图片 10" descr="图形用户界面, 文本, 应用程序, Word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240030" name="图片 10" descr="图形用户界面, 文本, 应用程序, Word&#10;&#10;AI 生成的内容可能不正确。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79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2EDA08E" w14:textId="77777777" w:rsidR="009C61DA" w:rsidRPr="00B44037" w:rsidRDefault="009C61DA" w:rsidP="009C61DA">
      <w:pPr>
        <w:spacing w:line="480" w:lineRule="auto"/>
        <w:rPr>
          <w:rFonts w:ascii="Arial" w:hAnsi="Arial" w:cs="Arial"/>
          <w:b/>
          <w:bCs/>
          <w:color w:val="000000" w:themeColor="text1"/>
          <w:szCs w:val="22"/>
        </w:rPr>
      </w:pPr>
      <w:r w:rsidRPr="00B44037">
        <w:rPr>
          <w:rFonts w:ascii="Arial" w:hAnsi="Arial" w:cs="Arial"/>
          <w:b/>
          <w:bCs/>
          <w:color w:val="000000" w:themeColor="text1"/>
          <w:szCs w:val="22"/>
        </w:rPr>
        <w:t>Supplementary Figure 1. Construction and validation of human CLDN18.2-expressing gastric cancer cell models.</w:t>
      </w:r>
    </w:p>
    <w:p w14:paraId="21355908" w14:textId="77777777" w:rsidR="009C61DA" w:rsidRPr="00B44037" w:rsidRDefault="009C61DA" w:rsidP="009C61DA">
      <w:pPr>
        <w:spacing w:line="480" w:lineRule="auto"/>
        <w:rPr>
          <w:rFonts w:ascii="Arial" w:hAnsi="Arial" w:cs="Arial"/>
          <w:color w:val="000000" w:themeColor="text1"/>
          <w:szCs w:val="22"/>
        </w:rPr>
      </w:pPr>
      <w:r w:rsidRPr="00B44037">
        <w:rPr>
          <w:rFonts w:ascii="Arial" w:hAnsi="Arial" w:cs="Arial"/>
          <w:color w:val="000000" w:themeColor="text1"/>
          <w:szCs w:val="22"/>
        </w:rPr>
        <w:t>a. Flow-cytometry validation of human CLDN18.2 expression in AGS and YTN-16 cells transduced with CMV-hCLDN18.2, compared with matched vector-control cells. Cells were stained with an anti-CLDN18.2 monoclonal antibody or IgG control. Representative histograms show strong CLDN18.2 surface expression in CMV-hCLDN18.2-transduced cells and minimal signal in vector-control cells.</w:t>
      </w:r>
    </w:p>
    <w:p w14:paraId="16A53B89" w14:textId="77777777" w:rsidR="009C61DA" w:rsidRPr="00B44037" w:rsidRDefault="009C61DA" w:rsidP="009C61DA">
      <w:pPr>
        <w:spacing w:line="480" w:lineRule="auto"/>
        <w:rPr>
          <w:rFonts w:ascii="Arial" w:hAnsi="Arial" w:cs="Arial"/>
          <w:color w:val="000000" w:themeColor="text1"/>
          <w:szCs w:val="22"/>
        </w:rPr>
      </w:pPr>
    </w:p>
    <w:p w14:paraId="5BE9B003" w14:textId="77777777" w:rsidR="009C61DA" w:rsidRPr="00B44037" w:rsidRDefault="009C61DA" w:rsidP="009C61DA">
      <w:pPr>
        <w:spacing w:line="480" w:lineRule="auto"/>
        <w:rPr>
          <w:rFonts w:ascii="Arial" w:hAnsi="Arial" w:cs="Arial"/>
          <w:color w:val="000000" w:themeColor="text1"/>
          <w:szCs w:val="22"/>
        </w:rPr>
      </w:pPr>
      <w:r w:rsidRPr="00B44037">
        <w:rPr>
          <w:rFonts w:ascii="Arial" w:hAnsi="Arial" w:cs="Arial"/>
          <w:noProof/>
          <w:color w:val="000000" w:themeColor="text1"/>
          <w:szCs w:val="22"/>
        </w:rPr>
        <w:drawing>
          <wp:inline distT="0" distB="0" distL="0" distR="0" wp14:anchorId="2A1A24EC" wp14:editId="52D5E423">
            <wp:extent cx="5274310" cy="2419985"/>
            <wp:effectExtent l="12700" t="12700" r="8890" b="18415"/>
            <wp:docPr id="1077792510" name="图片 11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792510" name="图片 11" descr="图示&#10;&#10;AI 生成的内容可能不正确。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99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F125A9A" w14:textId="77777777" w:rsidR="009C61DA" w:rsidRPr="00B44037" w:rsidRDefault="009C61DA" w:rsidP="009C61DA">
      <w:pPr>
        <w:spacing w:line="480" w:lineRule="auto"/>
        <w:rPr>
          <w:rStyle w:val="ae"/>
          <w:rFonts w:ascii="Arial" w:hAnsi="Arial" w:cs="Arial"/>
          <w:color w:val="000000" w:themeColor="text1"/>
          <w:szCs w:val="22"/>
        </w:rPr>
      </w:pPr>
      <w:r w:rsidRPr="00B44037">
        <w:rPr>
          <w:rStyle w:val="ae"/>
          <w:rFonts w:ascii="Arial" w:hAnsi="Arial" w:cs="Arial"/>
          <w:color w:val="000000" w:themeColor="text1"/>
          <w:szCs w:val="22"/>
        </w:rPr>
        <w:t>Supplementary Figure 2. CLDN18.2-targeting TCE induces death of patient-derived CLDN18.2-positive tumor cells and activates CD8+ T cells.</w:t>
      </w:r>
    </w:p>
    <w:p w14:paraId="6E2A94EB" w14:textId="77777777" w:rsidR="009C61DA" w:rsidRPr="009C61DA" w:rsidRDefault="009C61DA" w:rsidP="009C61DA">
      <w:pPr>
        <w:spacing w:line="480" w:lineRule="auto"/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</w:pPr>
      <w:r w:rsidRPr="009C61DA"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  <w:t xml:space="preserve">a. Quantification of Annexin V+PI+ cells within the CD45-negative tumor-enriched </w:t>
      </w:r>
      <w:r w:rsidRPr="009C61DA"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  <w:lastRenderedPageBreak/>
        <w:t>population after co-culture of patient-derived CLDN18.2-positive tumor cells with CD3+ T cells in the presence of control TCE or CLDN18.2-targeting TCE at E:T ratios of 10:1, 3:1, and 1:1.</w:t>
      </w:r>
    </w:p>
    <w:p w14:paraId="729FE671" w14:textId="77777777" w:rsidR="009C61DA" w:rsidRPr="009C61DA" w:rsidRDefault="009C61DA" w:rsidP="009C61DA">
      <w:pPr>
        <w:spacing w:line="480" w:lineRule="auto"/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</w:pPr>
      <w:r w:rsidRPr="009C61DA"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  <w:t>b. Quantification of CD8+ T-cell activation after co-culture with patient-derived CLDN18.2-positive tumor cells. CD107a+IFNγ+ CD8+ T cells and CD107a+ CD8+ T cells are shown as percentages and counts per well.</w:t>
      </w:r>
    </w:p>
    <w:p w14:paraId="7B586C9E" w14:textId="77777777" w:rsidR="009C61DA" w:rsidRPr="009C61DA" w:rsidRDefault="009C61DA" w:rsidP="009C61DA">
      <w:pPr>
        <w:spacing w:line="480" w:lineRule="auto"/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</w:pPr>
      <w:r w:rsidRPr="009C61DA"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  <w:t>Data are shown as mean ± SEM. P values are indicated in the figure.</w:t>
      </w:r>
      <w:r w:rsidRPr="009C61DA">
        <w:rPr>
          <w:rStyle w:val="ae"/>
          <w:rFonts w:ascii="Arial" w:hAnsi="Arial" w:cs="Arial" w:hint="eastAsia"/>
          <w:b w:val="0"/>
          <w:bCs w:val="0"/>
          <w:color w:val="000000" w:themeColor="text1"/>
          <w:szCs w:val="22"/>
        </w:rPr>
        <w:t xml:space="preserve"> Statistics: </w:t>
      </w:r>
      <w:r w:rsidRPr="009C61DA"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  <w:t>one-way ANOVA with multiple-comparison correction</w:t>
      </w:r>
      <w:r w:rsidRPr="009C61DA">
        <w:rPr>
          <w:rStyle w:val="ae"/>
          <w:rFonts w:ascii="Arial" w:hAnsi="Arial" w:cs="Arial" w:hint="eastAsia"/>
          <w:b w:val="0"/>
          <w:bCs w:val="0"/>
          <w:color w:val="000000" w:themeColor="text1"/>
          <w:szCs w:val="22"/>
        </w:rPr>
        <w:t>.</w:t>
      </w:r>
    </w:p>
    <w:p w14:paraId="0A4BD513" w14:textId="77777777" w:rsidR="009C61DA" w:rsidRPr="00B44037" w:rsidRDefault="009C61DA" w:rsidP="009C61DA">
      <w:pPr>
        <w:spacing w:line="480" w:lineRule="auto"/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</w:pPr>
    </w:p>
    <w:p w14:paraId="1A39EE21" w14:textId="77777777" w:rsidR="009C61DA" w:rsidRPr="00B44037" w:rsidRDefault="009C61DA" w:rsidP="009C61DA">
      <w:pPr>
        <w:spacing w:line="480" w:lineRule="auto"/>
        <w:rPr>
          <w:rStyle w:val="ae"/>
          <w:rFonts w:ascii="Arial" w:hAnsi="Arial" w:cs="Arial"/>
          <w:color w:val="000000" w:themeColor="text1"/>
          <w:szCs w:val="22"/>
        </w:rPr>
      </w:pPr>
      <w:r w:rsidRPr="00B44037">
        <w:rPr>
          <w:rFonts w:ascii="Arial" w:hAnsi="Arial" w:cs="Arial"/>
          <w:b/>
          <w:bCs/>
          <w:noProof/>
          <w:color w:val="000000" w:themeColor="text1"/>
          <w:szCs w:val="22"/>
        </w:rPr>
        <w:drawing>
          <wp:inline distT="0" distB="0" distL="0" distR="0" wp14:anchorId="58D47021" wp14:editId="729DE523">
            <wp:extent cx="5274310" cy="2482215"/>
            <wp:effectExtent l="12700" t="12700" r="8890" b="6985"/>
            <wp:docPr id="1736215304" name="图片 12" descr="图示, 示意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215304" name="图片 12" descr="图示, 示意图&#10;&#10;AI 生成的内容可能不正确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22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B71329E" w14:textId="77777777" w:rsidR="009C61DA" w:rsidRPr="00B44037" w:rsidRDefault="009C61DA" w:rsidP="009C61DA">
      <w:pPr>
        <w:spacing w:line="480" w:lineRule="auto"/>
        <w:rPr>
          <w:rStyle w:val="ae"/>
          <w:rFonts w:ascii="Arial" w:hAnsi="Arial" w:cs="Arial"/>
          <w:color w:val="000000" w:themeColor="text1"/>
          <w:szCs w:val="22"/>
        </w:rPr>
      </w:pPr>
      <w:r w:rsidRPr="00B44037">
        <w:rPr>
          <w:rStyle w:val="ae"/>
          <w:rFonts w:ascii="Arial" w:hAnsi="Arial" w:cs="Arial"/>
          <w:color w:val="000000" w:themeColor="text1"/>
          <w:szCs w:val="22"/>
        </w:rPr>
        <w:t>Supplementary Figure 3. CLDN18.2-targeting TCE does not induce detectable killing or CD8+ T-cell activation in CLDN18.2-negative organoid co-cultures.</w:t>
      </w:r>
    </w:p>
    <w:p w14:paraId="00AFADF2" w14:textId="77777777" w:rsidR="009C61DA" w:rsidRPr="009C61DA" w:rsidRDefault="009C61DA" w:rsidP="009C61DA">
      <w:pPr>
        <w:spacing w:line="480" w:lineRule="auto"/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</w:pPr>
      <w:r w:rsidRPr="009C61DA"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  <w:t>a. Quantification of Annexin V+PI+ cells within the CD45-negative tumor-enriched population after co-culture of patient-derived CLDN18.2-negative organoids with CD3+ T cells in the presence of control TCE or CLDN18.2-targeting TCE at E:T ratios of 10:1, 3:1, and 1:1.</w:t>
      </w:r>
    </w:p>
    <w:p w14:paraId="6EB0C885" w14:textId="77777777" w:rsidR="009C61DA" w:rsidRPr="009C61DA" w:rsidRDefault="009C61DA" w:rsidP="009C61DA">
      <w:pPr>
        <w:spacing w:line="480" w:lineRule="auto"/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</w:pPr>
      <w:r w:rsidRPr="009C61DA"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  <w:t xml:space="preserve">b. Quantification of CD8+ T-cell activation after co-culture with CLDN18.2-negative </w:t>
      </w:r>
      <w:r w:rsidRPr="009C61DA"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  <w:lastRenderedPageBreak/>
        <w:t>organoids. CD107a+</w:t>
      </w:r>
      <w:r w:rsidRPr="009C61DA">
        <w:rPr>
          <w:rFonts w:ascii="Arial" w:eastAsia="PingFang SC Regular" w:hAnsi="Arial" w:cs="Arial"/>
          <w:b/>
          <w:bCs/>
          <w:color w:val="000000" w:themeColor="text1"/>
        </w:rPr>
        <w:t>IFNγ</w:t>
      </w:r>
      <w:r w:rsidRPr="009C61DA"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  <w:t>+ CD8+ T cells and CD107a+ CD8+ T cells are shown as percentages and counts per well.</w:t>
      </w:r>
    </w:p>
    <w:p w14:paraId="0F098B95" w14:textId="77777777" w:rsidR="009C61DA" w:rsidRPr="009C61DA" w:rsidRDefault="009C61DA" w:rsidP="009C61DA">
      <w:pPr>
        <w:spacing w:line="480" w:lineRule="auto"/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</w:pPr>
      <w:r w:rsidRPr="009C61DA"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  <w:t xml:space="preserve">Data are shown as mean ± SEM. P values are indicated in the figure. </w:t>
      </w:r>
      <w:r w:rsidRPr="009C61DA">
        <w:rPr>
          <w:rStyle w:val="ae"/>
          <w:rFonts w:ascii="Arial" w:hAnsi="Arial" w:cs="Arial" w:hint="eastAsia"/>
          <w:b w:val="0"/>
          <w:bCs w:val="0"/>
          <w:color w:val="000000" w:themeColor="text1"/>
          <w:szCs w:val="22"/>
        </w:rPr>
        <w:t xml:space="preserve">Statistics: </w:t>
      </w:r>
      <w:r w:rsidRPr="009C61DA"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  <w:t>one-way ANOVA with multiple-comparison correction</w:t>
      </w:r>
      <w:r w:rsidRPr="009C61DA">
        <w:rPr>
          <w:rStyle w:val="ae"/>
          <w:rFonts w:ascii="Arial" w:hAnsi="Arial" w:cs="Arial" w:hint="eastAsia"/>
          <w:b w:val="0"/>
          <w:bCs w:val="0"/>
          <w:color w:val="000000" w:themeColor="text1"/>
          <w:szCs w:val="22"/>
        </w:rPr>
        <w:t>.</w:t>
      </w:r>
    </w:p>
    <w:p w14:paraId="7C3C9C55" w14:textId="77777777" w:rsidR="009C61DA" w:rsidRPr="00B44037" w:rsidRDefault="009C61DA" w:rsidP="009C61DA">
      <w:pPr>
        <w:spacing w:line="480" w:lineRule="auto"/>
        <w:rPr>
          <w:rStyle w:val="ae"/>
          <w:rFonts w:ascii="Arial" w:hAnsi="Arial" w:cs="Arial"/>
          <w:color w:val="000000" w:themeColor="text1"/>
          <w:szCs w:val="22"/>
        </w:rPr>
      </w:pPr>
    </w:p>
    <w:p w14:paraId="3C46547A" w14:textId="77777777" w:rsidR="009C61DA" w:rsidRPr="00B44037" w:rsidRDefault="009C61DA" w:rsidP="009C61DA">
      <w:pPr>
        <w:spacing w:line="480" w:lineRule="auto"/>
        <w:rPr>
          <w:rFonts w:ascii="Arial" w:hAnsi="Arial" w:cs="Arial"/>
          <w:color w:val="000000" w:themeColor="text1"/>
          <w:szCs w:val="22"/>
        </w:rPr>
      </w:pPr>
      <w:r w:rsidRPr="00B44037">
        <w:rPr>
          <w:rFonts w:ascii="Arial" w:hAnsi="Arial" w:cs="Arial"/>
          <w:noProof/>
          <w:color w:val="000000" w:themeColor="text1"/>
          <w:szCs w:val="22"/>
        </w:rPr>
        <w:drawing>
          <wp:inline distT="0" distB="0" distL="0" distR="0" wp14:anchorId="3A1347C2" wp14:editId="2E6C5911">
            <wp:extent cx="5274310" cy="2818765"/>
            <wp:effectExtent l="12700" t="12700" r="8890" b="13335"/>
            <wp:docPr id="406182341" name="图片 13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182341" name="图片 13" descr="文本&#10;&#10;AI 生成的内容可能不正确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87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1239FDD" w14:textId="77777777" w:rsidR="009C61DA" w:rsidRPr="00B44037" w:rsidRDefault="009C61DA" w:rsidP="009C61DA">
      <w:pPr>
        <w:spacing w:line="480" w:lineRule="auto"/>
        <w:rPr>
          <w:rStyle w:val="ae"/>
          <w:rFonts w:ascii="Arial" w:hAnsi="Arial" w:cs="Arial"/>
          <w:color w:val="000000" w:themeColor="text1"/>
          <w:szCs w:val="22"/>
        </w:rPr>
      </w:pPr>
      <w:r w:rsidRPr="00B44037">
        <w:rPr>
          <w:rStyle w:val="ae"/>
          <w:rFonts w:ascii="Arial" w:hAnsi="Arial" w:cs="Arial"/>
          <w:color w:val="000000" w:themeColor="text1"/>
          <w:szCs w:val="22"/>
        </w:rPr>
        <w:t>Supplementary Figure 4. Dendritic-cell supplementation enhances TCE-mediated responses in CLDN18.2-positive patient-derived tumor cells but not in CLDN18.2-negative organoids.</w:t>
      </w:r>
    </w:p>
    <w:p w14:paraId="7EB8CF6D" w14:textId="77777777" w:rsidR="009C61DA" w:rsidRPr="009C61DA" w:rsidRDefault="009C61DA" w:rsidP="009C61DA">
      <w:pPr>
        <w:spacing w:line="480" w:lineRule="auto"/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</w:pPr>
      <w:r w:rsidRPr="009C61DA"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  <w:t>a. Quantification of Annexin V+PI+ cells within the CD45-negative tumor-enriched population after co-culture of patient-derived CLDN18.2-positive tumor cells with CD3+ T cells and CLDN18.2-targeting TCE under the indicated conditions: without DCs, with DCs, with DCs plus MHC-II blockade, with DCs plus IL-12 blockade, or DCs only.</w:t>
      </w:r>
    </w:p>
    <w:p w14:paraId="12FA8941" w14:textId="77777777" w:rsidR="009C61DA" w:rsidRPr="009C61DA" w:rsidRDefault="009C61DA" w:rsidP="009C61DA">
      <w:pPr>
        <w:spacing w:line="480" w:lineRule="auto"/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</w:pPr>
      <w:r w:rsidRPr="009C61DA"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  <w:t>b. Quantification of CD8+ T-cell activation after co-culture with patient-derived CLDN18.2-positive tumor cells under the indicated conditions.</w:t>
      </w:r>
    </w:p>
    <w:p w14:paraId="30703172" w14:textId="77777777" w:rsidR="009C61DA" w:rsidRPr="009C61DA" w:rsidRDefault="009C61DA" w:rsidP="009C61DA">
      <w:pPr>
        <w:spacing w:line="480" w:lineRule="auto"/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</w:pPr>
      <w:r w:rsidRPr="009C61DA"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  <w:t xml:space="preserve">c. Quantification of Annexin V+PI+ cells within the CD45-negative tumor-enriched </w:t>
      </w:r>
      <w:r w:rsidRPr="009C61DA"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  <w:lastRenderedPageBreak/>
        <w:t>population after co-culture of patient-derived CLDN18.2-negative organoids under the same DC, MHC-II blockade, IL-12 blockade, and DC-only conditions.</w:t>
      </w:r>
    </w:p>
    <w:p w14:paraId="5B25AA0B" w14:textId="77777777" w:rsidR="009C61DA" w:rsidRPr="009C61DA" w:rsidRDefault="009C61DA" w:rsidP="009C61DA">
      <w:pPr>
        <w:spacing w:line="480" w:lineRule="auto"/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</w:pPr>
      <w:r w:rsidRPr="009C61DA"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  <w:t>d. Quantification of CD8+ T-cell activation after co-culture with patient-derived CLDN18.2-negative organoids under the indicated conditions.</w:t>
      </w:r>
    </w:p>
    <w:p w14:paraId="4EF95AB6" w14:textId="77777777" w:rsidR="009C61DA" w:rsidRDefault="009C61DA" w:rsidP="009C61DA">
      <w:pPr>
        <w:spacing w:line="480" w:lineRule="auto"/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</w:pPr>
      <w:r w:rsidRPr="009C61DA"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  <w:t>Data are shown as mean ± SEM. P values are indicated in the figure.</w:t>
      </w:r>
      <w:r w:rsidRPr="009C61DA">
        <w:rPr>
          <w:rStyle w:val="ae"/>
          <w:rFonts w:ascii="Arial" w:hAnsi="Arial" w:cs="Arial" w:hint="eastAsia"/>
          <w:b w:val="0"/>
          <w:bCs w:val="0"/>
          <w:color w:val="000000" w:themeColor="text1"/>
          <w:szCs w:val="22"/>
        </w:rPr>
        <w:t xml:space="preserve"> Statistics: </w:t>
      </w:r>
      <w:r w:rsidRPr="009C61DA"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  <w:t>one-way ANOVA with multiple-comparison correction</w:t>
      </w:r>
      <w:r w:rsidRPr="009C61DA">
        <w:rPr>
          <w:rStyle w:val="ae"/>
          <w:rFonts w:ascii="Arial" w:hAnsi="Arial" w:cs="Arial" w:hint="eastAsia"/>
          <w:b w:val="0"/>
          <w:bCs w:val="0"/>
          <w:color w:val="000000" w:themeColor="text1"/>
          <w:szCs w:val="22"/>
        </w:rPr>
        <w:t>.</w:t>
      </w:r>
    </w:p>
    <w:p w14:paraId="0D09C2BD" w14:textId="77777777" w:rsidR="009C61DA" w:rsidRPr="009C61DA" w:rsidRDefault="009C61DA" w:rsidP="009C61DA">
      <w:pPr>
        <w:spacing w:line="480" w:lineRule="auto"/>
        <w:rPr>
          <w:rStyle w:val="ae"/>
          <w:rFonts w:ascii="Arial" w:hAnsi="Arial" w:cs="Arial" w:hint="eastAsia"/>
          <w:b w:val="0"/>
          <w:bCs w:val="0"/>
          <w:color w:val="000000" w:themeColor="text1"/>
          <w:szCs w:val="22"/>
        </w:rPr>
      </w:pPr>
    </w:p>
    <w:p w14:paraId="4F19D57A" w14:textId="77777777" w:rsidR="009C61DA" w:rsidRPr="00B44037" w:rsidRDefault="009C61DA" w:rsidP="009C61DA">
      <w:pPr>
        <w:spacing w:line="480" w:lineRule="auto"/>
        <w:rPr>
          <w:rFonts w:ascii="Arial" w:hAnsi="Arial" w:cs="Arial"/>
          <w:color w:val="000000" w:themeColor="text1"/>
          <w:szCs w:val="22"/>
        </w:rPr>
      </w:pPr>
      <w:r w:rsidRPr="00B44037">
        <w:rPr>
          <w:rFonts w:ascii="Arial" w:hAnsi="Arial" w:cs="Arial"/>
          <w:noProof/>
          <w:color w:val="000000" w:themeColor="text1"/>
          <w:szCs w:val="22"/>
        </w:rPr>
        <w:drawing>
          <wp:inline distT="0" distB="0" distL="0" distR="0" wp14:anchorId="7E3A437E" wp14:editId="1C3C3CE0">
            <wp:extent cx="5274310" cy="5894705"/>
            <wp:effectExtent l="12700" t="12700" r="8890" b="10795"/>
            <wp:docPr id="206593375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933756" name="图片 206593375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947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D1F8F99" w14:textId="77777777" w:rsidR="009C61DA" w:rsidRPr="00B44037" w:rsidRDefault="009C61DA" w:rsidP="009C61DA">
      <w:pPr>
        <w:spacing w:line="480" w:lineRule="auto"/>
        <w:rPr>
          <w:rStyle w:val="ae"/>
          <w:rFonts w:ascii="Arial" w:hAnsi="Arial" w:cs="Arial"/>
          <w:color w:val="000000" w:themeColor="text1"/>
          <w:szCs w:val="22"/>
        </w:rPr>
      </w:pPr>
      <w:r w:rsidRPr="00B44037">
        <w:rPr>
          <w:rStyle w:val="ae"/>
          <w:rFonts w:ascii="Arial" w:hAnsi="Arial" w:cs="Arial"/>
          <w:color w:val="000000" w:themeColor="text1"/>
          <w:szCs w:val="22"/>
        </w:rPr>
        <w:lastRenderedPageBreak/>
        <w:t>Supplementary Figure 5. Preliminary histologic safety assessment after CLDN18.2-targeted treatment.</w:t>
      </w:r>
    </w:p>
    <w:p w14:paraId="2ED4B81A" w14:textId="77777777" w:rsidR="009C61DA" w:rsidRPr="009C61DA" w:rsidRDefault="009C61DA" w:rsidP="009C61DA">
      <w:pPr>
        <w:spacing w:line="480" w:lineRule="auto"/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</w:pPr>
      <w:r w:rsidRPr="009C61DA"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  <w:t xml:space="preserve">a. Representative H&amp;E staining of heart, kidney, liver, stomach, and intestine tissues from mice treated with CLDN18.2-targeting TCE, </w:t>
      </w:r>
      <w:proofErr w:type="spellStart"/>
      <w:r w:rsidRPr="009C61DA"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  <w:t>zolbetuximab</w:t>
      </w:r>
      <w:proofErr w:type="spellEnd"/>
      <w:r w:rsidRPr="009C61DA"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  <w:t xml:space="preserve">, or control treatment. No overt tissue-architecture damage was observed in the representative sections shown. These data provide preliminary histologic safety observations and do not substitute for a comprehensive toxicology assessment. Scale bars are indicated in the figure. Scale bars, </w:t>
      </w:r>
      <w:r w:rsidRPr="009C61DA">
        <w:rPr>
          <w:rStyle w:val="ae"/>
          <w:rFonts w:ascii="Arial" w:hAnsi="Arial" w:cs="Arial" w:hint="eastAsia"/>
          <w:b w:val="0"/>
          <w:bCs w:val="0"/>
          <w:color w:val="000000" w:themeColor="text1"/>
          <w:szCs w:val="22"/>
        </w:rPr>
        <w:t>10</w:t>
      </w:r>
      <w:r w:rsidRPr="009C61DA"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  <w:t>0</w:t>
      </w:r>
      <w:r w:rsidRPr="009C61DA">
        <w:rPr>
          <w:rFonts w:ascii="Arial" w:hAnsi="Arial" w:cs="Arial"/>
          <w:b/>
          <w:bCs/>
          <w:color w:val="000000" w:themeColor="text1"/>
        </w:rPr>
        <w:t>μ</w:t>
      </w:r>
      <w:r w:rsidRPr="009C61DA"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  <w:t>m.</w:t>
      </w:r>
    </w:p>
    <w:p w14:paraId="31A776EB" w14:textId="77777777" w:rsidR="009C61DA" w:rsidRPr="00B44037" w:rsidRDefault="009C61DA" w:rsidP="009C61DA">
      <w:pPr>
        <w:spacing w:line="480" w:lineRule="auto"/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</w:pPr>
    </w:p>
    <w:p w14:paraId="0089D510" w14:textId="77777777" w:rsidR="009C61DA" w:rsidRPr="00B44037" w:rsidRDefault="009C61DA" w:rsidP="009C61DA">
      <w:pPr>
        <w:spacing w:line="480" w:lineRule="auto"/>
        <w:rPr>
          <w:rFonts w:ascii="Arial" w:hAnsi="Arial" w:cs="Arial"/>
          <w:color w:val="000000" w:themeColor="text1"/>
          <w:szCs w:val="22"/>
        </w:rPr>
      </w:pPr>
      <w:r w:rsidRPr="00B44037">
        <w:rPr>
          <w:rFonts w:ascii="Arial" w:hAnsi="Arial" w:cs="Arial"/>
          <w:noProof/>
          <w:color w:val="000000" w:themeColor="text1"/>
          <w:szCs w:val="22"/>
        </w:rPr>
        <w:drawing>
          <wp:inline distT="0" distB="0" distL="0" distR="0" wp14:anchorId="4DF819D7" wp14:editId="42043D59">
            <wp:extent cx="5274310" cy="4068445"/>
            <wp:effectExtent l="12700" t="12700" r="8890" b="8255"/>
            <wp:docPr id="197664146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641462" name="图片 197664146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684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2BF896D" w14:textId="77777777" w:rsidR="009C61DA" w:rsidRPr="00B44037" w:rsidRDefault="009C61DA" w:rsidP="009C61DA">
      <w:pPr>
        <w:spacing w:line="480" w:lineRule="auto"/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</w:pPr>
      <w:r w:rsidRPr="00B44037">
        <w:rPr>
          <w:rStyle w:val="ae"/>
          <w:rFonts w:ascii="Arial" w:hAnsi="Arial" w:cs="Arial"/>
          <w:color w:val="000000" w:themeColor="text1"/>
          <w:szCs w:val="22"/>
        </w:rPr>
        <w:t>Supplementary Figure 6. Flow-cytometry gating strategy.</w:t>
      </w:r>
    </w:p>
    <w:p w14:paraId="4907E06F" w14:textId="77777777" w:rsidR="009C61DA" w:rsidRPr="009C61DA" w:rsidRDefault="009C61DA" w:rsidP="009C61DA">
      <w:pPr>
        <w:spacing w:line="480" w:lineRule="auto"/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</w:pPr>
      <w:r w:rsidRPr="009C61DA"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  <w:t xml:space="preserve">A. Representative gating strategy used for flow-cytometry analysis. Events were first gated by forward and side scatter to identify cells, followed by singlet selection. CD45-negative </w:t>
      </w:r>
      <w:r w:rsidRPr="009C61DA"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  <w:lastRenderedPageBreak/>
        <w:t xml:space="preserve">tumor-enriched cells were used for Annexin V/PI death analysis. CD45+ cells were further gated to identify CD3+ T cells, and CD8+ T cells were analyzed for CD107a and </w:t>
      </w:r>
      <w:proofErr w:type="spellStart"/>
      <w:r w:rsidRPr="009C61DA"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  <w:t>IFNγ</w:t>
      </w:r>
      <w:proofErr w:type="spellEnd"/>
      <w:r w:rsidRPr="009C61DA"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  <w:t xml:space="preserve"> expression. The CD45+CD3-negative branch </w:t>
      </w:r>
      <w:r w:rsidRPr="009C61DA">
        <w:rPr>
          <w:rStyle w:val="ae"/>
          <w:rFonts w:ascii="Arial" w:hAnsi="Arial" w:cs="Arial" w:hint="eastAsia"/>
          <w:b w:val="0"/>
          <w:bCs w:val="0"/>
          <w:color w:val="000000" w:themeColor="text1"/>
          <w:szCs w:val="22"/>
        </w:rPr>
        <w:t>represented</w:t>
      </w:r>
      <w:r w:rsidRPr="009C61DA"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  <w:t xml:space="preserve"> </w:t>
      </w:r>
      <w:r w:rsidRPr="009C61DA">
        <w:rPr>
          <w:rStyle w:val="ae"/>
          <w:rFonts w:ascii="Arial" w:hAnsi="Arial" w:cs="Arial" w:hint="eastAsia"/>
          <w:b w:val="0"/>
          <w:bCs w:val="0"/>
          <w:color w:val="000000" w:themeColor="text1"/>
          <w:szCs w:val="22"/>
        </w:rPr>
        <w:t>the</w:t>
      </w:r>
      <w:r w:rsidRPr="009C61DA">
        <w:rPr>
          <w:rStyle w:val="ae"/>
          <w:rFonts w:ascii="Arial" w:hAnsi="Arial" w:cs="Arial"/>
          <w:b w:val="0"/>
          <w:bCs w:val="0"/>
          <w:color w:val="000000" w:themeColor="text1"/>
          <w:szCs w:val="22"/>
        </w:rPr>
        <w:t xml:space="preserve"> DC-enriched population where applicable.</w:t>
      </w:r>
    </w:p>
    <w:p w14:paraId="4E7FC70A" w14:textId="77777777" w:rsidR="00E73C4D" w:rsidRPr="009C61DA" w:rsidRDefault="00E73C4D"/>
    <w:sectPr w:rsidR="00E73C4D" w:rsidRPr="009C61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 Regular">
    <w:altName w:val="PingFang SC"/>
    <w:panose1 w:val="020B0400000000000000"/>
    <w:charset w:val="86"/>
    <w:family w:val="swiss"/>
    <w:pitch w:val="variable"/>
    <w:sig w:usb0="A00002FF" w:usb1="7ACFFDFB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1DA"/>
    <w:rsid w:val="00105FD5"/>
    <w:rsid w:val="009C61DA"/>
    <w:rsid w:val="00C613C9"/>
    <w:rsid w:val="00E7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A1A901"/>
  <w15:chartTrackingRefBased/>
  <w15:docId w15:val="{677CB2C2-C7FB-0F43-BC7E-3C5D3EB61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1DA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C61DA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61DA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61DA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61DA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61DA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61DA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61DA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61DA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61DA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61D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C61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C61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C61D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C61D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C61D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C61D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C61D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C61D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C61D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9C61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61DA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9C61D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61DA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9C61D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61DA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9C61D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C61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9C61D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C61DA"/>
    <w:rPr>
      <w:b/>
      <w:bCs/>
      <w:smallCaps/>
      <w:color w:val="0F4761" w:themeColor="accent1" w:themeShade="BF"/>
      <w:spacing w:val="5"/>
    </w:rPr>
  </w:style>
  <w:style w:type="character" w:styleId="ae">
    <w:name w:val="Strong"/>
    <w:basedOn w:val="a0"/>
    <w:uiPriority w:val="22"/>
    <w:qFormat/>
    <w:rsid w:val="009C61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627</Words>
  <Characters>3580</Characters>
  <Application>Microsoft Office Word</Application>
  <DocSecurity>0</DocSecurity>
  <Lines>29</Lines>
  <Paragraphs>8</Paragraphs>
  <ScaleCrop>false</ScaleCrop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Haoxuan Kan</dc:creator>
  <cp:keywords/>
  <dc:description/>
  <cp:lastModifiedBy>Haoxuan Kan</cp:lastModifiedBy>
  <cp:revision>1</cp:revision>
  <dcterms:created xsi:type="dcterms:W3CDTF">2026-07-06T11:38:00Z</dcterms:created>
  <dcterms:modified xsi:type="dcterms:W3CDTF">2026-07-06T11:39:00Z</dcterms:modified>
</cp:coreProperties>
</file>