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CC46D" w14:textId="2CAA0E4F" w:rsidR="000E0487" w:rsidRPr="00A3422D" w:rsidRDefault="000E0487" w:rsidP="000E0487">
      <w:pPr>
        <w:rPr>
          <w:rFonts w:ascii="Arial" w:hAnsi="Arial" w:cs="Arial"/>
        </w:rPr>
      </w:pPr>
      <w:r w:rsidRPr="00A3422D">
        <w:rPr>
          <w:rFonts w:ascii="Arial" w:hAnsi="Arial" w:cs="Arial"/>
          <w:b/>
          <w:bCs/>
        </w:rPr>
        <w:t>Supplementary Note1: Rationale and Interpretation of the FIB-4 &gt; 2.67 Subgroup Analysis</w:t>
      </w:r>
      <w:r w:rsidRPr="00A3422D">
        <w:rPr>
          <w:rFonts w:ascii="Arial" w:hAnsi="Arial" w:cs="Arial"/>
        </w:rPr>
        <w:br/>
        <w:t>To address the potential impact of advanced liver disease, we performed an exploratory sensitivity analysis restricted to NHANES participants with FIB-4 &gt; 2.67, a widely used non-invasive threshold indicating high risk for advanced fibrosis/cirrhosis. Because NHANES does not provide sufficient baseline or incident HCC ascertainment for a dedicated HCC-specific analysis, this subgroup served as the most feasible epidemiological proxy for advanced liver disease risk.</w:t>
      </w:r>
    </w:p>
    <w:p w14:paraId="76B86947" w14:textId="77777777" w:rsidR="000E0487" w:rsidRPr="00A3422D" w:rsidRDefault="000E0487" w:rsidP="000E0487">
      <w:pPr>
        <w:rPr>
          <w:rFonts w:ascii="Arial" w:hAnsi="Arial" w:cs="Arial"/>
        </w:rPr>
      </w:pPr>
      <w:r w:rsidRPr="00A3422D">
        <w:rPr>
          <w:rFonts w:ascii="Arial" w:hAnsi="Arial" w:cs="Arial"/>
        </w:rPr>
        <w:t>Multivariable models were adjusted for demographic, socioeconomic, and lifestyle covariates selected </w:t>
      </w:r>
      <w:r w:rsidRPr="00A3422D">
        <w:rPr>
          <w:rFonts w:ascii="Arial" w:hAnsi="Arial" w:cs="Arial"/>
          <w:i/>
          <w:iCs/>
        </w:rPr>
        <w:t>a priori</w:t>
      </w:r>
      <w:r w:rsidRPr="00A3422D">
        <w:rPr>
          <w:rFonts w:ascii="Arial" w:hAnsi="Arial" w:cs="Arial"/>
        </w:rPr>
        <w:t>, including age, sex, race/ethnicity, poverty-income ratio, smoking status, alcohol consumption, and education level. Components of the allostatic load score were intentionally not included as additional covariates in the primary AL models to avoid over-adjustment bias and preserve the biological meaning of the composite AL construct.</w:t>
      </w:r>
    </w:p>
    <w:p w14:paraId="1BABC746" w14:textId="77777777" w:rsidR="000E0487" w:rsidRPr="00A3422D" w:rsidRDefault="000E0487" w:rsidP="000E0487">
      <w:pPr>
        <w:rPr>
          <w:rFonts w:ascii="Arial" w:hAnsi="Arial" w:cs="Arial"/>
        </w:rPr>
      </w:pPr>
      <w:r w:rsidRPr="00A3422D">
        <w:rPr>
          <w:rFonts w:ascii="Arial" w:hAnsi="Arial" w:cs="Arial"/>
        </w:rPr>
        <w:t>In this restricted subgroup, high AL was not significantly associated with all-cause mortality or serum LDH. Specifically, the adjusted HR for all-cause mortality was 1.10 (95% CI: 0.79–1.52; P = 0.572), and the adjusted β for serum LDH was −16.35 U/L (95% CI: −46.33 to 13.63; P = 0.286). These results should be interpreted cautiously because the subgroup size was limited, resulting in wider confidence intervals and reduced statistical power.</w:t>
      </w:r>
    </w:p>
    <w:p w14:paraId="28089349" w14:textId="77777777" w:rsidR="000E0487" w:rsidRPr="00A3422D" w:rsidRDefault="000E0487" w:rsidP="000E0487">
      <w:pPr>
        <w:rPr>
          <w:rFonts w:ascii="Arial" w:hAnsi="Arial" w:cs="Arial"/>
        </w:rPr>
      </w:pPr>
      <w:r w:rsidRPr="00A3422D">
        <w:rPr>
          <w:rFonts w:ascii="Arial" w:hAnsi="Arial" w:cs="Arial"/>
        </w:rPr>
        <w:t>Furthermore, the attenuation of the AL signal in this advanced fibrosis/high-risk subgroup likely reflects stage-dependent disease biology. In advanced fibrosis or cirrhosis, mortality may be increasingly driven by liver-specific complications—including hepatic decompensation, portal hypertension, infection, and HCC development—rather than by systemic physiological stress alone. Therefore, the prognostic utility of AL may vary across liver disease stages. Overall, these exploratory results help define the clinical boundary of AL-based risk stratification and support the use of the broader ALT/AST-defined liver dysfunction population as the epidemiological foundation for investigating downstream molecular pathways.</w:t>
      </w:r>
    </w:p>
    <w:p w14:paraId="520B872B" w14:textId="77777777" w:rsidR="000E0487" w:rsidRPr="00A3422D" w:rsidRDefault="000E0487">
      <w:pPr>
        <w:rPr>
          <w:rFonts w:ascii="Arial" w:hAnsi="Arial" w:cs="Arial"/>
        </w:rPr>
      </w:pPr>
    </w:p>
    <w:sectPr w:rsidR="000E0487" w:rsidRPr="00A3422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487"/>
    <w:rsid w:val="000E0487"/>
    <w:rsid w:val="006D053E"/>
    <w:rsid w:val="00A342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4B938"/>
  <w15:chartTrackingRefBased/>
  <w15:docId w15:val="{9AAC991C-8A5D-4BA2-BD41-CB022974C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0487"/>
    <w:pPr>
      <w:widowControl w:val="0"/>
    </w:pPr>
  </w:style>
  <w:style w:type="paragraph" w:styleId="1">
    <w:name w:val="heading 1"/>
    <w:basedOn w:val="a"/>
    <w:next w:val="a"/>
    <w:link w:val="10"/>
    <w:uiPriority w:val="9"/>
    <w:qFormat/>
    <w:rsid w:val="000E048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0E048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E048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0E048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0E0487"/>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0E0487"/>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0E048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E048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E048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E0487"/>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0E0487"/>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0E048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0E0487"/>
    <w:rPr>
      <w:rFonts w:cstheme="majorBidi"/>
      <w:color w:val="2F5496" w:themeColor="accent1" w:themeShade="BF"/>
      <w:sz w:val="28"/>
      <w:szCs w:val="28"/>
    </w:rPr>
  </w:style>
  <w:style w:type="character" w:customStyle="1" w:styleId="50">
    <w:name w:val="标题 5 字符"/>
    <w:basedOn w:val="a0"/>
    <w:link w:val="5"/>
    <w:uiPriority w:val="9"/>
    <w:semiHidden/>
    <w:rsid w:val="000E0487"/>
    <w:rPr>
      <w:rFonts w:cstheme="majorBidi"/>
      <w:color w:val="2F5496" w:themeColor="accent1" w:themeShade="BF"/>
      <w:sz w:val="24"/>
    </w:rPr>
  </w:style>
  <w:style w:type="character" w:customStyle="1" w:styleId="60">
    <w:name w:val="标题 6 字符"/>
    <w:basedOn w:val="a0"/>
    <w:link w:val="6"/>
    <w:uiPriority w:val="9"/>
    <w:semiHidden/>
    <w:rsid w:val="000E0487"/>
    <w:rPr>
      <w:rFonts w:cstheme="majorBidi"/>
      <w:b/>
      <w:bCs/>
      <w:color w:val="2F5496" w:themeColor="accent1" w:themeShade="BF"/>
    </w:rPr>
  </w:style>
  <w:style w:type="character" w:customStyle="1" w:styleId="70">
    <w:name w:val="标题 7 字符"/>
    <w:basedOn w:val="a0"/>
    <w:link w:val="7"/>
    <w:uiPriority w:val="9"/>
    <w:semiHidden/>
    <w:rsid w:val="000E0487"/>
    <w:rPr>
      <w:rFonts w:cstheme="majorBidi"/>
      <w:b/>
      <w:bCs/>
      <w:color w:val="595959" w:themeColor="text1" w:themeTint="A6"/>
    </w:rPr>
  </w:style>
  <w:style w:type="character" w:customStyle="1" w:styleId="80">
    <w:name w:val="标题 8 字符"/>
    <w:basedOn w:val="a0"/>
    <w:link w:val="8"/>
    <w:uiPriority w:val="9"/>
    <w:semiHidden/>
    <w:rsid w:val="000E0487"/>
    <w:rPr>
      <w:rFonts w:cstheme="majorBidi"/>
      <w:color w:val="595959" w:themeColor="text1" w:themeTint="A6"/>
    </w:rPr>
  </w:style>
  <w:style w:type="character" w:customStyle="1" w:styleId="90">
    <w:name w:val="标题 9 字符"/>
    <w:basedOn w:val="a0"/>
    <w:link w:val="9"/>
    <w:uiPriority w:val="9"/>
    <w:semiHidden/>
    <w:rsid w:val="000E0487"/>
    <w:rPr>
      <w:rFonts w:eastAsiaTheme="majorEastAsia" w:cstheme="majorBidi"/>
      <w:color w:val="595959" w:themeColor="text1" w:themeTint="A6"/>
    </w:rPr>
  </w:style>
  <w:style w:type="paragraph" w:styleId="a3">
    <w:name w:val="Title"/>
    <w:basedOn w:val="a"/>
    <w:next w:val="a"/>
    <w:link w:val="a4"/>
    <w:uiPriority w:val="10"/>
    <w:qFormat/>
    <w:rsid w:val="000E048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E04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E048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E048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E0487"/>
    <w:pPr>
      <w:spacing w:before="160"/>
      <w:jc w:val="center"/>
    </w:pPr>
    <w:rPr>
      <w:i/>
      <w:iCs/>
      <w:color w:val="404040" w:themeColor="text1" w:themeTint="BF"/>
    </w:rPr>
  </w:style>
  <w:style w:type="character" w:customStyle="1" w:styleId="a8">
    <w:name w:val="引用 字符"/>
    <w:basedOn w:val="a0"/>
    <w:link w:val="a7"/>
    <w:uiPriority w:val="29"/>
    <w:rsid w:val="000E0487"/>
    <w:rPr>
      <w:i/>
      <w:iCs/>
      <w:color w:val="404040" w:themeColor="text1" w:themeTint="BF"/>
    </w:rPr>
  </w:style>
  <w:style w:type="paragraph" w:styleId="a9">
    <w:name w:val="List Paragraph"/>
    <w:basedOn w:val="a"/>
    <w:uiPriority w:val="34"/>
    <w:qFormat/>
    <w:rsid w:val="000E0487"/>
    <w:pPr>
      <w:ind w:left="720"/>
      <w:contextualSpacing/>
    </w:pPr>
  </w:style>
  <w:style w:type="character" w:styleId="aa">
    <w:name w:val="Intense Emphasis"/>
    <w:basedOn w:val="a0"/>
    <w:uiPriority w:val="21"/>
    <w:qFormat/>
    <w:rsid w:val="000E0487"/>
    <w:rPr>
      <w:i/>
      <w:iCs/>
      <w:color w:val="2F5496" w:themeColor="accent1" w:themeShade="BF"/>
    </w:rPr>
  </w:style>
  <w:style w:type="paragraph" w:styleId="ab">
    <w:name w:val="Intense Quote"/>
    <w:basedOn w:val="a"/>
    <w:next w:val="a"/>
    <w:link w:val="ac"/>
    <w:uiPriority w:val="30"/>
    <w:qFormat/>
    <w:rsid w:val="000E04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0E0487"/>
    <w:rPr>
      <w:i/>
      <w:iCs/>
      <w:color w:val="2F5496" w:themeColor="accent1" w:themeShade="BF"/>
    </w:rPr>
  </w:style>
  <w:style w:type="character" w:styleId="ad">
    <w:name w:val="Intense Reference"/>
    <w:basedOn w:val="a0"/>
    <w:uiPriority w:val="32"/>
    <w:qFormat/>
    <w:rsid w:val="000E04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362</Words>
  <Characters>1814</Characters>
  <Application>Microsoft Office Word</Application>
  <DocSecurity>0</DocSecurity>
  <Lines>259</Lines>
  <Paragraphs>217</Paragraphs>
  <ScaleCrop>false</ScaleCrop>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dcterms:created xsi:type="dcterms:W3CDTF">2026-07-11T07:01:00Z</dcterms:created>
  <dcterms:modified xsi:type="dcterms:W3CDTF">2026-07-11T07:02:00Z</dcterms:modified>
</cp:coreProperties>
</file>