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D42FCE4">
      <w:pPr>
        <w:outlineLvl w:val="1"/>
        <w:rPr>
          <w:rFonts w:hint="default" w:ascii="Times New Roman" w:hAnsi="Times New Roman" w:cs="Times New Roman"/>
          <w:b/>
          <w:color w:val="FF0000"/>
          <w:sz w:val="22"/>
          <w:szCs w:val="22"/>
        </w:rPr>
      </w:pPr>
      <w:r>
        <w:rPr>
          <w:rFonts w:hint="default" w:ascii="Times New Roman" w:hAnsi="Times New Roman" w:cs="Times New Roman"/>
          <w:b/>
          <w:color w:val="FF0000"/>
          <w:sz w:val="22"/>
          <w:szCs w:val="22"/>
        </w:rPr>
        <w:t xml:space="preserve">Supplementary </w:t>
      </w:r>
      <w:r>
        <w:rPr>
          <w:rFonts w:hint="default" w:ascii="Times New Roman" w:hAnsi="Times New Roman" w:cs="Times New Roman"/>
          <w:b/>
          <w:color w:val="FF0000"/>
          <w:sz w:val="22"/>
          <w:szCs w:val="22"/>
        </w:rPr>
        <w:t>Methods</w:t>
      </w:r>
    </w:p>
    <w:p w14:paraId="650E37B4">
      <w:pPr>
        <w:outlineLvl w:val="1"/>
        <w:rPr>
          <w:rFonts w:hint="default" w:ascii="Times New Roman" w:hAnsi="Times New Roman" w:cs="Times New Roman"/>
          <w:b/>
          <w:color w:val="FF0000"/>
          <w:sz w:val="22"/>
          <w:szCs w:val="22"/>
        </w:rPr>
      </w:pPr>
    </w:p>
    <w:p w14:paraId="66C316CE">
      <w:pPr>
        <w:outlineLvl w:val="1"/>
        <w:rPr>
          <w:rFonts w:hint="default" w:ascii="Times New Roman" w:hAnsi="Times New Roman" w:cs="Times New Roman"/>
          <w:b/>
          <w:color w:val="FF0000"/>
          <w:sz w:val="22"/>
          <w:szCs w:val="22"/>
        </w:rPr>
      </w:pPr>
      <w:r>
        <w:rPr>
          <w:rFonts w:hint="default" w:ascii="Times New Roman" w:hAnsi="Times New Roman" w:cs="Times New Roman"/>
          <w:b/>
          <w:color w:val="FF0000"/>
          <w:sz w:val="22"/>
          <w:szCs w:val="22"/>
        </w:rPr>
        <w:t>Targeted Next-Generation Sequencing and Variant Calling</w:t>
      </w:r>
    </w:p>
    <w:p w14:paraId="4B59BB24">
      <w:pPr>
        <w:ind w:firstLine="420" w:firstLineChars="0"/>
        <w:outlineLvl w:val="1"/>
        <w:rPr>
          <w:rFonts w:hint="default" w:ascii="Times New Roman" w:hAnsi="Times New Roman" w:cs="Times New Roman"/>
          <w:b w:val="0"/>
          <w:bCs/>
          <w:color w:val="FF0000"/>
          <w:sz w:val="22"/>
          <w:szCs w:val="22"/>
        </w:rPr>
      </w:pPr>
      <w:r>
        <w:rPr>
          <w:rFonts w:hint="default" w:ascii="Times New Roman" w:hAnsi="Times New Roman" w:cs="Times New Roman"/>
          <w:b w:val="0"/>
          <w:bCs/>
          <w:color w:val="FF0000"/>
          <w:sz w:val="22"/>
          <w:szCs w:val="22"/>
        </w:rPr>
        <w:t>Targeted next-generation sequencing (NGS) was performed using a 40-gene panel covering recurrently altered and clinically relevant genes in colorectal cancer (CRC). Genomic DNA was extracted from formalin-fixed paraffin-embedded tumor tissues, and sequencing libraries were prepared according to the manufacturer’s protocol. Libraries were subjected to massively parallel sequencing, with a mean sequencing coverage of approximately 500× across targeted regions.</w:t>
      </w:r>
    </w:p>
    <w:p w14:paraId="2EB96A3A">
      <w:pPr>
        <w:ind w:firstLine="420" w:firstLineChars="0"/>
        <w:outlineLvl w:val="1"/>
        <w:rPr>
          <w:rFonts w:hint="default" w:ascii="Times New Roman" w:hAnsi="Times New Roman" w:cs="Times New Roman"/>
          <w:b w:val="0"/>
          <w:bCs/>
          <w:color w:val="FF0000"/>
          <w:sz w:val="22"/>
          <w:szCs w:val="22"/>
        </w:rPr>
      </w:pPr>
      <w:r>
        <w:rPr>
          <w:rFonts w:hint="default" w:ascii="Times New Roman" w:hAnsi="Times New Roman" w:cs="Times New Roman"/>
          <w:b w:val="0"/>
          <w:bCs/>
          <w:color w:val="FF0000"/>
          <w:sz w:val="22"/>
          <w:szCs w:val="22"/>
        </w:rPr>
        <w:t>Raw sequencing reads were first processed to remove low-quality reads using Trimmomatic (v0.36). The remaining clean reads were aligned to the human reference genome hg19 (NCBI Build 37.5) using the Burrows-Wheeler Aligner (BWA, v0.7.17). PCR duplicates were identified and marked using Picard toolkit (v2.23.0), and local realignment was performed using the Genome Analysis Toolkit (GATK, v3.7). Single-nucleotide variants (SNVs) were called using VarDict (v1.5.1), and compound heterozygous mutations were merged using FreeBayes (v1.2.0). Variants were annotated using ANNOVAR.</w:t>
      </w:r>
      <w:r>
        <w:rPr>
          <w:rFonts w:hint="default" w:ascii="Times New Roman" w:hAnsi="Times New Roman" w:cs="Times New Roman"/>
          <w:b w:val="0"/>
          <w:bCs/>
          <w:color w:val="FF0000"/>
          <w:sz w:val="22"/>
          <w:szCs w:val="22"/>
          <w:lang w:val="en-US" w:eastAsia="zh-CN"/>
        </w:rPr>
        <w:t xml:space="preserve"> </w:t>
      </w:r>
      <w:r>
        <w:rPr>
          <w:rFonts w:hint="default" w:ascii="Times New Roman" w:hAnsi="Times New Roman" w:cs="Times New Roman"/>
          <w:b w:val="0"/>
          <w:bCs/>
          <w:color w:val="FF0000"/>
          <w:sz w:val="22"/>
          <w:szCs w:val="22"/>
        </w:rPr>
        <w:t>Raw variant calls underwent a series of quality-control filtering steps. Variants located in low-complexity repeat regions or segmental duplication regions were removed, as were recurrent sequencing artifacts identified from an internal background database. Variants were considered reliable when they met predefined quality-control criteria, including sufficient supporting reads, adequate sequencing depth, absence of significant strand bias, and a variant allele frequency (VAF) threshold of ≥3%. Tumor purity was assessed by pathological evaluation, and samples with tumor cellularity ≥30% were considered acceptable for genomic analysis. Known benign or likely benign germline variants were excluded based on population databases and standard variant classification procedures.</w:t>
      </w:r>
    </w:p>
    <w:p w14:paraId="29844844">
      <w:pPr>
        <w:ind w:firstLine="420" w:firstLineChars="0"/>
        <w:outlineLvl w:val="1"/>
        <w:rPr>
          <w:rFonts w:hint="default" w:ascii="Times New Roman" w:hAnsi="Times New Roman" w:cs="Times New Roman"/>
          <w:b/>
          <w:color w:val="FF0000"/>
          <w:sz w:val="22"/>
          <w:szCs w:val="22"/>
        </w:rPr>
      </w:pPr>
    </w:p>
    <w:p w14:paraId="30AB5654">
      <w:pPr>
        <w:outlineLvl w:val="1"/>
        <w:rPr>
          <w:rFonts w:hint="default" w:ascii="Times New Roman" w:hAnsi="Times New Roman" w:cs="Times New Roman"/>
          <w:b/>
          <w:color w:val="FF0000"/>
          <w:sz w:val="22"/>
          <w:szCs w:val="22"/>
        </w:rPr>
      </w:pPr>
      <w:r>
        <w:rPr>
          <w:rFonts w:hint="default" w:ascii="Times New Roman" w:hAnsi="Times New Roman" w:cs="Times New Roman"/>
          <w:b/>
          <w:color w:val="FF0000"/>
          <w:sz w:val="22"/>
          <w:szCs w:val="22"/>
        </w:rPr>
        <w:t>Machine Learning-Assisted Survival Modeling</w:t>
      </w:r>
    </w:p>
    <w:p w14:paraId="15C1C903">
      <w:pPr>
        <w:ind w:firstLine="420" w:firstLineChars="0"/>
        <w:outlineLvl w:val="1"/>
        <w:rPr>
          <w:rFonts w:hint="default" w:ascii="Times New Roman" w:hAnsi="Times New Roman" w:cs="Times New Roman"/>
          <w:b w:val="0"/>
          <w:bCs/>
          <w:color w:val="FF0000"/>
          <w:sz w:val="22"/>
          <w:szCs w:val="22"/>
        </w:rPr>
      </w:pPr>
      <w:r>
        <w:rPr>
          <w:rFonts w:hint="default" w:ascii="Times New Roman" w:hAnsi="Times New Roman" w:cs="Times New Roman"/>
          <w:b w:val="0"/>
          <w:bCs/>
          <w:color w:val="FF0000"/>
          <w:sz w:val="22"/>
          <w:szCs w:val="22"/>
        </w:rPr>
        <w:t>To further evaluate whether allele-specific</w:t>
      </w:r>
      <w:r>
        <w:rPr>
          <w:rFonts w:hint="default" w:ascii="Times New Roman" w:hAnsi="Times New Roman" w:cs="Times New Roman"/>
          <w:b w:val="0"/>
          <w:bCs/>
          <w:i/>
          <w:iCs/>
          <w:color w:val="FF0000"/>
          <w:sz w:val="22"/>
          <w:szCs w:val="22"/>
        </w:rPr>
        <w:t xml:space="preserve"> KRAS</w:t>
      </w:r>
      <w:r>
        <w:rPr>
          <w:rFonts w:hint="default" w:ascii="Times New Roman" w:hAnsi="Times New Roman" w:cs="Times New Roman"/>
          <w:b w:val="0"/>
          <w:bCs/>
          <w:color w:val="FF0000"/>
          <w:sz w:val="22"/>
          <w:szCs w:val="22"/>
        </w:rPr>
        <w:t xml:space="preserve"> information contributed to prognostic stratification, supplementary machine learning-assisted survival models were developed for disease-free survival (DFS) in patients with stage I-III CRC and progression-free survival (PFS) in patients with stage IV CRC. Candidate predictors for the DFS model included age, sex, MSI/MMR status, pathological stage, primary tumor location, </w:t>
      </w:r>
      <w:r>
        <w:rPr>
          <w:rFonts w:hint="default" w:ascii="Times New Roman" w:hAnsi="Times New Roman" w:cs="Times New Roman"/>
          <w:b w:val="0"/>
          <w:bCs/>
          <w:i/>
          <w:iCs/>
          <w:color w:val="FF0000"/>
          <w:sz w:val="22"/>
          <w:szCs w:val="22"/>
        </w:rPr>
        <w:t>KRAS</w:t>
      </w:r>
      <w:r>
        <w:rPr>
          <w:rFonts w:hint="default" w:ascii="Times New Roman" w:hAnsi="Times New Roman" w:cs="Times New Roman"/>
          <w:b w:val="0"/>
          <w:bCs/>
          <w:color w:val="FF0000"/>
          <w:sz w:val="22"/>
          <w:szCs w:val="22"/>
        </w:rPr>
        <w:t xml:space="preserve"> subtype, and selected co-mutations, including TP53, PIK3CA, CTNNB1, and PDGFRA. Candidate predictors for the PFS model included age, sex, MSI/MMR status, primary tumor location, and </w:t>
      </w:r>
      <w:r>
        <w:rPr>
          <w:rFonts w:hint="default" w:ascii="Times New Roman" w:hAnsi="Times New Roman" w:cs="Times New Roman"/>
          <w:b w:val="0"/>
          <w:bCs/>
          <w:i/>
          <w:iCs/>
          <w:color w:val="FF0000"/>
          <w:sz w:val="22"/>
          <w:szCs w:val="22"/>
        </w:rPr>
        <w:t>KRAS</w:t>
      </w:r>
      <w:r>
        <w:rPr>
          <w:rFonts w:hint="default" w:ascii="Times New Roman" w:hAnsi="Times New Roman" w:cs="Times New Roman"/>
          <w:b w:val="0"/>
          <w:bCs/>
          <w:color w:val="FF0000"/>
          <w:sz w:val="22"/>
          <w:szCs w:val="22"/>
        </w:rPr>
        <w:t xml:space="preserve"> subtype.</w:t>
      </w:r>
      <w:r>
        <w:rPr>
          <w:rFonts w:hint="default" w:ascii="Times New Roman" w:hAnsi="Times New Roman" w:cs="Times New Roman"/>
          <w:b w:val="0"/>
          <w:bCs/>
          <w:i/>
          <w:iCs/>
          <w:color w:val="FF0000"/>
          <w:sz w:val="22"/>
          <w:szCs w:val="22"/>
        </w:rPr>
        <w:t xml:space="preserve"> KRAS</w:t>
      </w:r>
      <w:r>
        <w:rPr>
          <w:rFonts w:hint="default" w:ascii="Times New Roman" w:hAnsi="Times New Roman" w:cs="Times New Roman"/>
          <w:b w:val="0"/>
          <w:bCs/>
          <w:color w:val="FF0000"/>
          <w:sz w:val="22"/>
          <w:szCs w:val="22"/>
        </w:rPr>
        <w:t xml:space="preserve"> G12C and G12V were merged into a single category to improve model stability based on their similar adverse survival patterns observed in the primary analyses.</w:t>
      </w:r>
    </w:p>
    <w:p w14:paraId="125B9C30">
      <w:pPr>
        <w:ind w:firstLine="420" w:firstLineChars="0"/>
        <w:outlineLvl w:val="1"/>
        <w:rPr>
          <w:rFonts w:hint="default" w:ascii="Times New Roman" w:hAnsi="Times New Roman" w:cs="Times New Roman"/>
          <w:b w:val="0"/>
          <w:bCs/>
          <w:color w:val="FF0000"/>
          <w:sz w:val="22"/>
          <w:szCs w:val="22"/>
        </w:rPr>
      </w:pPr>
      <w:r>
        <w:rPr>
          <w:rFonts w:hint="default" w:ascii="Times New Roman" w:hAnsi="Times New Roman" w:cs="Times New Roman"/>
          <w:b w:val="0"/>
          <w:bCs/>
          <w:color w:val="FF0000"/>
          <w:sz w:val="22"/>
          <w:szCs w:val="22"/>
        </w:rPr>
        <w:t>Penalized Cox regression with elastic-net regularization was implemented using the glmnet package in R. Model matrices were generated from the candidate predictors, and continuous variables were standardized before model fitting. The elastic-net mixing parameter was set to alpha = 0.5, and the optimal penalty parameter was selected using 10-fold cross-validation. The lambda.min value was used to fit the final penalized Cox model. Individual risk scores were calculated from the fitted model, and patients were stratified into high- and low-risk groups according to the median risk score. Model discrimination was evaluated using Kaplan-Meier survival analysis and time-dependent receiver operating characteristic (ROC) analysis. Time-dependent area under the curve (AUC) values were assessed at 1, 2, and 3 years for DFS and at 6, 12, and 18 months for PFS.</w:t>
      </w:r>
    </w:p>
    <w:p w14:paraId="59E0C062">
      <w:pPr>
        <w:ind w:firstLine="420" w:firstLineChars="0"/>
        <w:outlineLvl w:val="1"/>
        <w:rPr>
          <w:rFonts w:hint="default" w:ascii="Times New Roman" w:hAnsi="Times New Roman" w:cs="Times New Roman"/>
          <w:b w:val="0"/>
          <w:bCs/>
          <w:color w:val="FF0000"/>
          <w:sz w:val="22"/>
          <w:szCs w:val="22"/>
        </w:rPr>
      </w:pPr>
      <w:r>
        <w:rPr>
          <w:rFonts w:hint="default" w:ascii="Times New Roman" w:hAnsi="Times New Roman" w:cs="Times New Roman"/>
          <w:b w:val="0"/>
          <w:bCs/>
          <w:color w:val="FF0000"/>
          <w:sz w:val="22"/>
          <w:szCs w:val="22"/>
        </w:rPr>
        <w:t>Random Survival Forest (RSF) models were used as complementary non-linear survival learning approaches and were implemented using the randomForestSRC package in R. The available datasets were randomly divided into training and testing sets at a 7:3 ratio using a fixed random seed. RSF models were trained with 1,000 trees, and variable importance measures were derived to estimate the relative contribution of each predictor. Predicted risk scores were generated in the held-out testing set, and patients were stratified into high- and low-risk groups according to the median predicted risk score. RSF model performance was evaluated in the testing set using Kaplan-Meier survival curves and time-dependent ROC analysis.</w:t>
      </w:r>
    </w:p>
    <w:p w14:paraId="54CF545D">
      <w:pPr>
        <w:outlineLvl w:val="1"/>
        <w:rPr>
          <w:rFonts w:hint="default" w:ascii="Times New Roman" w:hAnsi="Times New Roman" w:cs="Times New Roman"/>
          <w:b/>
          <w:color w:val="FF0000"/>
          <w:sz w:val="22"/>
          <w:szCs w:val="22"/>
        </w:rPr>
      </w:pPr>
    </w:p>
    <w:p w14:paraId="2B3E2204">
      <w:pPr>
        <w:outlineLvl w:val="1"/>
        <w:rPr>
          <w:rFonts w:hint="default" w:ascii="Times New Roman" w:hAnsi="Times New Roman" w:cs="Times New Roman"/>
          <w:b/>
          <w:color w:val="FF0000"/>
          <w:sz w:val="22"/>
          <w:szCs w:val="22"/>
        </w:rPr>
      </w:pPr>
      <w:r>
        <w:rPr>
          <w:rFonts w:hint="default" w:ascii="Times New Roman" w:hAnsi="Times New Roman" w:cs="Times New Roman"/>
          <w:b/>
          <w:color w:val="FF0000"/>
          <w:sz w:val="22"/>
          <w:szCs w:val="22"/>
        </w:rPr>
        <w:t>Bulk RNA-seq Analysis and Tumor Purity Adjustment</w:t>
      </w:r>
    </w:p>
    <w:p w14:paraId="18738EA3">
      <w:pPr>
        <w:ind w:firstLine="420" w:firstLineChars="0"/>
        <w:outlineLvl w:val="1"/>
        <w:rPr>
          <w:rFonts w:hint="default" w:ascii="Times New Roman" w:hAnsi="Times New Roman" w:cs="Times New Roman"/>
          <w:b w:val="0"/>
          <w:bCs/>
          <w:color w:val="FF0000"/>
          <w:sz w:val="22"/>
          <w:szCs w:val="22"/>
        </w:rPr>
      </w:pPr>
      <w:r>
        <w:rPr>
          <w:rFonts w:hint="default" w:ascii="Times New Roman" w:hAnsi="Times New Roman" w:cs="Times New Roman"/>
          <w:b w:val="0"/>
          <w:bCs/>
          <w:color w:val="FF0000"/>
          <w:sz w:val="22"/>
          <w:szCs w:val="22"/>
        </w:rPr>
        <w:t xml:space="preserve">To characterize the </w:t>
      </w:r>
      <w:r>
        <w:rPr>
          <w:rFonts w:hint="default" w:ascii="Times New Roman" w:hAnsi="Times New Roman" w:cs="Times New Roman"/>
          <w:b w:val="0"/>
          <w:bCs/>
          <w:i/>
          <w:iCs/>
          <w:color w:val="FF0000"/>
          <w:sz w:val="22"/>
          <w:szCs w:val="22"/>
        </w:rPr>
        <w:t>KRAS</w:t>
      </w:r>
      <w:r>
        <w:rPr>
          <w:rFonts w:hint="default" w:ascii="Times New Roman" w:hAnsi="Times New Roman" w:cs="Times New Roman"/>
          <w:b w:val="0"/>
          <w:bCs/>
          <w:color w:val="FF0000"/>
          <w:sz w:val="22"/>
          <w:szCs w:val="22"/>
        </w:rPr>
        <w:t xml:space="preserve">-associated tumor microenvironment, TCGA bulk RNA-seq data were obtained from the UCSC Xena platform. Immune cell infiltration was quantified using single-sample gene set enrichment analysis (ssGSEA). Immune and stromal scores, as well as tumor purity, were inferred using the ESTIMATE algorithm. Pathway-level alterations were assessed by Gene Set Variation Analysis (GSVA) using the GSVA R package (version 2.6.2) with MSigDB Hallmark gene sets. Differential gene-expression analysis between </w:t>
      </w:r>
      <w:r>
        <w:rPr>
          <w:rFonts w:hint="default" w:ascii="Times New Roman" w:hAnsi="Times New Roman" w:cs="Times New Roman"/>
          <w:b w:val="0"/>
          <w:bCs/>
          <w:i/>
          <w:iCs/>
          <w:color w:val="FF0000"/>
          <w:sz w:val="22"/>
          <w:szCs w:val="22"/>
        </w:rPr>
        <w:t>KRAS</w:t>
      </w:r>
      <w:r>
        <w:rPr>
          <w:rFonts w:hint="default" w:ascii="Times New Roman" w:hAnsi="Times New Roman" w:cs="Times New Roman"/>
          <w:b w:val="0"/>
          <w:bCs/>
          <w:color w:val="FF0000"/>
          <w:sz w:val="22"/>
          <w:szCs w:val="22"/>
        </w:rPr>
        <w:t xml:space="preserve"> mutation subgroups was performed using the Wilcoxon rank-sum test to identify subtype-specific markers and expression patterns, including CXCL14 and CD74.</w:t>
      </w:r>
    </w:p>
    <w:p w14:paraId="02C814DA">
      <w:pPr>
        <w:ind w:firstLine="420" w:firstLineChars="0"/>
        <w:outlineLvl w:val="1"/>
        <w:rPr>
          <w:rFonts w:hint="default" w:ascii="Times New Roman" w:hAnsi="Times New Roman" w:cs="Times New Roman"/>
          <w:b w:val="0"/>
          <w:bCs/>
          <w:color w:val="FF0000"/>
          <w:sz w:val="22"/>
          <w:szCs w:val="22"/>
        </w:rPr>
      </w:pPr>
      <w:r>
        <w:rPr>
          <w:rFonts w:hint="default" w:ascii="Times New Roman" w:hAnsi="Times New Roman" w:cs="Times New Roman"/>
          <w:b w:val="0"/>
          <w:bCs/>
          <w:color w:val="FF0000"/>
          <w:sz w:val="22"/>
          <w:szCs w:val="22"/>
        </w:rPr>
        <w:t xml:space="preserve">For analyses involving multiple comparisons, P values were adjusted using the Benjamini-Hochberg false discovery rate (FDR) method. FDR-adjusted q values were used to determine statistical significance where multiple comparisons were performed. To determine whether differences in Immune Score across </w:t>
      </w:r>
      <w:r>
        <w:rPr>
          <w:rFonts w:hint="default" w:ascii="Times New Roman" w:hAnsi="Times New Roman" w:cs="Times New Roman"/>
          <w:b w:val="0"/>
          <w:bCs/>
          <w:i/>
          <w:iCs/>
          <w:color w:val="FF0000"/>
          <w:sz w:val="22"/>
          <w:szCs w:val="22"/>
        </w:rPr>
        <w:t>KRAS</w:t>
      </w:r>
      <w:r>
        <w:rPr>
          <w:rFonts w:hint="default" w:ascii="Times New Roman" w:hAnsi="Times New Roman" w:cs="Times New Roman"/>
          <w:b w:val="0"/>
          <w:bCs/>
          <w:color w:val="FF0000"/>
          <w:sz w:val="22"/>
          <w:szCs w:val="22"/>
        </w:rPr>
        <w:t xml:space="preserve"> subtypes were independent of tumor purity, multivariable linear regression models were fitted with Immune Score as the dependent variable and </w:t>
      </w:r>
      <w:r>
        <w:rPr>
          <w:rFonts w:hint="default" w:ascii="Times New Roman" w:hAnsi="Times New Roman" w:cs="Times New Roman"/>
          <w:b w:val="0"/>
          <w:bCs/>
          <w:i/>
          <w:iCs/>
          <w:color w:val="FF0000"/>
          <w:sz w:val="22"/>
          <w:szCs w:val="22"/>
        </w:rPr>
        <w:t>KRAS</w:t>
      </w:r>
      <w:r>
        <w:rPr>
          <w:rFonts w:hint="default" w:ascii="Times New Roman" w:hAnsi="Times New Roman" w:cs="Times New Roman"/>
          <w:b w:val="0"/>
          <w:bCs/>
          <w:color w:val="FF0000"/>
          <w:sz w:val="22"/>
          <w:szCs w:val="22"/>
        </w:rPr>
        <w:t xml:space="preserve"> subtype as the independent variable, adjusting for estimated tumor purity. Tumor purity-adjusted Immune Scores were further calculated from residuals of the linear model adjusting for estimated tumor purity and were used for visualization.</w:t>
      </w:r>
    </w:p>
    <w:p w14:paraId="1164A7F9">
      <w:pPr>
        <w:outlineLvl w:val="1"/>
        <w:rPr>
          <w:rFonts w:hint="default" w:ascii="Times New Roman" w:hAnsi="Times New Roman" w:cs="Times New Roman"/>
          <w:b/>
          <w:color w:val="FF0000"/>
          <w:sz w:val="22"/>
          <w:szCs w:val="22"/>
        </w:rPr>
      </w:pPr>
    </w:p>
    <w:p w14:paraId="0A5C2FBA">
      <w:pPr>
        <w:outlineLvl w:val="1"/>
        <w:rPr>
          <w:rFonts w:hint="default" w:ascii="Times New Roman" w:hAnsi="Times New Roman" w:cs="Times New Roman"/>
          <w:b/>
          <w:color w:val="FF0000"/>
          <w:sz w:val="22"/>
          <w:szCs w:val="22"/>
        </w:rPr>
      </w:pPr>
      <w:r>
        <w:rPr>
          <w:rFonts w:hint="default" w:ascii="Times New Roman" w:hAnsi="Times New Roman" w:cs="Times New Roman"/>
          <w:b/>
          <w:color w:val="FF0000"/>
          <w:sz w:val="22"/>
          <w:szCs w:val="22"/>
        </w:rPr>
        <w:t>Single-Cell RNA-seq Processing and Integration</w:t>
      </w:r>
    </w:p>
    <w:p w14:paraId="6C885818">
      <w:pPr>
        <w:outlineLvl w:val="1"/>
        <w:rPr>
          <w:rFonts w:hint="default" w:ascii="Times New Roman" w:hAnsi="Times New Roman" w:cs="Times New Roman"/>
          <w:b w:val="0"/>
          <w:bCs/>
          <w:color w:val="FF0000"/>
          <w:sz w:val="22"/>
          <w:szCs w:val="22"/>
        </w:rPr>
      </w:pPr>
      <w:r>
        <w:rPr>
          <w:rFonts w:hint="eastAsia" w:ascii="Times New Roman" w:hAnsi="Times New Roman" w:cs="Times New Roman"/>
          <w:b/>
          <w:color w:val="FF0000"/>
          <w:sz w:val="22"/>
          <w:szCs w:val="22"/>
          <w:lang w:val="en-US" w:eastAsia="zh-CN"/>
        </w:rPr>
        <w:tab/>
      </w:r>
      <w:r>
        <w:rPr>
          <w:rFonts w:hint="eastAsia" w:ascii="Times New Roman" w:hAnsi="Times New Roman" w:cs="Times New Roman"/>
          <w:b w:val="0"/>
          <w:bCs/>
          <w:color w:val="FF0000"/>
          <w:sz w:val="22"/>
          <w:szCs w:val="22"/>
          <w:lang w:val="en-US" w:eastAsia="zh-CN"/>
        </w:rPr>
        <w:t>F</w:t>
      </w:r>
      <w:r>
        <w:rPr>
          <w:rFonts w:hint="default" w:ascii="Times New Roman" w:hAnsi="Times New Roman" w:cs="Times New Roman"/>
          <w:b w:val="0"/>
          <w:bCs/>
          <w:color w:val="FF0000"/>
          <w:sz w:val="22"/>
          <w:szCs w:val="22"/>
        </w:rPr>
        <w:t>or single-cell RNA-seq analy</w:t>
      </w:r>
      <w:bookmarkStart w:id="0" w:name="_GoBack"/>
      <w:r>
        <w:rPr>
          <w:rFonts w:hint="default" w:ascii="Times New Roman" w:hAnsi="Times New Roman" w:cs="Times New Roman"/>
          <w:b w:val="0"/>
          <w:bCs/>
          <w:color w:val="FF0000"/>
          <w:sz w:val="22"/>
          <w:szCs w:val="22"/>
        </w:rPr>
        <w:t xml:space="preserve">sis, gene-expression matrices and </w:t>
      </w:r>
      <w:bookmarkEnd w:id="0"/>
      <w:r>
        <w:rPr>
          <w:rFonts w:hint="default" w:ascii="Times New Roman" w:hAnsi="Times New Roman" w:cs="Times New Roman"/>
          <w:b w:val="0"/>
          <w:bCs/>
          <w:color w:val="FF0000"/>
          <w:sz w:val="22"/>
          <w:szCs w:val="22"/>
        </w:rPr>
        <w:t>corresponding metadata were obtained from publicly available CRC scRNA-seq datasets, including GSE200997, GSE132465, and GSE144735. Gene-expression matrices generated from Cell Ranger pipelines were filtered and normalized using the Seurat R package (version 4.3). Doublets were removed before downstream analysis. Cells were retained according to the following quality-control criteria: &gt;1,000 unique molecular identifier (UMI) counts, &gt;200 and &lt;6,000 detected genes, and &lt;20% mitochondrial gene expression among total UMI counts. After quality control, a total of 106,235 single cells from 44 CRC tumor samples were retained for downstream analysis.</w:t>
      </w:r>
    </w:p>
    <w:p w14:paraId="3EF612CC">
      <w:pPr>
        <w:ind w:firstLine="420" w:firstLineChars="0"/>
        <w:outlineLvl w:val="1"/>
        <w:rPr>
          <w:rFonts w:hint="default" w:ascii="Times New Roman" w:hAnsi="Times New Roman" w:cs="Times New Roman"/>
          <w:b w:val="0"/>
          <w:bCs/>
          <w:color w:val="FF0000"/>
          <w:sz w:val="22"/>
          <w:szCs w:val="22"/>
        </w:rPr>
      </w:pPr>
      <w:r>
        <w:rPr>
          <w:rFonts w:hint="default" w:ascii="Times New Roman" w:hAnsi="Times New Roman" w:cs="Times New Roman"/>
          <w:b w:val="0"/>
          <w:bCs/>
          <w:color w:val="FF0000"/>
          <w:sz w:val="22"/>
          <w:szCs w:val="22"/>
        </w:rPr>
        <w:t>To minimize technical variation across datasets, we used the reciprocal principal component analysis (RPCA)-based integration workflow implemented in Seurat to integrate and align cells from different scRNA-seq datasets. After integration, the data were scaled by centering and scaling the expression of each gene so that the mean expression across cells was 0 and the variance was 1. Principal component analysis was then performed for dimensionality reduction, and the aligned dataset was clustered and visualized using Uniform Manifold Approximation and Projection (UMAP). Major cell types were annotated by comparing canonical marker genes and differentially expressed genes for each cluster.</w:t>
      </w:r>
    </w:p>
    <w:p w14:paraId="4E93E28C">
      <w:pPr>
        <w:ind w:firstLine="420" w:firstLineChars="0"/>
        <w:outlineLvl w:val="1"/>
        <w:rPr>
          <w:rFonts w:hint="default" w:ascii="Times New Roman" w:hAnsi="Times New Roman" w:cs="Times New Roman"/>
          <w:b w:val="0"/>
          <w:bCs/>
          <w:color w:val="FF0000"/>
          <w:sz w:val="22"/>
          <w:szCs w:val="22"/>
        </w:rPr>
      </w:pPr>
      <w:r>
        <w:rPr>
          <w:rFonts w:hint="default" w:ascii="Times New Roman" w:hAnsi="Times New Roman" w:cs="Times New Roman"/>
          <w:b w:val="0"/>
          <w:bCs/>
          <w:color w:val="FF0000"/>
          <w:sz w:val="22"/>
          <w:szCs w:val="22"/>
        </w:rPr>
        <w:t xml:space="preserve">To further resolve tumor microenvironmental heterogeneity, key lineages, including T/NK cells, macrophages, and cancer-associated fibroblasts, were extracted and re-clustered for high-resolution annotation. Cell-subtype proportions were summarized at the individual tumor-sample level, with each tumor sample treated as an independent biological replicate. Pearson’s residuals from contingency-table analyses were used as exploratory descriptive measures to visualize the direction and magnitude of compositional shifts, rather than as definitive patient-level statistical inference. Because complete allele-specific </w:t>
      </w:r>
      <w:r>
        <w:rPr>
          <w:rFonts w:hint="default" w:ascii="Times New Roman" w:hAnsi="Times New Roman" w:cs="Times New Roman"/>
          <w:b w:val="0"/>
          <w:bCs/>
          <w:i/>
          <w:iCs/>
          <w:color w:val="FF0000"/>
          <w:sz w:val="22"/>
          <w:szCs w:val="22"/>
        </w:rPr>
        <w:t>KRAS</w:t>
      </w:r>
      <w:r>
        <w:rPr>
          <w:rFonts w:hint="default" w:ascii="Times New Roman" w:hAnsi="Times New Roman" w:cs="Times New Roman"/>
          <w:b w:val="0"/>
          <w:bCs/>
          <w:color w:val="FF0000"/>
          <w:sz w:val="22"/>
          <w:szCs w:val="22"/>
        </w:rPr>
        <w:t xml:space="preserve"> mutation annotations were not available for all public scRNA-seq samples, single-cell analyses were performed at the </w:t>
      </w:r>
      <w:r>
        <w:rPr>
          <w:rFonts w:hint="default" w:ascii="Times New Roman" w:hAnsi="Times New Roman" w:cs="Times New Roman"/>
          <w:b w:val="0"/>
          <w:bCs/>
          <w:i/>
          <w:iCs/>
          <w:color w:val="FF0000"/>
          <w:sz w:val="22"/>
          <w:szCs w:val="22"/>
        </w:rPr>
        <w:t>KRAS</w:t>
      </w:r>
      <w:r>
        <w:rPr>
          <w:rFonts w:hint="eastAsia" w:ascii="Times New Roman" w:hAnsi="Times New Roman" w:cs="Times New Roman"/>
          <w:b w:val="0"/>
          <w:bCs/>
          <w:color w:val="FF0000"/>
          <w:sz w:val="22"/>
          <w:szCs w:val="22"/>
          <w:lang w:val="en-US" w:eastAsia="zh-CN"/>
        </w:rPr>
        <w:t xml:space="preserve"> </w:t>
      </w:r>
      <w:r>
        <w:rPr>
          <w:rFonts w:hint="default" w:ascii="Times New Roman" w:hAnsi="Times New Roman" w:cs="Times New Roman"/>
          <w:b w:val="0"/>
          <w:bCs/>
          <w:color w:val="FF0000"/>
          <w:sz w:val="22"/>
          <w:szCs w:val="22"/>
        </w:rPr>
        <w:t xml:space="preserve">mutant versus </w:t>
      </w:r>
      <w:r>
        <w:rPr>
          <w:rFonts w:hint="default" w:ascii="Times New Roman" w:hAnsi="Times New Roman" w:cs="Times New Roman"/>
          <w:b w:val="0"/>
          <w:bCs/>
          <w:i/>
          <w:iCs/>
          <w:color w:val="FF0000"/>
          <w:sz w:val="22"/>
          <w:szCs w:val="22"/>
        </w:rPr>
        <w:t>KRAS</w:t>
      </w:r>
      <w:r>
        <w:rPr>
          <w:rFonts w:hint="eastAsia" w:ascii="Times New Roman" w:hAnsi="Times New Roman" w:cs="Times New Roman"/>
          <w:b w:val="0"/>
          <w:bCs/>
          <w:color w:val="FF0000"/>
          <w:sz w:val="22"/>
          <w:szCs w:val="22"/>
          <w:lang w:val="en-US" w:eastAsia="zh-CN"/>
        </w:rPr>
        <w:t xml:space="preserve"> </w:t>
      </w:r>
      <w:r>
        <w:rPr>
          <w:rFonts w:hint="default" w:ascii="Times New Roman" w:hAnsi="Times New Roman" w:cs="Times New Roman"/>
          <w:b w:val="0"/>
          <w:bCs/>
          <w:color w:val="FF0000"/>
          <w:sz w:val="22"/>
          <w:szCs w:val="22"/>
        </w:rPr>
        <w:t xml:space="preserve">wildtype level rather than by individual </w:t>
      </w:r>
      <w:r>
        <w:rPr>
          <w:rFonts w:hint="default" w:ascii="Times New Roman" w:hAnsi="Times New Roman" w:cs="Times New Roman"/>
          <w:b w:val="0"/>
          <w:bCs/>
          <w:i/>
          <w:iCs/>
          <w:color w:val="FF0000"/>
          <w:sz w:val="22"/>
          <w:szCs w:val="22"/>
        </w:rPr>
        <w:t xml:space="preserve">KRAS </w:t>
      </w:r>
      <w:r>
        <w:rPr>
          <w:rFonts w:hint="default" w:ascii="Times New Roman" w:hAnsi="Times New Roman" w:cs="Times New Roman"/>
          <w:b w:val="0"/>
          <w:bCs/>
          <w:color w:val="FF0000"/>
          <w:sz w:val="22"/>
          <w:szCs w:val="22"/>
        </w:rPr>
        <w:t>alleles.</w:t>
      </w:r>
      <w:r>
        <w:rPr>
          <w:rFonts w:hint="eastAsia" w:ascii="Times New Roman" w:hAnsi="Times New Roman" w:cs="Times New Roman"/>
          <w:b w:val="0"/>
          <w:bCs/>
          <w:color w:val="FF0000"/>
          <w:sz w:val="22"/>
          <w:szCs w:val="22"/>
          <w:lang w:val="en-US" w:eastAsia="zh-CN"/>
        </w:rPr>
        <w:t xml:space="preserve"> </w:t>
      </w:r>
      <w:r>
        <w:rPr>
          <w:rFonts w:hint="default" w:ascii="Times New Roman" w:hAnsi="Times New Roman" w:cs="Times New Roman"/>
          <w:b w:val="0"/>
          <w:bCs/>
          <w:color w:val="FF0000"/>
          <w:sz w:val="22"/>
          <w:szCs w:val="22"/>
        </w:rPr>
        <w:t xml:space="preserve">Intercellular communication networks between </w:t>
      </w:r>
      <w:r>
        <w:rPr>
          <w:rFonts w:hint="default" w:ascii="Times New Roman" w:hAnsi="Times New Roman" w:cs="Times New Roman"/>
          <w:b w:val="0"/>
          <w:bCs/>
          <w:i/>
          <w:iCs/>
          <w:color w:val="FF0000"/>
          <w:sz w:val="22"/>
          <w:szCs w:val="22"/>
        </w:rPr>
        <w:t>KRAS</w:t>
      </w:r>
      <w:r>
        <w:rPr>
          <w:rFonts w:hint="eastAsia" w:ascii="Times New Roman" w:hAnsi="Times New Roman" w:cs="Times New Roman"/>
          <w:b w:val="0"/>
          <w:bCs/>
          <w:i/>
          <w:iCs/>
          <w:color w:val="FF0000"/>
          <w:sz w:val="22"/>
          <w:szCs w:val="22"/>
          <w:lang w:val="en-US" w:eastAsia="zh-CN"/>
        </w:rPr>
        <w:t xml:space="preserve"> </w:t>
      </w:r>
      <w:r>
        <w:rPr>
          <w:rFonts w:hint="default" w:ascii="Times New Roman" w:hAnsi="Times New Roman" w:cs="Times New Roman"/>
          <w:b w:val="0"/>
          <w:bCs/>
          <w:color w:val="FF0000"/>
          <w:sz w:val="22"/>
          <w:szCs w:val="22"/>
        </w:rPr>
        <w:t xml:space="preserve">mutant and </w:t>
      </w:r>
      <w:r>
        <w:rPr>
          <w:rFonts w:hint="default" w:ascii="Times New Roman" w:hAnsi="Times New Roman" w:cs="Times New Roman"/>
          <w:b w:val="0"/>
          <w:bCs/>
          <w:i/>
          <w:iCs/>
          <w:color w:val="FF0000"/>
          <w:sz w:val="22"/>
          <w:szCs w:val="22"/>
        </w:rPr>
        <w:t>KRAS</w:t>
      </w:r>
      <w:r>
        <w:rPr>
          <w:rFonts w:hint="eastAsia" w:ascii="Times New Roman" w:hAnsi="Times New Roman" w:cs="Times New Roman"/>
          <w:b w:val="0"/>
          <w:bCs/>
          <w:color w:val="FF0000"/>
          <w:sz w:val="22"/>
          <w:szCs w:val="22"/>
          <w:lang w:val="en-US" w:eastAsia="zh-CN"/>
        </w:rPr>
        <w:t xml:space="preserve"> </w:t>
      </w:r>
      <w:r>
        <w:rPr>
          <w:rFonts w:hint="default" w:ascii="Times New Roman" w:hAnsi="Times New Roman" w:cs="Times New Roman"/>
          <w:b w:val="0"/>
          <w:bCs/>
          <w:color w:val="FF0000"/>
          <w:sz w:val="22"/>
          <w:szCs w:val="22"/>
        </w:rPr>
        <w:t>wildtype tumors were inferred using the CellChat R package (version 2.1). Differential analysis of interaction number and interaction strength was performed to identify signaling pathways altered between groups. Network centrality analysis was further used to identify dominant sender and receiver cell types within key pathways, including CXCL and VEGF signaling.</w:t>
      </w:r>
    </w:p>
    <w:sectPr>
      <w:pgSz w:w="11906" w:h="16838"/>
      <w:pgMar w:top="1440" w:right="1800" w:bottom="1440" w:left="1800" w:header="851" w:footer="992" w:gutter="0"/>
      <w:lnNumType w:countBy="1" w:restart="continuou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Arial">
    <w:panose1 w:val="020B0604020202020204"/>
    <w:charset w:val="00"/>
    <w:family w:val="auto"/>
    <w:pitch w:val="default"/>
    <w:sig w:usb0="E0002EFF" w:usb1="C000785B" w:usb2="00000009" w:usb3="00000000" w:csb0="400001FF" w:csb1="F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5"/>
  <w:doNotDisplayPageBoundaries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24A4090"/>
    <w:rsid w:val="024A4090"/>
    <w:rsid w:val="10234F21"/>
    <w:rsid w:val="19C01A32"/>
    <w:rsid w:val="1E805C34"/>
    <w:rsid w:val="239F4DAE"/>
    <w:rsid w:val="2A2E4796"/>
    <w:rsid w:val="316057DE"/>
    <w:rsid w:val="40277950"/>
    <w:rsid w:val="4C8A7AFA"/>
    <w:rsid w:val="539F3E8B"/>
    <w:rsid w:val="68F640F6"/>
    <w:rsid w:val="6B144D07"/>
    <w:rsid w:val="72435ED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0</Words>
  <Characters>0</Characters>
  <Lines>0</Lines>
  <Paragraphs>0</Paragraphs>
  <TotalTime>47</TotalTime>
  <ScaleCrop>false</ScaleCrop>
  <LinksUpToDate>false</LinksUpToDate>
  <CharactersWithSpaces>0</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2026-07-21T17:50:00Z</dcterms:created>
  <dc:creator>tt</dc:creator>
  <cp:lastModifiedBy>tt</cp:lastModifiedBy>
  <dcterms:modified xsi:type="dcterms:W3CDTF">2026-07-23T19:09:10Z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EB334D80E56C4525862BB0B1A7F0BE2D_11</vt:lpwstr>
  </property>
  <property fmtid="{D5CDD505-2E9C-101B-9397-08002B2CF9AE}" pid="4" name="KSOTemplateDocerSaveRecord">
    <vt:lpwstr>eyJoZGlkIjoiYTQxNTgzMzQwZGZmM2U0OGI4YzIzMDE3ZTAyYWIxZGQiLCJ1c2VySWQiOiIyNjExMzIyODAifQ==</vt:lpwstr>
  </property>
</Properties>
</file>