
<file path=[Content_Types].xml><?xml version="1.0" encoding="utf-8"?>
<Types xmlns="http://schemas.openxmlformats.org/package/2006/content-types">
  <Default Extension="wmf" ContentType="image/x-wmf"/>
  <Default Extension="tiff" ContentType="image/tiff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C09E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2"/>
          <w:szCs w:val="22"/>
          <w:lang w:val="en-US"/>
        </w:rPr>
        <w:t>Supporting information to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  <w:t xml:space="preserve"> Distinct KRAS Mutation Subtypes Reprogram the Tumor Microenvironment and Shape Survival Outcomes in Colorectal Cancer</w:t>
      </w:r>
    </w:p>
    <w:p w14:paraId="6BCB4CCC">
      <w:pPr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  <w:br w:type="page"/>
      </w:r>
    </w:p>
    <w:p w14:paraId="235FAC74">
      <w:pPr>
        <w:widowControl/>
        <w:jc w:val="left"/>
        <w:rPr>
          <w:rFonts w:ascii="Times New Roman" w:hAnsi="Times New Roman" w:eastAsia="宋体" w:cs="Times New Roman"/>
          <w:b/>
          <w:bCs/>
          <w:color w:val="auto"/>
          <w:sz w:val="22"/>
          <w:szCs w:val="22"/>
        </w:rPr>
      </w:pPr>
      <w:r>
        <w:rPr>
          <w:rFonts w:hint="default" w:ascii="Times New Roman" w:hAnsi="Times New Roman" w:eastAsia="宋体" w:cs="Times New Roman"/>
          <w:kern w:val="2"/>
          <w:sz w:val="22"/>
          <w:szCs w:val="22"/>
          <w:lang w:val="en-US" w:eastAsia="zh-CN" w:bidi="ar"/>
        </w:rPr>
        <w:t xml:space="preserve"> </w:t>
      </w:r>
    </w:p>
    <w:p w14:paraId="2867A7CC">
      <w:pPr>
        <w:rPr>
          <w:rFonts w:ascii="Times New Roman" w:hAnsi="Times New Roman" w:eastAsia="宋体" w:cs="Times New Roman"/>
          <w:color w:val="auto"/>
          <w:sz w:val="22"/>
          <w:szCs w:val="22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 </w:t>
      </w:r>
      <w:r>
        <w:rPr>
          <w:rFonts w:ascii="Times New Roman" w:hAnsi="Times New Roman" w:eastAsia="宋体" w:cs="Times New Roman"/>
          <w:color w:val="auto"/>
          <w:sz w:val="22"/>
          <w:szCs w:val="22"/>
        </w:rPr>
        <w:drawing>
          <wp:inline distT="0" distB="0" distL="114300" distR="114300">
            <wp:extent cx="6638925" cy="5313045"/>
            <wp:effectExtent l="0" t="0" r="5715" b="5715"/>
            <wp:docPr id="1" name="图片 1" descr="oncoPrint_final [已恢复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oncoPrint_final [已恢复]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531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D05CB">
      <w:pPr>
        <w:rPr>
          <w:rFonts w:ascii="Times New Roman" w:hAnsi="Times New Roman" w:eastAsia="宋体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eastAsia="宋体" w:cs="Times New Roman"/>
          <w:b/>
          <w:bCs/>
          <w:color w:val="auto"/>
          <w:sz w:val="22"/>
          <w:szCs w:val="22"/>
          <w:lang w:bidi="ar"/>
        </w:rPr>
        <w:t>Figure S1</w:t>
      </w:r>
      <w:r>
        <w:rPr>
          <w:rFonts w:hint="eastAsia" w:ascii="Times New Roman" w:hAnsi="Times New Roman" w:eastAsia="宋体" w:cs="Times New Roman"/>
          <w:b/>
          <w:bCs/>
          <w:color w:val="auto"/>
          <w:sz w:val="22"/>
          <w:szCs w:val="22"/>
          <w:lang w:bidi="ar"/>
        </w:rPr>
        <w:t>.</w:t>
      </w:r>
      <w:r>
        <w:rPr>
          <w:rFonts w:ascii="Times New Roman" w:hAnsi="Times New Roman" w:eastAsia="宋体" w:cs="Times New Roman"/>
          <w:b/>
          <w:bCs/>
          <w:color w:val="auto"/>
          <w:sz w:val="22"/>
          <w:szCs w:val="22"/>
          <w:lang w:bidi="ar"/>
        </w:rPr>
        <w:t xml:space="preserve"> Landscape of genomic alterations in the Zhongshan clinical cohort.</w:t>
      </w:r>
    </w:p>
    <w:p w14:paraId="41F3F791">
      <w:pP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</w:pPr>
    </w:p>
    <w:p w14:paraId="476D3FB4">
      <w:pPr>
        <w:rPr>
          <w:rFonts w:ascii="Times New Roman" w:hAnsi="Times New Roman" w:eastAsia="宋体" w:cs="Times New Roman"/>
          <w:color w:val="auto"/>
          <w:sz w:val="22"/>
          <w:szCs w:val="22"/>
        </w:rPr>
      </w:pPr>
    </w:p>
    <w:p w14:paraId="4531C7EA">
      <w:pPr>
        <w:rPr>
          <w:rFonts w:ascii="Times New Roman" w:hAnsi="Times New Roman" w:cs="Times New Roman"/>
          <w:b/>
          <w:bCs/>
          <w:color w:val="auto"/>
          <w:sz w:val="22"/>
          <w:szCs w:val="22"/>
          <w:lang w:bidi="ar"/>
        </w:rPr>
      </w:pP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bidi="ar"/>
        </w:rPr>
        <w:drawing>
          <wp:inline distT="0" distB="0" distL="114300" distR="114300">
            <wp:extent cx="6640195" cy="4830445"/>
            <wp:effectExtent l="0" t="0" r="4445" b="635"/>
            <wp:docPr id="5" name="图片 5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483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F2896">
      <w:pPr>
        <w:rPr>
          <w:rFonts w:ascii="Times New Roman" w:hAnsi="Times New Roman" w:eastAsia="宋体" w:cs="Times New Roman"/>
          <w:b/>
          <w:bCs/>
          <w:color w:val="auto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b/>
          <w:bCs/>
          <w:color w:val="auto"/>
          <w:sz w:val="22"/>
          <w:szCs w:val="22"/>
          <w:lang w:bidi="ar"/>
        </w:rPr>
        <w:t>Figure S2. Extended genomic associations with staging, organotropism, and metastatic burden</w:t>
      </w:r>
      <w:r>
        <w:rPr>
          <w:rFonts w:hint="eastAsia" w:ascii="Times New Roman" w:hAnsi="Times New Roman" w:eastAsia="宋体" w:cs="Times New Roman"/>
          <w:b/>
          <w:bCs/>
          <w:color w:val="auto"/>
          <w:sz w:val="22"/>
          <w:szCs w:val="22"/>
          <w:lang w:bidi="ar"/>
        </w:rPr>
        <w:t>.</w:t>
      </w:r>
    </w:p>
    <w:p w14:paraId="2354CE66">
      <w:pP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(A) Organ-specific metastasis incidence of all genomic alterations in Zhongshan Cohort. </w:t>
      </w:r>
    </w:p>
    <w:p w14:paraId="077ED29C">
      <w:pP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(B) Lymph metastasis incidence by </w:t>
      </w:r>
      <w:r>
        <w:rPr>
          <w:rFonts w:hint="eastAsia" w:ascii="Times New Roman" w:hAnsi="Times New Roman" w:eastAsia="宋体" w:cs="Times New Roman"/>
          <w:i/>
          <w:color w:val="auto"/>
          <w:sz w:val="22"/>
          <w:szCs w:val="22"/>
          <w:lang w:bidi="ar"/>
        </w:rPr>
        <w:t>KRAS</w:t>
      </w: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 subtypes. Bars represent the prevalence of </w:t>
      </w:r>
      <w:r>
        <w:rPr>
          <w:rFonts w:hint="eastAsia" w:ascii="Times New Roman" w:hAnsi="Times New Roman" w:eastAsia="宋体" w:cs="Times New Roman"/>
          <w:color w:val="auto"/>
          <w:sz w:val="22"/>
          <w:szCs w:val="22"/>
          <w:lang w:bidi="ar"/>
        </w:rPr>
        <w:t>lymph</w:t>
      </w: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-specific metastasis across </w:t>
      </w:r>
      <w:r>
        <w:rPr>
          <w:rFonts w:hint="eastAsia" w:ascii="Times New Roman" w:hAnsi="Times New Roman" w:eastAsia="宋体" w:cs="Times New Roman"/>
          <w:i/>
          <w:color w:val="auto"/>
          <w:sz w:val="22"/>
          <w:szCs w:val="22"/>
          <w:lang w:bidi="ar"/>
        </w:rPr>
        <w:t>KRAS</w:t>
      </w: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 mutation subtypes. </w:t>
      </w:r>
    </w:p>
    <w:p w14:paraId="0394AB8D">
      <w:pP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(C) </w:t>
      </w:r>
      <w:r>
        <w:rPr>
          <w:rFonts w:hint="eastAsia" w:ascii="Times New Roman" w:hAnsi="Times New Roman" w:eastAsia="宋体" w:cs="Times New Roman"/>
          <w:color w:val="auto"/>
          <w:sz w:val="22"/>
          <w:szCs w:val="22"/>
          <w:lang w:bidi="ar"/>
        </w:rPr>
        <w:t xml:space="preserve">Peritoneal/Pelvic metastasis incidence by KRAS subtypes. Bars represent the prevalence of peritoneal/pelvic -specific metastasis across KRAS subtypes. </w:t>
      </w:r>
    </w:p>
    <w:p w14:paraId="7985E875">
      <w:pPr>
        <w:rPr>
          <w:rFonts w:ascii="Times New Roman" w:hAnsi="Times New Roman" w:eastAsia="宋体" w:cs="Times New Roman"/>
          <w:color w:val="auto"/>
          <w:sz w:val="22"/>
          <w:szCs w:val="22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 </w:t>
      </w:r>
    </w:p>
    <w:p w14:paraId="2133BF1A">
      <w:pPr>
        <w:rPr>
          <w:rFonts w:ascii="Times New Roman" w:hAnsi="Times New Roman" w:eastAsia="宋体" w:cs="Times New Roman"/>
          <w:color w:val="auto"/>
          <w:sz w:val="22"/>
          <w:szCs w:val="22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 </w:t>
      </w:r>
      <w:r>
        <w:rPr>
          <w:color w:val="auto"/>
        </w:rPr>
        <w:drawing>
          <wp:inline distT="0" distB="0" distL="0" distR="0">
            <wp:extent cx="6645910" cy="9396730"/>
            <wp:effectExtent l="0" t="0" r="13970" b="6350"/>
            <wp:docPr id="185995193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951938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6FFD1">
      <w:pPr>
        <w:rPr>
          <w:rFonts w:ascii="Times New Roman" w:hAnsi="Times New Roman" w:eastAsia="宋体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eastAsia="宋体" w:cs="Times New Roman"/>
          <w:b/>
          <w:bCs/>
          <w:color w:val="auto"/>
          <w:sz w:val="22"/>
          <w:szCs w:val="22"/>
          <w:lang w:bidi="ar"/>
        </w:rPr>
        <w:t xml:space="preserve">Figure S3. Association of </w:t>
      </w:r>
      <w:r>
        <w:rPr>
          <w:rFonts w:hint="eastAsia" w:ascii="Times New Roman" w:hAnsi="Times New Roman" w:eastAsia="宋体" w:cs="Times New Roman"/>
          <w:b/>
          <w:bCs/>
          <w:i/>
          <w:color w:val="auto"/>
          <w:sz w:val="22"/>
          <w:szCs w:val="22"/>
          <w:lang w:bidi="ar"/>
        </w:rPr>
        <w:t>KRAS</w:t>
      </w:r>
      <w:r>
        <w:rPr>
          <w:rFonts w:ascii="Times New Roman" w:hAnsi="Times New Roman" w:eastAsia="宋体" w:cs="Times New Roman"/>
          <w:b/>
          <w:bCs/>
          <w:color w:val="auto"/>
          <w:sz w:val="22"/>
          <w:szCs w:val="22"/>
          <w:lang w:bidi="ar"/>
        </w:rPr>
        <w:t xml:space="preserve"> status and subtypes with Overall Survival.</w:t>
      </w:r>
    </w:p>
    <w:p w14:paraId="2E00D7AF">
      <w:pPr>
        <w:rPr>
          <w:rFonts w:ascii="Times New Roman" w:hAnsi="Times New Roman" w:eastAsia="宋体" w:cs="Times New Roman"/>
          <w:color w:val="auto"/>
          <w:sz w:val="22"/>
          <w:szCs w:val="22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(A) Kaplan-Meier curves for Overall Survival (OS) in the early-stage (I-III) cohort, stratified by </w:t>
      </w:r>
      <w:r>
        <w:rPr>
          <w:rFonts w:hint="eastAsia" w:ascii="Times New Roman" w:hAnsi="Times New Roman" w:eastAsia="宋体" w:cs="Times New Roman"/>
          <w:i/>
          <w:color w:val="auto"/>
          <w:sz w:val="22"/>
          <w:szCs w:val="22"/>
          <w:lang w:bidi="ar"/>
        </w:rPr>
        <w:t>KRAS</w:t>
      </w: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 mutation status.</w:t>
      </w:r>
    </w:p>
    <w:p w14:paraId="715F177C">
      <w:pPr>
        <w:rPr>
          <w:rFonts w:ascii="Times New Roman" w:hAnsi="Times New Roman" w:eastAsia="宋体" w:cs="Times New Roman"/>
          <w:color w:val="auto"/>
          <w:sz w:val="22"/>
          <w:szCs w:val="22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>(B) Kaplan-Meier curves for OS in the early-stage cohort after PSM.</w:t>
      </w:r>
    </w:p>
    <w:p w14:paraId="6814D1C0">
      <w:pPr>
        <w:rPr>
          <w:rFonts w:ascii="Times New Roman" w:hAnsi="Times New Roman" w:eastAsia="宋体" w:cs="Times New Roman"/>
          <w:color w:val="auto"/>
          <w:sz w:val="22"/>
          <w:szCs w:val="22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(C) Kaplan-Meier curves for OS in the advanced-stage (IV) cohort, stratified by </w:t>
      </w:r>
      <w:r>
        <w:rPr>
          <w:rFonts w:hint="eastAsia" w:ascii="Times New Roman" w:hAnsi="Times New Roman" w:eastAsia="宋体" w:cs="Times New Roman"/>
          <w:i/>
          <w:color w:val="auto"/>
          <w:sz w:val="22"/>
          <w:szCs w:val="22"/>
          <w:lang w:bidi="ar"/>
        </w:rPr>
        <w:t>KRAS</w:t>
      </w: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 mutation status.</w:t>
      </w:r>
    </w:p>
    <w:p w14:paraId="01BFAD90">
      <w:pPr>
        <w:rPr>
          <w:rFonts w:ascii="Times New Roman" w:hAnsi="Times New Roman" w:eastAsia="宋体" w:cs="Times New Roman"/>
          <w:color w:val="auto"/>
          <w:sz w:val="22"/>
          <w:szCs w:val="22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>(D) Kaplan-Meier curves for OS in the advanced-stage cohort after PSM.</w:t>
      </w:r>
    </w:p>
    <w:p w14:paraId="317215A0">
      <w:pPr>
        <w:rPr>
          <w:rFonts w:ascii="Times New Roman" w:hAnsi="Times New Roman" w:eastAsia="宋体" w:cs="Times New Roman"/>
          <w:color w:val="auto"/>
          <w:sz w:val="22"/>
          <w:szCs w:val="22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(E) Kaplan-Meier curves for OS in the early-stage cohort, stratified by specific </w:t>
      </w:r>
      <w:r>
        <w:rPr>
          <w:rFonts w:hint="eastAsia" w:ascii="Times New Roman" w:hAnsi="Times New Roman" w:eastAsia="宋体" w:cs="Times New Roman"/>
          <w:i/>
          <w:color w:val="auto"/>
          <w:sz w:val="22"/>
          <w:szCs w:val="22"/>
          <w:lang w:bidi="ar"/>
        </w:rPr>
        <w:t>KRAS</w:t>
      </w: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 mutation subtypes.</w:t>
      </w:r>
    </w:p>
    <w:p w14:paraId="00B46A55">
      <w:pPr>
        <w:rPr>
          <w:rFonts w:ascii="Times New Roman" w:hAnsi="Times New Roman" w:eastAsia="宋体" w:cs="Times New Roman"/>
          <w:color w:val="auto"/>
          <w:sz w:val="22"/>
          <w:szCs w:val="22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(F) Kaplan-Meier curves for OS in the advanced-stage cohort, stratified by specific </w:t>
      </w:r>
      <w:r>
        <w:rPr>
          <w:rFonts w:hint="eastAsia" w:ascii="Times New Roman" w:hAnsi="Times New Roman" w:eastAsia="宋体" w:cs="Times New Roman"/>
          <w:i/>
          <w:color w:val="auto"/>
          <w:sz w:val="22"/>
          <w:szCs w:val="22"/>
          <w:lang w:bidi="ar"/>
        </w:rPr>
        <w:t>KRAS</w:t>
      </w: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 mutation subtypes.</w:t>
      </w:r>
    </w:p>
    <w:p w14:paraId="245FE2C6">
      <w:pPr>
        <w:rPr>
          <w:rFonts w:ascii="Times New Roman" w:hAnsi="Times New Roman" w:eastAsia="宋体" w:cs="Times New Roman"/>
          <w:color w:val="auto"/>
          <w:sz w:val="22"/>
          <w:szCs w:val="22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>Statistical analysis was performed as described for Figure 3.</w:t>
      </w:r>
    </w:p>
    <w:p w14:paraId="0D8B79A3">
      <w:pP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 </w:t>
      </w:r>
    </w:p>
    <w:p w14:paraId="3AC60791">
      <w:pP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</w:pPr>
    </w:p>
    <w:p w14:paraId="5A1D2159">
      <w:pPr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 </w:t>
      </w:r>
    </w:p>
    <w:p w14:paraId="2A95496C">
      <w:pP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 </w:t>
      </w:r>
    </w:p>
    <w:p w14:paraId="3C2E71E7">
      <w:pPr>
        <w:rPr>
          <w:rFonts w:hint="eastAsia" w:ascii="Times New Roman" w:hAnsi="Times New Roman" w:eastAsia="宋体" w:cs="Times New Roman"/>
          <w:color w:val="auto"/>
          <w:sz w:val="22"/>
          <w:szCs w:val="22"/>
          <w:lang w:eastAsia="zh-CN"/>
        </w:rPr>
      </w:pPr>
      <w:r>
        <w:rPr>
          <w:rFonts w:hint="eastAsia" w:ascii="Times New Roman" w:hAnsi="Times New Roman" w:eastAsia="宋体" w:cs="Times New Roman"/>
          <w:color w:val="auto"/>
          <w:sz w:val="22"/>
          <w:szCs w:val="22"/>
          <w:lang w:eastAsia="zh-CN"/>
        </w:rPr>
        <w:drawing>
          <wp:inline distT="0" distB="0" distL="114300" distR="114300">
            <wp:extent cx="6476365" cy="8684895"/>
            <wp:effectExtent l="0" t="0" r="635" b="1905"/>
            <wp:docPr id="8" name="图片 8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6365" cy="868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8BD68">
      <w:pPr>
        <w:rPr>
          <w:rFonts w:hint="eastAsia" w:ascii="Times New Roman" w:hAnsi="Times New Roman" w:eastAsia="宋体" w:cs="Times New Roman"/>
          <w:b/>
          <w:bCs/>
          <w:color w:val="auto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b/>
          <w:bCs/>
          <w:color w:val="auto"/>
          <w:sz w:val="22"/>
          <w:szCs w:val="22"/>
          <w:lang w:bidi="ar"/>
        </w:rPr>
        <w:t xml:space="preserve">Figure S4. </w:t>
      </w:r>
      <w:r>
        <w:rPr>
          <w:rFonts w:hint="eastAsia" w:ascii="Times New Roman" w:hAnsi="Times New Roman" w:eastAsia="宋体" w:cs="Times New Roman"/>
          <w:b/>
          <w:bCs/>
          <w:color w:val="auto"/>
          <w:sz w:val="22"/>
          <w:szCs w:val="22"/>
          <w:lang w:bidi="ar"/>
        </w:rPr>
        <w:t>Adjuvant Therapy Analysis and Machine Learning-Assisted Survival Prediction According to</w:t>
      </w:r>
      <w:r>
        <w:rPr>
          <w:rFonts w:hint="eastAsia" w:ascii="Times New Roman" w:hAnsi="Times New Roman" w:eastAsia="宋体" w:cs="Times New Roman"/>
          <w:b/>
          <w:bCs/>
          <w:i/>
          <w:iCs/>
          <w:color w:val="auto"/>
          <w:sz w:val="22"/>
          <w:szCs w:val="22"/>
          <w:lang w:bidi="ar"/>
        </w:rPr>
        <w:t xml:space="preserve"> KRAS </w:t>
      </w:r>
      <w:r>
        <w:rPr>
          <w:rFonts w:hint="eastAsia" w:ascii="Times New Roman" w:hAnsi="Times New Roman" w:eastAsia="宋体" w:cs="Times New Roman"/>
          <w:b/>
          <w:bCs/>
          <w:color w:val="auto"/>
          <w:sz w:val="22"/>
          <w:szCs w:val="22"/>
          <w:lang w:bidi="ar"/>
        </w:rPr>
        <w:t>Mutation Status and Subtypes.</w:t>
      </w:r>
    </w:p>
    <w:p w14:paraId="5D0799E7">
      <w:pP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>(</w:t>
      </w:r>
      <w:r>
        <w:rPr>
          <w:rFonts w:hint="eastAsia" w:ascii="Times New Roman" w:hAnsi="Times New Roman" w:eastAsia="宋体" w:cs="Times New Roman"/>
          <w:color w:val="auto"/>
          <w:sz w:val="22"/>
          <w:szCs w:val="22"/>
          <w:lang w:bidi="ar"/>
        </w:rPr>
        <w:t>A</w:t>
      </w: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) Kaplan-Meier curves for DFS, stratified by </w:t>
      </w:r>
      <w:r>
        <w:rPr>
          <w:rFonts w:hint="eastAsia" w:ascii="Times New Roman" w:hAnsi="Times New Roman" w:eastAsia="宋体" w:cs="Times New Roman"/>
          <w:i/>
          <w:color w:val="auto"/>
          <w:sz w:val="22"/>
          <w:szCs w:val="22"/>
          <w:lang w:bidi="ar"/>
        </w:rPr>
        <w:t>KRAS</w:t>
      </w: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 mutation status and the receipt of adjuvant chemotherapy. The overall p-value was calculated using the log-rank test.</w:t>
      </w:r>
    </w:p>
    <w:p w14:paraId="07A80DBC">
      <w:pP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>(</w:t>
      </w:r>
      <w:r>
        <w:rPr>
          <w:rFonts w:hint="eastAsia" w:ascii="Times New Roman" w:hAnsi="Times New Roman" w:eastAsia="宋体" w:cs="Times New Roman"/>
          <w:color w:val="auto"/>
          <w:sz w:val="22"/>
          <w:szCs w:val="22"/>
          <w:lang w:bidi="ar"/>
        </w:rPr>
        <w:t>B</w:t>
      </w: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>) Time-dependent ROC curves for the machine learning-based survival models of DFS and PFS.</w:t>
      </w:r>
    </w:p>
    <w:p w14:paraId="55239E77">
      <w:pP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>(</w:t>
      </w:r>
      <w:r>
        <w:rPr>
          <w:rFonts w:hint="eastAsia" w:ascii="Times New Roman" w:hAnsi="Times New Roman" w:eastAsia="宋体" w:cs="Times New Roman"/>
          <w:color w:val="auto"/>
          <w:sz w:val="22"/>
          <w:szCs w:val="22"/>
          <w:lang w:bidi="ar"/>
        </w:rPr>
        <w:t>C</w:t>
      </w: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>) Forest plots of multivariable Cox proportional hazards models for DFS and PFS, highlighting the prognostic effect of KRAS subtypes and clinical covariates.</w:t>
      </w:r>
    </w:p>
    <w:p w14:paraId="52832BC6">
      <w:pP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>(</w:t>
      </w:r>
      <w:r>
        <w:rPr>
          <w:rFonts w:hint="eastAsia" w:ascii="Times New Roman" w:hAnsi="Times New Roman" w:eastAsia="宋体" w:cs="Times New Roman"/>
          <w:color w:val="auto"/>
          <w:sz w:val="22"/>
          <w:szCs w:val="22"/>
          <w:lang w:bidi="ar"/>
        </w:rPr>
        <w:t>D</w:t>
      </w: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) Variable importance plots from Random Survival Forest models for DFS and PFS, showing </w:t>
      </w:r>
      <w:r>
        <w:rPr>
          <w:rFonts w:ascii="Times New Roman" w:hAnsi="Times New Roman" w:eastAsia="宋体" w:cs="Times New Roman"/>
          <w:i/>
          <w:iCs/>
          <w:color w:val="auto"/>
          <w:sz w:val="22"/>
          <w:szCs w:val="22"/>
          <w:lang w:bidi="ar"/>
        </w:rPr>
        <w:t>KRAS</w:t>
      </w: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 subtype as a major contributor to survival prediction.</w:t>
      </w:r>
    </w:p>
    <w:p w14:paraId="0D331E07">
      <w:pP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>(</w:t>
      </w:r>
      <w:r>
        <w:rPr>
          <w:rFonts w:hint="eastAsia" w:ascii="Times New Roman" w:hAnsi="Times New Roman" w:eastAsia="宋体" w:cs="Times New Roman"/>
          <w:color w:val="auto"/>
          <w:sz w:val="22"/>
          <w:szCs w:val="22"/>
          <w:lang w:bidi="ar"/>
        </w:rPr>
        <w:t>E</w:t>
      </w: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>) Kaplan–Meier curves for DFS according to the machine learning-derived risk groups. The overall p-value was calculated using the log-rank test.</w:t>
      </w:r>
    </w:p>
    <w:p w14:paraId="7D13B6E0">
      <w:pP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>(</w:t>
      </w:r>
      <w:r>
        <w:rPr>
          <w:rFonts w:hint="eastAsia" w:ascii="Times New Roman" w:hAnsi="Times New Roman" w:eastAsia="宋体" w:cs="Times New Roman"/>
          <w:color w:val="auto"/>
          <w:sz w:val="22"/>
          <w:szCs w:val="22"/>
          <w:lang w:bidi="ar"/>
        </w:rPr>
        <w:t>F</w:t>
      </w: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>) Kaplan–Meier curves for PFS according to the machine learning-derived risk groups. The overall p-value was calculated using the log-rank test.</w:t>
      </w:r>
    </w:p>
    <w:p w14:paraId="785BA263">
      <w:pP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br w:type="page"/>
      </w:r>
    </w:p>
    <w:p w14:paraId="1C257BE8">
      <w:pPr>
        <w:rPr>
          <w:rFonts w:ascii="Times New Roman" w:hAnsi="Times New Roman" w:eastAsia="宋体" w:cs="Times New Roman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sz w:val="22"/>
          <w:szCs w:val="22"/>
          <w:lang w:bidi="ar"/>
        </w:rPr>
        <w:drawing>
          <wp:inline distT="0" distB="0" distL="114300" distR="114300">
            <wp:extent cx="6642100" cy="5114925"/>
            <wp:effectExtent l="0" t="0" r="2540" b="5715"/>
            <wp:docPr id="6" name="图片 6" descr="Figure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b/>
          <w:bCs/>
          <w:sz w:val="22"/>
          <w:szCs w:val="22"/>
          <w:lang w:bidi="ar"/>
        </w:rPr>
        <w:t>Figure S5. Tumor purity-adjusted analysis of Immune Score across KRAS mutation subtypes</w:t>
      </w:r>
      <w:r>
        <w:rPr>
          <w:rFonts w:ascii="Times New Roman" w:hAnsi="Times New Roman" w:eastAsia="宋体" w:cs="Times New Roman"/>
          <w:sz w:val="22"/>
          <w:szCs w:val="22"/>
          <w:lang w:bidi="ar"/>
        </w:rPr>
        <w:t>.</w:t>
      </w:r>
    </w:p>
    <w:p w14:paraId="650F216F">
      <w:pPr>
        <w:rPr>
          <w:rFonts w:ascii="Times New Roman" w:hAnsi="Times New Roman" w:eastAsia="宋体" w:cs="Times New Roman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sz w:val="22"/>
          <w:szCs w:val="22"/>
          <w:lang w:bidi="ar"/>
        </w:rPr>
        <w:t>(A) Estimated tumor purity across KRAS subtypes inferred by the ESTIMATE algorithm.</w:t>
      </w:r>
    </w:p>
    <w:p w14:paraId="10829B55">
      <w:pPr>
        <w:rPr>
          <w:rFonts w:ascii="Times New Roman" w:hAnsi="Times New Roman" w:eastAsia="宋体" w:cs="Times New Roman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sz w:val="22"/>
          <w:szCs w:val="22"/>
          <w:lang w:bidi="ar"/>
        </w:rPr>
        <w:t xml:space="preserve">(B) </w:t>
      </w:r>
      <w:r>
        <w:rPr>
          <w:rFonts w:hint="eastAsia" w:ascii="Times New Roman" w:hAnsi="Times New Roman" w:eastAsia="宋体" w:cs="Times New Roman"/>
          <w:sz w:val="22"/>
          <w:szCs w:val="22"/>
          <w:lang w:bidi="ar"/>
        </w:rPr>
        <w:t>Tumor purity-adjusted Immune Score across KRAS subtypes, calculated from residuals of the linear model adjusting for estimated tumor purity.</w:t>
      </w:r>
    </w:p>
    <w:p w14:paraId="7D8DD6F4">
      <w:pPr>
        <w:rPr>
          <w:rFonts w:ascii="Times New Roman" w:hAnsi="Times New Roman" w:eastAsia="宋体" w:cs="Times New Roman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sz w:val="22"/>
          <w:szCs w:val="22"/>
          <w:lang w:bidi="ar"/>
        </w:rPr>
        <w:t>(C) Association between tumor purity and Immune Score across TCGA CRC samples.</w:t>
      </w:r>
    </w:p>
    <w:p w14:paraId="457C4EFE">
      <w:pPr>
        <w:rPr>
          <w:rFonts w:ascii="Times New Roman" w:hAnsi="Times New Roman" w:eastAsia="宋体" w:cs="Times New Roman"/>
          <w:sz w:val="22"/>
          <w:szCs w:val="22"/>
        </w:rPr>
      </w:pPr>
      <w:r>
        <w:rPr>
          <w:rFonts w:hint="eastAsia" w:ascii="Times New Roman" w:hAnsi="Times New Roman" w:eastAsia="宋体" w:cs="Times New Roman"/>
          <w:sz w:val="22"/>
          <w:szCs w:val="22"/>
        </w:rPr>
        <w:drawing>
          <wp:inline distT="0" distB="0" distL="114300" distR="114300">
            <wp:extent cx="6644640" cy="8623300"/>
            <wp:effectExtent l="0" t="0" r="0" b="2540"/>
            <wp:docPr id="3" name="图片 3" descr="Figure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862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F45F5">
      <w:pPr>
        <w:rPr>
          <w:rFonts w:ascii="Times New Roman" w:hAnsi="Times New Roman" w:eastAsia="宋体" w:cs="Times New Roman"/>
          <w:sz w:val="22"/>
          <w:szCs w:val="22"/>
        </w:rPr>
      </w:pPr>
    </w:p>
    <w:p w14:paraId="125BA01F">
      <w:pPr>
        <w:rPr>
          <w:rFonts w:ascii="Times New Roman" w:hAnsi="Times New Roman" w:eastAsia="宋体" w:cs="Times New Roman"/>
          <w:b/>
          <w:bCs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b/>
          <w:bCs/>
          <w:sz w:val="22"/>
          <w:szCs w:val="22"/>
          <w:lang w:bidi="ar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bidi="ar"/>
        </w:rPr>
        <w:t>6.</w:t>
      </w:r>
      <w:r>
        <w:rPr>
          <w:rFonts w:ascii="Times New Roman" w:hAnsi="Times New Roman" w:eastAsia="宋体" w:cs="Times New Roman"/>
          <w:b/>
          <w:bCs/>
          <w:sz w:val="22"/>
          <w:szCs w:val="22"/>
          <w:lang w:bidi="ar"/>
        </w:rPr>
        <w:t xml:space="preserve"> Differential composition of immune and stromal cell subsets in </w:t>
      </w:r>
      <w:r>
        <w:rPr>
          <w:rFonts w:hint="eastAsia" w:ascii="Times New Roman" w:hAnsi="Times New Roman" w:eastAsia="宋体" w:cs="Times New Roman"/>
          <w:b/>
          <w:bCs/>
          <w:i/>
          <w:sz w:val="22"/>
          <w:szCs w:val="22"/>
          <w:lang w:bidi="ar"/>
        </w:rPr>
        <w:t>KRAS</w:t>
      </w:r>
      <w:r>
        <w:rPr>
          <w:rFonts w:ascii="Times New Roman" w:hAnsi="Times New Roman" w:eastAsia="宋体" w:cs="Times New Roman"/>
          <w:b/>
          <w:bCs/>
          <w:sz w:val="22"/>
          <w:szCs w:val="22"/>
          <w:lang w:bidi="ar"/>
        </w:rPr>
        <w:t xml:space="preserve"> mutant tumors.</w:t>
      </w:r>
    </w:p>
    <w:p w14:paraId="601A901D">
      <w:pPr>
        <w:rPr>
          <w:rFonts w:ascii="Times New Roman" w:hAnsi="Times New Roman" w:eastAsia="宋体" w:cs="Times New Roman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sz w:val="22"/>
          <w:szCs w:val="22"/>
          <w:lang w:bidi="ar"/>
        </w:rPr>
        <w:t xml:space="preserve">(A) UMAP plot of all single cells, color-coded by their </w:t>
      </w:r>
      <w:r>
        <w:rPr>
          <w:rFonts w:hint="eastAsia" w:ascii="Times New Roman" w:hAnsi="Times New Roman" w:eastAsia="宋体" w:cs="Times New Roman"/>
          <w:sz w:val="22"/>
          <w:szCs w:val="22"/>
          <w:lang w:bidi="ar"/>
        </w:rPr>
        <w:t>individual sample</w:t>
      </w:r>
      <w:r>
        <w:rPr>
          <w:rFonts w:ascii="Times New Roman" w:hAnsi="Times New Roman" w:eastAsia="宋体" w:cs="Times New Roman"/>
          <w:sz w:val="22"/>
          <w:szCs w:val="22"/>
          <w:lang w:bidi="ar"/>
        </w:rPr>
        <w:t xml:space="preserve"> of origin. The even distribution of cells from different datasets demonstrates successful batch-effect correction using a reciprocal principal component analysis (RPCA) workflow. </w:t>
      </w:r>
    </w:p>
    <w:p w14:paraId="761793FB">
      <w:pPr>
        <w:rPr>
          <w:rFonts w:ascii="Times New Roman" w:hAnsi="Times New Roman" w:eastAsia="宋体" w:cs="Times New Roman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sz w:val="22"/>
          <w:szCs w:val="22"/>
          <w:lang w:bidi="ar"/>
        </w:rPr>
        <w:t>(B)</w:t>
      </w:r>
      <w:r>
        <w:rPr>
          <w:rFonts w:hint="eastAsia" w:ascii="Times New Roman" w:hAnsi="Times New Roman" w:eastAsia="宋体" w:cs="Times New Roman"/>
          <w:sz w:val="22"/>
          <w:szCs w:val="22"/>
          <w:lang w:bidi="ar"/>
        </w:rPr>
        <w:t xml:space="preserve"> </w:t>
      </w:r>
      <w:r>
        <w:rPr>
          <w:rFonts w:ascii="Times New Roman" w:hAnsi="Times New Roman" w:eastAsia="宋体" w:cs="Times New Roman"/>
          <w:sz w:val="22"/>
          <w:szCs w:val="22"/>
          <w:lang w:bidi="ar"/>
        </w:rPr>
        <w:t xml:space="preserve">Dot plot showing the expression level (dot color) and percentage of expressing cells (dot size) for canonical marker genes used to annotate the 10 major cell types identified in Figure </w:t>
      </w:r>
      <w:r>
        <w:rPr>
          <w:rFonts w:hint="eastAsia" w:ascii="Times New Roman" w:hAnsi="Times New Roman" w:eastAsia="宋体" w:cs="Times New Roman"/>
          <w:sz w:val="22"/>
          <w:szCs w:val="22"/>
          <w:lang w:bidi="ar"/>
        </w:rPr>
        <w:t>6A</w:t>
      </w:r>
      <w:r>
        <w:rPr>
          <w:rFonts w:ascii="Times New Roman" w:hAnsi="Times New Roman" w:eastAsia="宋体" w:cs="Times New Roman"/>
          <w:sz w:val="22"/>
          <w:szCs w:val="22"/>
          <w:lang w:bidi="ar"/>
        </w:rPr>
        <w:t>.</w:t>
      </w:r>
    </w:p>
    <w:p w14:paraId="0194F029">
      <w:pPr>
        <w:rPr>
          <w:rFonts w:ascii="Times New Roman" w:hAnsi="Times New Roman" w:eastAsia="宋体" w:cs="Times New Roman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sz w:val="22"/>
          <w:szCs w:val="22"/>
          <w:lang w:bidi="ar"/>
        </w:rPr>
        <w:t xml:space="preserve">(C-E) Alterations of cellular subpopulations dynamics between KRAS mutant and </w:t>
      </w:r>
      <w:r>
        <w:rPr>
          <w:rFonts w:hint="eastAsia" w:ascii="Times New Roman" w:hAnsi="Times New Roman" w:eastAsia="宋体" w:cs="Times New Roman"/>
          <w:sz w:val="22"/>
          <w:szCs w:val="22"/>
          <w:lang w:bidi="ar"/>
        </w:rPr>
        <w:t>wildtype</w:t>
      </w:r>
      <w:r>
        <w:rPr>
          <w:rFonts w:ascii="Times New Roman" w:hAnsi="Times New Roman" w:eastAsia="宋体" w:cs="Times New Roman"/>
          <w:sz w:val="22"/>
          <w:szCs w:val="22"/>
          <w:lang w:bidi="ar"/>
        </w:rPr>
        <w:t xml:space="preserve"> tumors are shown within (C) macrophages, (D)cancer associated fibroblasts(CAFs) and (E)T/NK cells. Dot size represents Pearson’s residual of the chi-squared test and the color represents the degree of positive or negative association from Pearson’s residual of the chi-squared test</w:t>
      </w:r>
    </w:p>
    <w:p w14:paraId="49CDFEA1">
      <w:pPr>
        <w:rPr>
          <w:rFonts w:ascii="Times New Roman" w:hAnsi="Times New Roman" w:eastAsia="宋体" w:cs="Times New Roman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sz w:val="22"/>
          <w:szCs w:val="22"/>
          <w:lang w:bidi="ar"/>
        </w:rPr>
        <w:t xml:space="preserve">(F-H) Bar plots illustrating the differential abundance of specific cell subtypes within (F) T/NK cells, (G) macrophages and (H)CAFs. Proportions were compared between KRAS mutant and </w:t>
      </w:r>
      <w:r>
        <w:rPr>
          <w:rFonts w:hint="eastAsia" w:ascii="Times New Roman" w:hAnsi="Times New Roman" w:eastAsia="宋体" w:cs="Times New Roman"/>
          <w:sz w:val="22"/>
          <w:szCs w:val="22"/>
          <w:lang w:bidi="ar"/>
        </w:rPr>
        <w:t>wildtype</w:t>
      </w:r>
      <w:r>
        <w:rPr>
          <w:rFonts w:ascii="Times New Roman" w:hAnsi="Times New Roman" w:eastAsia="宋体" w:cs="Times New Roman"/>
          <w:sz w:val="22"/>
          <w:szCs w:val="22"/>
          <w:lang w:bidi="ar"/>
        </w:rPr>
        <w:t xml:space="preserve"> tumors using the chi-square test. *</w:t>
      </w:r>
      <w:r>
        <w:rPr>
          <w:rFonts w:ascii="Times New Roman" w:hAnsi="Times New Roman" w:eastAsia="宋体" w:cs="Times New Roman"/>
          <w:i/>
          <w:iCs/>
          <w:sz w:val="22"/>
          <w:szCs w:val="22"/>
          <w:lang w:bidi="ar"/>
        </w:rPr>
        <w:t>p</w:t>
      </w:r>
      <w:r>
        <w:rPr>
          <w:rFonts w:ascii="Times New Roman" w:hAnsi="Times New Roman" w:eastAsia="宋体" w:cs="Times New Roman"/>
          <w:sz w:val="22"/>
          <w:szCs w:val="22"/>
          <w:lang w:bidi="ar"/>
        </w:rPr>
        <w:t xml:space="preserve"> &lt; 0.05, **</w:t>
      </w:r>
      <w:r>
        <w:rPr>
          <w:rFonts w:ascii="Times New Roman" w:hAnsi="Times New Roman" w:eastAsia="宋体" w:cs="Times New Roman"/>
          <w:i/>
          <w:iCs/>
          <w:sz w:val="22"/>
          <w:szCs w:val="22"/>
          <w:lang w:bidi="ar"/>
        </w:rPr>
        <w:t>p</w:t>
      </w:r>
      <w:r>
        <w:rPr>
          <w:rFonts w:ascii="Times New Roman" w:hAnsi="Times New Roman" w:eastAsia="宋体" w:cs="Times New Roman"/>
          <w:sz w:val="22"/>
          <w:szCs w:val="22"/>
          <w:lang w:bidi="ar"/>
        </w:rPr>
        <w:t xml:space="preserve"> &lt; 0.01.</w:t>
      </w:r>
    </w:p>
    <w:p w14:paraId="7EAE46FE">
      <w:pPr>
        <w:rPr>
          <w:rFonts w:ascii="Times New Roman" w:hAnsi="Times New Roman" w:eastAsia="宋体" w:cs="Times New Roman"/>
          <w:sz w:val="22"/>
          <w:szCs w:val="22"/>
        </w:rPr>
      </w:pPr>
      <w:r>
        <w:rPr>
          <w:rFonts w:ascii="Times New Roman" w:hAnsi="Times New Roman" w:eastAsia="宋体" w:cs="Times New Roman"/>
          <w:sz w:val="22"/>
          <w:szCs w:val="22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2"/>
          <w:szCs w:val="22"/>
        </w:rPr>
        <w:drawing>
          <wp:inline distT="0" distB="0" distL="114300" distR="114300">
            <wp:extent cx="5327650" cy="8701405"/>
            <wp:effectExtent l="0" t="0" r="6350" b="635"/>
            <wp:docPr id="10" name="图片 10" descr="Figure 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ure S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7650" cy="870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68823">
      <w:pPr>
        <w:rPr>
          <w:rFonts w:ascii="Times New Roman" w:hAnsi="Times New Roman" w:eastAsia="宋体" w:cs="Times New Roman"/>
          <w:b/>
          <w:bCs/>
          <w:sz w:val="22"/>
          <w:szCs w:val="22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bidi="ar"/>
        </w:rPr>
        <w:t>Figure S7. Expression of Canonical Marker Genes Defining Key TME Subpopulations.</w:t>
      </w:r>
    </w:p>
    <w:p w14:paraId="6D01AF4F">
      <w:pPr>
        <w:rPr>
          <w:rFonts w:ascii="Times New Roman" w:hAnsi="Times New Roman" w:eastAsia="宋体" w:cs="Times New Roman"/>
          <w:sz w:val="22"/>
          <w:szCs w:val="22"/>
          <w:lang w:bidi="ar"/>
        </w:rPr>
      </w:pPr>
      <w:r>
        <w:rPr>
          <w:rFonts w:hint="eastAsia" w:ascii="Times New Roman" w:hAnsi="Times New Roman" w:eastAsia="宋体" w:cs="Times New Roman"/>
          <w:sz w:val="22"/>
          <w:szCs w:val="22"/>
          <w:lang w:bidi="ar"/>
        </w:rPr>
        <w:t>(A) Marker gene expression defining the identified T/NK cell subtypes.</w:t>
      </w:r>
    </w:p>
    <w:p w14:paraId="74AF48A1">
      <w:pPr>
        <w:rPr>
          <w:rFonts w:ascii="Times New Roman" w:hAnsi="Times New Roman" w:eastAsia="宋体" w:cs="Times New Roman"/>
          <w:sz w:val="22"/>
          <w:szCs w:val="22"/>
          <w:lang w:bidi="ar"/>
        </w:rPr>
      </w:pPr>
      <w:r>
        <w:rPr>
          <w:rFonts w:hint="eastAsia" w:ascii="Times New Roman" w:hAnsi="Times New Roman" w:eastAsia="宋体" w:cs="Times New Roman"/>
          <w:sz w:val="22"/>
          <w:szCs w:val="22"/>
          <w:lang w:bidi="ar"/>
        </w:rPr>
        <w:t>(B) Marker gene expression defining the eight identified CAFs subtypes.</w:t>
      </w:r>
    </w:p>
    <w:p w14:paraId="03824E17">
      <w:pPr>
        <w:rPr>
          <w:rFonts w:ascii="Times New Roman" w:hAnsi="Times New Roman" w:eastAsia="宋体" w:cs="Times New Roman"/>
          <w:sz w:val="22"/>
          <w:szCs w:val="22"/>
          <w:lang w:bidi="ar"/>
        </w:rPr>
      </w:pPr>
      <w:r>
        <w:rPr>
          <w:rFonts w:hint="eastAsia" w:ascii="Times New Roman" w:hAnsi="Times New Roman" w:eastAsia="宋体" w:cs="Times New Roman"/>
          <w:sz w:val="22"/>
          <w:szCs w:val="22"/>
          <w:lang w:bidi="ar"/>
        </w:rPr>
        <w:t>(C) Marker gene expression defining the six identified macrophage subtypes.</w:t>
      </w:r>
    </w:p>
    <w:p w14:paraId="38FA76BD">
      <w:pPr>
        <w:rPr>
          <w:rFonts w:ascii="Times New Roman" w:hAnsi="Times New Roman" w:eastAsia="宋体" w:cs="Times New Roman"/>
          <w:sz w:val="22"/>
          <w:szCs w:val="22"/>
          <w:lang w:bidi="ar"/>
        </w:rPr>
      </w:pPr>
    </w:p>
    <w:p w14:paraId="7BA9F4D7">
      <w:pPr>
        <w:rPr>
          <w:rFonts w:ascii="Times New Roman" w:hAnsi="Times New Roman" w:eastAsia="宋体" w:cs="Times New Roman"/>
          <w:sz w:val="22"/>
          <w:szCs w:val="22"/>
          <w:lang w:bidi="ar"/>
        </w:rPr>
      </w:pPr>
      <w:r>
        <w:rPr>
          <w:rFonts w:hint="eastAsia" w:ascii="Times New Roman" w:hAnsi="Times New Roman" w:eastAsia="宋体" w:cs="Times New Roman"/>
          <w:sz w:val="22"/>
          <w:szCs w:val="22"/>
          <w:lang w:bidi="ar"/>
        </w:rPr>
        <w:drawing>
          <wp:inline distT="0" distB="0" distL="114300" distR="114300">
            <wp:extent cx="6640830" cy="9024620"/>
            <wp:effectExtent l="0" t="0" r="3810" b="12700"/>
            <wp:docPr id="17" name="图片 17" descr="Figure 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igure S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902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2E78C">
      <w:pPr>
        <w:rPr>
          <w:rFonts w:ascii="Times New Roman" w:hAnsi="Times New Roman" w:eastAsia="宋体" w:cs="Times New Roman"/>
          <w:b/>
          <w:bCs/>
          <w:sz w:val="22"/>
          <w:szCs w:val="22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bidi="ar"/>
        </w:rPr>
        <w:t xml:space="preserve">Figure S8. Differential intercellular communication network between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2"/>
          <w:szCs w:val="22"/>
          <w:lang w:bidi="ar"/>
        </w:rPr>
        <w:t>KRAS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bidi="ar"/>
        </w:rPr>
        <w:t xml:space="preserve"> mutant and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2"/>
          <w:szCs w:val="22"/>
          <w:lang w:bidi="ar"/>
        </w:rPr>
        <w:t>KRAS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bidi="ar"/>
        </w:rPr>
        <w:t xml:space="preserve"> wildtype CRC. </w:t>
      </w:r>
    </w:p>
    <w:p w14:paraId="5019C10C">
      <w:pPr>
        <w:rPr>
          <w:rFonts w:ascii="Times New Roman" w:hAnsi="Times New Roman" w:eastAsia="宋体" w:cs="Times New Roman"/>
          <w:sz w:val="22"/>
          <w:szCs w:val="22"/>
          <w:lang w:bidi="ar"/>
        </w:rPr>
      </w:pPr>
      <w:r>
        <w:rPr>
          <w:rFonts w:hint="eastAsia" w:ascii="Times New Roman" w:hAnsi="Times New Roman" w:eastAsia="宋体" w:cs="Times New Roman"/>
          <w:sz w:val="22"/>
          <w:szCs w:val="22"/>
          <w:lang w:bidi="ar"/>
        </w:rPr>
        <w:t xml:space="preserve">Heatmaps illustrating the differential communication strength (top panel) and number of interactions (bottom panel) between the two conditions at a fine-resolution cell typing. Rows and columns correspond to sender and receiver cell populations, respectively. Red indicates communication enriched in </w:t>
      </w:r>
      <w:r>
        <w:rPr>
          <w:rFonts w:hint="eastAsia" w:ascii="Times New Roman" w:hAnsi="Times New Roman" w:eastAsia="宋体" w:cs="Times New Roman"/>
          <w:i/>
          <w:iCs/>
          <w:sz w:val="22"/>
          <w:szCs w:val="22"/>
          <w:lang w:bidi="ar"/>
        </w:rPr>
        <w:t>KRAS</w:t>
      </w:r>
      <w:r>
        <w:rPr>
          <w:rFonts w:hint="eastAsia" w:ascii="Times New Roman" w:hAnsi="Times New Roman" w:eastAsia="宋体" w:cs="Times New Roman"/>
          <w:sz w:val="22"/>
          <w:szCs w:val="22"/>
          <w:lang w:bidi="ar"/>
        </w:rPr>
        <w:t xml:space="preserve"> mutant CRC, while blue indicates communication enriched in </w:t>
      </w:r>
      <w:r>
        <w:rPr>
          <w:rFonts w:hint="eastAsia" w:ascii="Times New Roman" w:hAnsi="Times New Roman" w:eastAsia="宋体" w:cs="Times New Roman"/>
          <w:i/>
          <w:iCs/>
          <w:sz w:val="22"/>
          <w:szCs w:val="22"/>
          <w:lang w:bidi="ar"/>
        </w:rPr>
        <w:t xml:space="preserve">KRAS </w:t>
      </w:r>
      <w:r>
        <w:rPr>
          <w:rFonts w:hint="eastAsia" w:ascii="Times New Roman" w:hAnsi="Times New Roman" w:eastAsia="宋体" w:cs="Times New Roman"/>
          <w:sz w:val="22"/>
          <w:szCs w:val="22"/>
          <w:lang w:bidi="ar"/>
        </w:rPr>
        <w:t>wildtype CRC.</w:t>
      </w:r>
    </w:p>
    <w:p w14:paraId="070FC560">
      <w:pPr>
        <w:rPr>
          <w:rFonts w:ascii="Times New Roman" w:hAnsi="Times New Roman" w:eastAsia="宋体" w:cs="Times New Roman"/>
          <w:sz w:val="22"/>
          <w:szCs w:val="22"/>
          <w:lang w:bidi="ar"/>
        </w:rPr>
      </w:pPr>
      <w:r>
        <w:rPr>
          <w:rFonts w:hint="eastAsia" w:ascii="Times New Roman" w:hAnsi="Times New Roman" w:eastAsia="宋体" w:cs="Times New Roman"/>
          <w:sz w:val="22"/>
          <w:szCs w:val="22"/>
          <w:lang w:bidi="ar"/>
        </w:rPr>
        <w:drawing>
          <wp:inline distT="0" distB="0" distL="114300" distR="114300">
            <wp:extent cx="5292725" cy="4356735"/>
            <wp:effectExtent l="0" t="0" r="10795" b="1905"/>
            <wp:docPr id="9" name="图片 9" descr="Figure 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ure S7"/>
                    <pic:cNvPicPr>
                      <a:picLocks noChangeAspect="1"/>
                    </pic:cNvPicPr>
                  </pic:nvPicPr>
                  <pic:blipFill>
                    <a:blip r:embed="rId12"/>
                    <a:srcRect l="18476" t="8312"/>
                    <a:stretch>
                      <a:fillRect/>
                    </a:stretch>
                  </pic:blipFill>
                  <pic:spPr>
                    <a:xfrm>
                      <a:off x="0" y="0"/>
                      <a:ext cx="5292725" cy="435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3A974">
      <w:pPr>
        <w:rPr>
          <w:rFonts w:ascii="Times New Roman" w:hAnsi="Times New Roman" w:eastAsia="宋体" w:cs="Times New Roman"/>
          <w:b/>
          <w:bCs/>
          <w:sz w:val="22"/>
          <w:szCs w:val="22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bidi="ar"/>
        </w:rPr>
        <w:t xml:space="preserve">Figure S9.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2"/>
          <w:szCs w:val="22"/>
          <w:lang w:bidi="ar"/>
        </w:rPr>
        <w:t>KRAS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bidi="ar"/>
        </w:rPr>
        <w:t xml:space="preserve"> mutation remodels the intercellular communication network in the tumor microenvironment.</w:t>
      </w:r>
    </w:p>
    <w:p w14:paraId="245875BF">
      <w:pPr>
        <w:rPr>
          <w:rFonts w:ascii="Times New Roman" w:hAnsi="Times New Roman" w:eastAsia="宋体" w:cs="Times New Roman"/>
          <w:sz w:val="22"/>
          <w:szCs w:val="22"/>
          <w:lang w:bidi="ar"/>
        </w:rPr>
      </w:pPr>
      <w:r>
        <w:rPr>
          <w:rFonts w:hint="eastAsia" w:ascii="Times New Roman" w:hAnsi="Times New Roman" w:eastAsia="宋体" w:cs="Times New Roman"/>
          <w:sz w:val="22"/>
          <w:szCs w:val="22"/>
          <w:lang w:bidi="ar"/>
        </w:rPr>
        <w:t xml:space="preserve">(A, B) Heatmaps showing the differential number of interactions (A) and interaction strength (B) between the </w:t>
      </w:r>
      <w:r>
        <w:rPr>
          <w:rFonts w:hint="eastAsia" w:ascii="Times New Roman" w:hAnsi="Times New Roman" w:eastAsia="宋体" w:cs="Times New Roman"/>
          <w:i/>
          <w:iCs/>
          <w:sz w:val="22"/>
          <w:szCs w:val="22"/>
          <w:lang w:bidi="ar"/>
        </w:rPr>
        <w:t xml:space="preserve">KRAS </w:t>
      </w:r>
      <w:r>
        <w:rPr>
          <w:rFonts w:hint="eastAsia" w:ascii="Times New Roman" w:hAnsi="Times New Roman" w:eastAsia="宋体" w:cs="Times New Roman"/>
          <w:sz w:val="22"/>
          <w:szCs w:val="22"/>
          <w:lang w:bidi="ar"/>
        </w:rPr>
        <w:t xml:space="preserve">mutant (red, increased) and </w:t>
      </w:r>
      <w:r>
        <w:rPr>
          <w:rFonts w:hint="eastAsia" w:ascii="Times New Roman" w:hAnsi="Times New Roman" w:eastAsia="宋体" w:cs="Times New Roman"/>
          <w:i/>
          <w:iCs/>
          <w:sz w:val="22"/>
          <w:szCs w:val="22"/>
          <w:lang w:bidi="ar"/>
        </w:rPr>
        <w:t>KRAS</w:t>
      </w:r>
      <w:r>
        <w:rPr>
          <w:rFonts w:hint="eastAsia" w:ascii="Times New Roman" w:hAnsi="Times New Roman" w:eastAsia="宋体" w:cs="Times New Roman"/>
          <w:sz w:val="22"/>
          <w:szCs w:val="22"/>
          <w:lang w:bidi="ar"/>
        </w:rPr>
        <w:t xml:space="preserve"> wildtype (blue, increased) conditions. Rows and columns represent sender and receiver cell populations, respectively.</w:t>
      </w:r>
    </w:p>
    <w:p w14:paraId="70A9F97A">
      <w:pPr>
        <w:rPr>
          <w:rFonts w:ascii="Times New Roman" w:hAnsi="Times New Roman" w:eastAsia="宋体" w:cs="Times New Roman"/>
          <w:sz w:val="22"/>
          <w:szCs w:val="22"/>
          <w:lang w:bidi="ar"/>
        </w:rPr>
      </w:pPr>
      <w:r>
        <w:rPr>
          <w:rFonts w:hint="eastAsia" w:ascii="Times New Roman" w:hAnsi="Times New Roman" w:eastAsia="宋体" w:cs="Times New Roman"/>
          <w:sz w:val="22"/>
          <w:szCs w:val="22"/>
          <w:lang w:bidi="ar"/>
        </w:rPr>
        <w:t xml:space="preserve">(C, D) Network centrality analysis of the CXCL (C) and VEGF (D) signaling pathways, comparing </w:t>
      </w:r>
      <w:r>
        <w:rPr>
          <w:rFonts w:hint="eastAsia" w:ascii="Times New Roman" w:hAnsi="Times New Roman" w:eastAsia="宋体" w:cs="Times New Roman"/>
          <w:i/>
          <w:iCs/>
          <w:sz w:val="22"/>
          <w:szCs w:val="22"/>
          <w:lang w:bidi="ar"/>
        </w:rPr>
        <w:t xml:space="preserve">KRAS </w:t>
      </w:r>
      <w:r>
        <w:rPr>
          <w:rFonts w:hint="eastAsia" w:ascii="Times New Roman" w:hAnsi="Times New Roman" w:eastAsia="宋体" w:cs="Times New Roman"/>
          <w:sz w:val="22"/>
          <w:szCs w:val="22"/>
          <w:lang w:bidi="ar"/>
        </w:rPr>
        <w:t>wildtype (top) and mutant (bottom) conditions. Bar plots show the importance scores of each cell type in their respective roles as Senders, Receivers, Mediators, and Influencers within each pathway.</w:t>
      </w:r>
    </w:p>
    <w:p w14:paraId="403821C0">
      <w:pPr>
        <w:rPr>
          <w:rFonts w:hint="eastAsia" w:ascii="Times New Roman" w:hAnsi="Times New Roman" w:eastAsia="宋体" w:cs="Times New Roman"/>
          <w:b w:val="0"/>
          <w:bCs w:val="0"/>
          <w:i/>
          <w:iCs/>
          <w:kern w:val="2"/>
          <w:sz w:val="22"/>
          <w:szCs w:val="22"/>
          <w:lang w:val="en-US" w:eastAsia="zh-CN" w:bidi="ar"/>
        </w:rPr>
      </w:pPr>
      <w:bookmarkStart w:id="0" w:name="_GoBack"/>
      <w:bookmarkEnd w:id="0"/>
      <w:r>
        <w:rPr>
          <w:rFonts w:ascii="Times New Roman" w:hAnsi="Times New Roman" w:eastAsia="宋体" w:cs="Times New Roman"/>
          <w:color w:val="auto"/>
          <w:sz w:val="22"/>
          <w:szCs w:val="22"/>
          <w:lang w:bidi="ar"/>
        </w:rPr>
        <w:t xml:space="preserve">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CE0AFA"/>
    <w:rsid w:val="07224C2D"/>
    <w:rsid w:val="07CE0AFA"/>
    <w:rsid w:val="07D22EC6"/>
    <w:rsid w:val="0D911039"/>
    <w:rsid w:val="0DD65F6E"/>
    <w:rsid w:val="0EF62DD1"/>
    <w:rsid w:val="162C5A71"/>
    <w:rsid w:val="19905EEA"/>
    <w:rsid w:val="1A4F639C"/>
    <w:rsid w:val="1B9413C8"/>
    <w:rsid w:val="1C1B1672"/>
    <w:rsid w:val="1CAF1CF2"/>
    <w:rsid w:val="21A928A4"/>
    <w:rsid w:val="249D4DB5"/>
    <w:rsid w:val="25832DFE"/>
    <w:rsid w:val="36D4453E"/>
    <w:rsid w:val="375571F4"/>
    <w:rsid w:val="39BA18C5"/>
    <w:rsid w:val="3CE74561"/>
    <w:rsid w:val="3F7A1758"/>
    <w:rsid w:val="454B477C"/>
    <w:rsid w:val="467D270B"/>
    <w:rsid w:val="46C22F41"/>
    <w:rsid w:val="48C77E38"/>
    <w:rsid w:val="4B931658"/>
    <w:rsid w:val="4D8F74EC"/>
    <w:rsid w:val="4DAB3F2C"/>
    <w:rsid w:val="4DC112FA"/>
    <w:rsid w:val="4E2F4034"/>
    <w:rsid w:val="4FCA73EA"/>
    <w:rsid w:val="505A738F"/>
    <w:rsid w:val="52BA262F"/>
    <w:rsid w:val="57323268"/>
    <w:rsid w:val="60065292"/>
    <w:rsid w:val="64451B72"/>
    <w:rsid w:val="64A8121C"/>
    <w:rsid w:val="699A2F00"/>
    <w:rsid w:val="6EC25149"/>
    <w:rsid w:val="6EFA2466"/>
    <w:rsid w:val="71A14AE8"/>
    <w:rsid w:val="755D39C4"/>
    <w:rsid w:val="77586705"/>
    <w:rsid w:val="7798738C"/>
    <w:rsid w:val="78AF7FF3"/>
    <w:rsid w:val="79573A75"/>
    <w:rsid w:val="795D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em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w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wmf"/><Relationship Id="rId11" Type="http://schemas.openxmlformats.org/officeDocument/2006/relationships/image" Target="media/image8.em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758</Words>
  <Characters>4662</Characters>
  <Lines>0</Lines>
  <Paragraphs>0</Paragraphs>
  <TotalTime>0</TotalTime>
  <ScaleCrop>false</ScaleCrop>
  <LinksUpToDate>false</LinksUpToDate>
  <CharactersWithSpaces>5394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2025-10-23T20:59:00Z</dcterms:created>
  <dc:creator>tt</dc:creator>
  <cp:lastModifiedBy>tt</cp:lastModifiedBy>
  <dcterms:modified xsi:type="dcterms:W3CDTF">2026-08-03T18:00:46Z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016A07A2D6AF41228C75328F1181C2AE_11</vt:lpwstr>
  </property>
  <property fmtid="{D5CDD505-2E9C-101B-9397-08002B2CF9AE}" pid="4" name="KSOTemplateDocerSaveRecord">
    <vt:lpwstr>eyJoZGlkIjoiYTQxNTgzMzQwZGZmM2U0OGI4YzIzMDE3ZTAyYWIxZGQiLCJ1c2VySWQiOiIyNjExMzIyODAifQ==</vt:lpwstr>
  </property>
</Properties>
</file>