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6D105">
      <w:pPr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67960" cy="4607560"/>
            <wp:effectExtent l="0" t="0" r="5080" b="10160"/>
            <wp:docPr id="1" name="图片 1" descr="sFig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Fig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60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DA863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Supplementary Figure 1. Batch-correction diagnostics and single-cell integration quality assessment.</w:t>
      </w:r>
    </w:p>
    <w:p w14:paraId="4B3C8BB4">
      <w:pPr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A. PCA plots showing the distribution of TCGA and GTEx bulk RNA-seq samples before and after ComBat batch correction. TCGA samples are shown as red squares, and GTEx samples are shown as cyan circles.</w:t>
      </w:r>
    </w:p>
    <w:p w14:paraId="7E5449ED">
      <w:pPr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B. t-SNE visualization of the integrated scRNA-seq dataset, showing cells from four public datasets.</w:t>
      </w:r>
    </w:p>
    <w:p w14:paraId="760F9B9F">
      <w:pPr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C. t-SNE visualization stratified by tissue type and clinical stage.</w:t>
      </w:r>
    </w:p>
    <w:p w14:paraId="19BEE451">
      <w:pPr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D. t-SNE visualization of annotated major cell lineages.</w:t>
      </w:r>
    </w:p>
    <w:p w14:paraId="33C87C45">
      <w:pPr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E. Density maps of representative canonical markers, including EPCAM, CD3D, LYZ, MZB1, MS4A1, COL1A2, VWF, and CPA3, supporting the major cell-type annotations.</w:t>
      </w:r>
    </w:p>
    <w:p w14:paraId="36E1D2F7">
      <w:pPr>
        <w:rPr>
          <w:rFonts w:hint="default" w:ascii="Times New Roman" w:hAnsi="Times New Roman" w:cs="Times New Roman"/>
          <w:b/>
          <w:bCs/>
        </w:rPr>
      </w:pPr>
    </w:p>
    <w:p w14:paraId="24C4C092">
      <w:pPr>
        <w:rPr>
          <w:rFonts w:hint="eastAsia" w:ascii="Times New Roman" w:hAnsi="Times New Roman" w:cs="Times New Roman" w:eastAsiaTheme="minorEastAsia"/>
          <w:b/>
          <w:bCs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lang w:eastAsia="zh-CN"/>
        </w:rPr>
        <w:drawing>
          <wp:inline distT="0" distB="0" distL="114300" distR="114300">
            <wp:extent cx="5267960" cy="7068820"/>
            <wp:effectExtent l="0" t="0" r="5080" b="2540"/>
            <wp:docPr id="6" name="图片 6" descr="sFig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Fig.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06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7A003">
      <w:pPr>
        <w:rPr>
          <w:rFonts w:hint="eastAsia" w:ascii="Times New Roman" w:hAnsi="Times New Roman" w:cs="Times New Roman" w:eastAsiaTheme="minorEastAsia"/>
          <w:b/>
          <w:bCs/>
          <w:lang w:eastAsia="zh-CN"/>
        </w:rPr>
      </w:pPr>
      <w:r>
        <w:rPr>
          <w:rFonts w:hint="default" w:ascii="Times New Roman" w:hAnsi="Times New Roman" w:cs="Times New Roman"/>
          <w:b/>
          <w:bCs/>
        </w:rPr>
        <w:t>Supplementary Figure 2. Independent scRNA-seq validation of epithelial transcriptional states and multivariable Cox regression analysis of Epi_4 signature in CRC cohorts.</w:t>
      </w:r>
    </w:p>
    <w:p w14:paraId="35E98B1A">
      <w:pPr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A. UMAP visualization of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87039</w:t>
      </w:r>
      <w:r>
        <w:rPr>
          <w:rFonts w:hint="default" w:ascii="Times New Roman" w:hAnsi="Times New Roman" w:cs="Times New Roman"/>
          <w:b w:val="0"/>
          <w:bCs w:val="0"/>
        </w:rPr>
        <w:t xml:space="preserve"> cells from an independent CRC scRNA-seq validation dataset, colored by dataset source.</w:t>
      </w:r>
    </w:p>
    <w:p w14:paraId="2A69C730">
      <w:pPr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B. UMAP visualization showing major cell-type annotations in the independent validation dataset.</w:t>
      </w:r>
    </w:p>
    <w:p w14:paraId="597D5D49">
      <w:pPr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C. Heatmap showing the expression of canonical marker genes used to annotate major cell types in the independent validation dataset.</w:t>
      </w:r>
    </w:p>
    <w:p w14:paraId="0F5CCD3A">
      <w:pPr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D. t-SNE visualization of tumor epithelial cells reclustered into 10 clusters, labeled C1–C10.</w:t>
      </w:r>
    </w:p>
    <w:p w14:paraId="414BF5C2">
      <w:pPr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E. Heatmap showing the signature scores of the original Epi_1–Epi_11 epithelial subsets across the independent C1–C10 epithelial clusters. Signature scores were calculated using the top marker genes from each original epithelial subset.</w:t>
      </w:r>
    </w:p>
    <w:p w14:paraId="726F128F">
      <w:pPr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F. Forest plots showing hazard ratios (HRs), 95% confidence intervals (CIs), and P values for Epi_4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 xml:space="preserve"> signature</w:t>
      </w:r>
      <w:r>
        <w:rPr>
          <w:rFonts w:hint="default" w:ascii="Times New Roman" w:hAnsi="Times New Roman" w:cs="Times New Roman"/>
          <w:b w:val="0"/>
          <w:bCs w:val="0"/>
        </w:rPr>
        <w:t>, age, stage, and gender in multivariable Cox regression models for OS and RFS in the Bc_1 and Bc_2 cohorts. Models were adjusted for age, stage, and gender. The vertical dashed line indicates HR = 1, and HR &gt; 1 indicates increased risk.</w:t>
      </w:r>
    </w:p>
    <w:p w14:paraId="19C48801">
      <w:pPr>
        <w:rPr>
          <w:rFonts w:hint="default" w:ascii="Times New Roman" w:hAnsi="Times New Roman" w:cs="Times New Roman"/>
          <w:b/>
          <w:bCs/>
        </w:rPr>
      </w:pPr>
    </w:p>
    <w:p w14:paraId="4B280293">
      <w:pPr>
        <w:rPr>
          <w:rFonts w:hint="eastAsia" w:ascii="Times New Roman" w:hAnsi="Times New Roman" w:cs="Times New Roman" w:eastAsiaTheme="minorEastAsia"/>
          <w:b/>
          <w:bCs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lang w:eastAsia="zh-CN"/>
        </w:rPr>
        <w:drawing>
          <wp:inline distT="0" distB="0" distL="114300" distR="114300">
            <wp:extent cx="5274310" cy="2518410"/>
            <wp:effectExtent l="0" t="0" r="13970" b="11430"/>
            <wp:docPr id="3" name="图片 3" descr="sFig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Fig.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4F015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Supplementary Figure 3. Validation of FOSL1 binding to the GPRC5A promoter and a positive-control target in LoVo cells.</w:t>
      </w:r>
    </w:p>
    <w:p w14:paraId="38197493">
      <w:pPr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ChIP-qPCR analysis showing FOSL1 enrichment at predicted binding sites within the GPRC5A promoter and at a positive-control target locus in LoVo cells. IgG was used as the negative control. Results are presented as percentage of input. Data are shown 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</w:rPr>
        <w:t>as mean ± SD. *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**</w:t>
      </w:r>
      <w:r>
        <w:rPr>
          <w:rFonts w:hint="default" w:ascii="Times New Roman" w:hAnsi="Times New Roman" w:cs="Times New Roman"/>
          <w:b w:val="0"/>
          <w:bCs w:val="0"/>
        </w:rPr>
        <w:t>P &lt; 0.001; ns, not significant.</w:t>
      </w:r>
    </w:p>
    <w:p w14:paraId="7A94F330">
      <w:pPr>
        <w:rPr>
          <w:rFonts w:hint="default" w:ascii="Times New Roman" w:hAnsi="Times New Roman" w:cs="Times New Roman"/>
          <w:b/>
          <w:bCs/>
        </w:rPr>
      </w:pPr>
    </w:p>
    <w:p w14:paraId="75E86190">
      <w:pPr>
        <w:rPr>
          <w:rFonts w:hint="eastAsia" w:ascii="Times New Roman" w:hAnsi="Times New Roman" w:cs="Times New Roman" w:eastAsiaTheme="minorEastAsia"/>
          <w:b/>
          <w:bCs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lang w:eastAsia="zh-CN"/>
        </w:rPr>
        <w:drawing>
          <wp:inline distT="0" distB="0" distL="114300" distR="114300">
            <wp:extent cx="5268595" cy="1220470"/>
            <wp:effectExtent l="0" t="0" r="4445" b="13970"/>
            <wp:docPr id="4" name="图片 4" descr="sFig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Fig.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22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39FCE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</w:rPr>
        <w:t>. Individual-channel multiplex immunofluorescence images of GPRC5A and POSTN in CRC tissue.</w:t>
      </w:r>
    </w:p>
    <w:p w14:paraId="5ADF868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Representative DAPI, GPRC5A, and POSTN single-channel images are shown to support the co-localization assessment presented in Figure 7F. Scale bars, 50 μm.</w:t>
      </w:r>
    </w:p>
    <w:p w14:paraId="512ED02D">
      <w:pPr>
        <w:rPr>
          <w:rFonts w:hint="default" w:ascii="Times New Roman" w:hAnsi="Times New Roman" w:cs="Times New Roman"/>
        </w:rPr>
      </w:pPr>
    </w:p>
    <w:p w14:paraId="03CE0AF2">
      <w:pPr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67960" cy="3246120"/>
            <wp:effectExtent l="0" t="0" r="5080" b="0"/>
            <wp:docPr id="5" name="图片 5" descr="sFig.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Fig.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AA8EF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</w:rPr>
        <w:t>. Multivariable Cox regression analysis of the POSTN⁺Fib_high–GPRC5A⁺Epi_high group in CRC cohorts.</w:t>
      </w:r>
    </w:p>
    <w:p w14:paraId="5B642C0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Forest plots showing hazard ratios (HRs), 95% confidence intervals (CIs), and P values for the POSTN⁺Fib_high–GPRC5A⁺Epi_high group and clinical covariates in multivariable Cox regression models for OS and RFS in the Bc_1 and Bc_2 cohorts. Models were adjusted for age, stage, and gender. The POSTN⁺Fib_low–GPRC5A⁺Epi_low group was used as the reference group. The vertical dashed line indicates HR = 1. HR &gt; 1 indicates increased risk.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B47EA"/>
    <w:rsid w:val="12C0739F"/>
    <w:rsid w:val="12D746E8"/>
    <w:rsid w:val="24007861"/>
    <w:rsid w:val="31CC4FC0"/>
    <w:rsid w:val="359009FB"/>
    <w:rsid w:val="3B4A10A0"/>
    <w:rsid w:val="3E8064E0"/>
    <w:rsid w:val="4D045566"/>
    <w:rsid w:val="543C37EC"/>
    <w:rsid w:val="68FE51D1"/>
    <w:rsid w:val="6C0619F4"/>
    <w:rsid w:val="6CB423CE"/>
    <w:rsid w:val="6D714693"/>
    <w:rsid w:val="724B27C2"/>
    <w:rsid w:val="7A5275FA"/>
    <w:rsid w:val="7C61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455</Words>
  <Characters>2680</Characters>
  <Lines>0</Lines>
  <Paragraphs>0</Paragraphs>
  <TotalTime>162</TotalTime>
  <ScaleCrop>false</ScaleCrop>
  <LinksUpToDate>false</LinksUpToDate>
  <CharactersWithSpaces>3116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2026-06-12T17:46:00Z</dcterms:created>
  <dc:creator>a6458</dc:creator>
  <cp:lastModifiedBy>Hss</cp:lastModifiedBy>
  <dcterms:modified xsi:type="dcterms:W3CDTF">2026-06-28T12:09:29Z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eyJoZGlkIjoiM2JkMWJjNDVjMGE4ZmZiN2M5NTg0ZGQyYzg5MjkwYjMiLCJ1c2VySWQiOiI1MzQyMTkzMTgifQ==</vt:lpwstr>
  </property>
  <property fmtid="{D5CDD505-2E9C-101B-9397-08002B2CF9AE}" pid="4" name="ICV">
    <vt:lpwstr>4C4F3DA7C5F24BF789AF0B3078D61860_12</vt:lpwstr>
  </property>
</Properties>
</file>