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83907A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. GPRC5A sg sequence.</w:t>
      </w:r>
    </w:p>
    <w:tbl>
      <w:tblPr>
        <w:tblStyle w:val="2"/>
        <w:tblW w:w="2928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3550"/>
      </w:tblGrid>
      <w:tr w14:paraId="38D76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B8F1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ID</w:t>
            </w:r>
          </w:p>
        </w:tc>
        <w:tc>
          <w:tcPr>
            <w:tcW w:w="195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E6E37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Sequence (5′→3′)</w:t>
            </w:r>
          </w:p>
        </w:tc>
      </w:tr>
      <w:tr w14:paraId="33476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BA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sg_NC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8D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GCACTACCAGAGCTAACTCA</w:t>
            </w:r>
          </w:p>
        </w:tc>
      </w:tr>
      <w:tr w14:paraId="16AC6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DB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sg_1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74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CCATCCCACGGGCCCACGCT</w:t>
            </w:r>
          </w:p>
        </w:tc>
      </w:tr>
      <w:tr w14:paraId="4FDD0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34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sg_2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A6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TACCTGCAGCTGAAAATGTG</w:t>
            </w:r>
          </w:p>
        </w:tc>
      </w:tr>
      <w:tr w14:paraId="1B808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6DB6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sg_3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424E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CAACTCGTGAAGAAGAGCTA</w:t>
            </w:r>
          </w:p>
        </w:tc>
      </w:tr>
    </w:tbl>
    <w:p w14:paraId="1CB4C304">
      <w:pPr>
        <w:rPr>
          <w:rFonts w:hint="default" w:ascii="Times New Roman" w:hAnsi="Times New Roman" w:cs="Times New Roman"/>
          <w:sz w:val="28"/>
          <w:szCs w:val="28"/>
        </w:rPr>
      </w:pPr>
    </w:p>
    <w:p w14:paraId="1AA24C8B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. Primer Sequences for ChIP-qPCR Targeting Predicted FOSL1 Binding Sites in the GPRC5A Promoter.</w:t>
      </w:r>
    </w:p>
    <w:tbl>
      <w:tblPr>
        <w:tblStyle w:val="2"/>
        <w:tblW w:w="4999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9"/>
        <w:gridCol w:w="3066"/>
        <w:gridCol w:w="3077"/>
      </w:tblGrid>
      <w:tr w14:paraId="206DF60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6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6E97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Motif Site (Sequence)</w:t>
            </w:r>
          </w:p>
        </w:tc>
        <w:tc>
          <w:tcPr>
            <w:tcW w:w="1622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5B3A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Forward Primer (5′→3′)</w:t>
            </w:r>
          </w:p>
        </w:tc>
        <w:tc>
          <w:tcPr>
            <w:tcW w:w="2120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1F53A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Reverse Primer (5′→3′)</w:t>
            </w:r>
          </w:p>
        </w:tc>
      </w:tr>
      <w:tr w14:paraId="024272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6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8989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Site1 (TGTGAGCCAGC)</w:t>
            </w:r>
          </w:p>
        </w:tc>
        <w:tc>
          <w:tcPr>
            <w:tcW w:w="1622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B50F5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ATCACGCTCAAACCGCCTAG</w:t>
            </w:r>
          </w:p>
        </w:tc>
        <w:tc>
          <w:tcPr>
            <w:tcW w:w="2120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8FFD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CTTGGACCGATATTGCACGA</w:t>
            </w:r>
          </w:p>
        </w:tc>
      </w:tr>
      <w:tr w14:paraId="05074D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C3C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Site2 (TGTGAGGCAGC)</w:t>
            </w:r>
          </w:p>
        </w:tc>
        <w:tc>
          <w:tcPr>
            <w:tcW w:w="16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55E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CTCAAAAGACCAGCCACCAG</w:t>
            </w:r>
          </w:p>
        </w:tc>
        <w:tc>
          <w:tcPr>
            <w:tcW w:w="21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F94B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GCAAGAATGGATCAACGAAC</w:t>
            </w:r>
          </w:p>
        </w:tc>
      </w:tr>
      <w:tr w14:paraId="0283C4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33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Site3 (GCTGGCTCATG)</w:t>
            </w:r>
          </w:p>
        </w:tc>
        <w:tc>
          <w:tcPr>
            <w:tcW w:w="16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853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GGGGCATAATGAAGGCCTGA</w:t>
            </w:r>
          </w:p>
        </w:tc>
        <w:tc>
          <w:tcPr>
            <w:tcW w:w="21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55A3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CGGCTATGTCCTTAGGTTGA</w:t>
            </w:r>
          </w:p>
        </w:tc>
      </w:tr>
      <w:tr w14:paraId="6E9759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B7C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Site4 (TGTGGCTCACG)</w:t>
            </w:r>
          </w:p>
        </w:tc>
        <w:tc>
          <w:tcPr>
            <w:tcW w:w="16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92C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AGGGTAGTGCAGCATTCCCG</w:t>
            </w:r>
          </w:p>
        </w:tc>
        <w:tc>
          <w:tcPr>
            <w:tcW w:w="21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3E4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AACGATGGAAGGCGGGTTTT</w:t>
            </w:r>
          </w:p>
        </w:tc>
      </w:tr>
      <w:tr w14:paraId="1B8757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13E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Site5 (TGTGAGTTAGA)</w:t>
            </w:r>
          </w:p>
        </w:tc>
        <w:tc>
          <w:tcPr>
            <w:tcW w:w="16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A0CC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GTCATTACGGTTTGGTCCTG</w:t>
            </w:r>
          </w:p>
        </w:tc>
        <w:tc>
          <w:tcPr>
            <w:tcW w:w="21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234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GTATAGCTAGGCGAGACAGT</w:t>
            </w:r>
          </w:p>
        </w:tc>
      </w:tr>
      <w:tr w14:paraId="2123EC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1A0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Positive control target</w:t>
            </w:r>
          </w:p>
        </w:tc>
        <w:tc>
          <w:tcPr>
            <w:tcW w:w="16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D6D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ACCCTCTCTTCTCCTCCCTG</w:t>
            </w:r>
          </w:p>
        </w:tc>
        <w:tc>
          <w:tcPr>
            <w:tcW w:w="21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DEE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CAGGCTCACCAAGGTACAGG</w:t>
            </w:r>
          </w:p>
        </w:tc>
      </w:tr>
    </w:tbl>
    <w:p w14:paraId="49177BD3">
      <w:pPr>
        <w:rPr>
          <w:rFonts w:hint="default" w:ascii="Times New Roman" w:hAnsi="Times New Roman" w:cs="Times New Roman"/>
          <w:sz w:val="28"/>
          <w:szCs w:val="28"/>
        </w:rPr>
      </w:pPr>
    </w:p>
    <w:p w14:paraId="594338B8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. siRNA Sequences Targeting Human FOSL1 for Gene Silencing Assays.</w:t>
      </w:r>
    </w:p>
    <w:tbl>
      <w:tblPr>
        <w:tblStyle w:val="2"/>
        <w:tblW w:w="6312" w:type="dxa"/>
        <w:tblInd w:w="96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1423"/>
        <w:gridCol w:w="3900"/>
      </w:tblGrid>
      <w:tr w14:paraId="5A515A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89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F37D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Gene</w:t>
            </w:r>
          </w:p>
        </w:tc>
        <w:tc>
          <w:tcPr>
            <w:tcW w:w="142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D348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siRNA ID</w:t>
            </w:r>
          </w:p>
        </w:tc>
        <w:tc>
          <w:tcPr>
            <w:tcW w:w="390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12BCD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Sequence (5′→3′)</w:t>
            </w:r>
          </w:p>
        </w:tc>
      </w:tr>
      <w:tr w14:paraId="6C9E9B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DEB77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FOSL1</w:t>
            </w:r>
          </w:p>
        </w:tc>
        <w:tc>
          <w:tcPr>
            <w:tcW w:w="142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5D6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siRNA_1</w:t>
            </w:r>
          </w:p>
        </w:tc>
        <w:tc>
          <w:tcPr>
            <w:tcW w:w="390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9AF8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CTAGTAGGCAATCGAAGATCC</w:t>
            </w:r>
          </w:p>
        </w:tc>
      </w:tr>
      <w:tr w14:paraId="7D831F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8CBA5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BC3E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siRNA_2</w:t>
            </w:r>
          </w:p>
        </w:tc>
        <w:tc>
          <w:tcPr>
            <w:tcW w:w="3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DFE4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CATTCTTCTATCAGCCTCACC</w:t>
            </w:r>
          </w:p>
        </w:tc>
      </w:tr>
      <w:tr w14:paraId="373A14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4438B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11C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siRNA_3</w:t>
            </w:r>
          </w:p>
        </w:tc>
        <w:tc>
          <w:tcPr>
            <w:tcW w:w="3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9740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TGTTCTGGCATGCTCGCCTAC</w:t>
            </w:r>
          </w:p>
        </w:tc>
      </w:tr>
    </w:tbl>
    <w:p w14:paraId="63623EA7">
      <w:pPr>
        <w:rPr>
          <w:rFonts w:hint="default" w:ascii="Times New Roman" w:hAnsi="Times New Roman" w:cs="Times New Roman"/>
          <w:sz w:val="28"/>
          <w:szCs w:val="28"/>
        </w:rPr>
      </w:pPr>
    </w:p>
    <w:p w14:paraId="37336824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Supplementary Table 4. Clinicopathological characteristics and GPRC5A H-scores in the in-house CRC cohort.</w:t>
      </w:r>
    </w:p>
    <w:tbl>
      <w:tblPr>
        <w:tblStyle w:val="2"/>
        <w:tblW w:w="8932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725"/>
        <w:gridCol w:w="1020"/>
        <w:gridCol w:w="1517"/>
        <w:gridCol w:w="2402"/>
        <w:gridCol w:w="2052"/>
      </w:tblGrid>
      <w:tr w14:paraId="48FDC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B37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PatientID</w:t>
            </w:r>
          </w:p>
        </w:tc>
        <w:tc>
          <w:tcPr>
            <w:tcW w:w="7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249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C64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Sex</w:t>
            </w: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E64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TNM_Stage</w:t>
            </w:r>
          </w:p>
        </w:tc>
        <w:tc>
          <w:tcPr>
            <w:tcW w:w="24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B693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H-score_Tumor</w:t>
            </w:r>
          </w:p>
        </w:tc>
        <w:tc>
          <w:tcPr>
            <w:tcW w:w="205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7922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H-score_Normal</w:t>
            </w:r>
          </w:p>
        </w:tc>
      </w:tr>
      <w:tr w14:paraId="1B5D2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F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</w:t>
            </w:r>
          </w:p>
        </w:tc>
        <w:tc>
          <w:tcPr>
            <w:tcW w:w="72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42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1D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95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</w:p>
        </w:tc>
        <w:tc>
          <w:tcPr>
            <w:tcW w:w="240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4D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7E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</w:tr>
      <w:tr w14:paraId="29AA8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0B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60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ED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2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5B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0D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</w:tr>
      <w:tr w14:paraId="3755D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79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DC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5E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D2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2F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23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</w:tr>
      <w:tr w14:paraId="5A67E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84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A1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DE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3E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15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48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</w:tr>
      <w:tr w14:paraId="17C02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50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FE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DB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4D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22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C5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 w14:paraId="276AC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5D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82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33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6F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59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67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</w:tr>
      <w:tr w14:paraId="66A82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18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79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34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59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75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A7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</w:tr>
      <w:tr w14:paraId="54B75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E2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0D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54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80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2E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57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</w:tr>
      <w:tr w14:paraId="06B22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B5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94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13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F7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37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A5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</w:tr>
      <w:tr w14:paraId="0F611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6E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66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16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5A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E9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20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</w:tr>
      <w:tr w14:paraId="165C5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F4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5C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A4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5F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BC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4E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</w:tr>
      <w:tr w14:paraId="4F1D6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54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2B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22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3A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4D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69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</w:tr>
      <w:tr w14:paraId="15CBC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27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65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92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EC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C5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9A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</w:tr>
      <w:tr w14:paraId="2064F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6B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F7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E2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C4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E9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C7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</w:tr>
      <w:tr w14:paraId="5F499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D6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6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1A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45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III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74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AE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</w:tr>
      <w:tr w14:paraId="3E3B6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C7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63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94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10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III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00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C5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</w:tr>
      <w:tr w14:paraId="01D66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7B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D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07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AC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III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A7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E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 w14:paraId="6DCEE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E9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DD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91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A1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III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F2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2F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</w:tr>
      <w:tr w14:paraId="3D294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5C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1F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DA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E6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III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EE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AE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</w:tr>
      <w:tr w14:paraId="0867E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8F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21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A1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82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III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CB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08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</w:tr>
      <w:tr w14:paraId="63414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F4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53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41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EC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III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D8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A1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</w:tr>
      <w:tr w14:paraId="33D24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DE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AF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15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59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III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B2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97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</w:tr>
      <w:tr w14:paraId="1E89D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6C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38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E3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BA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III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D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AC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</w:tr>
      <w:tr w14:paraId="1D047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44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2B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FE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BF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III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5D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2F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</w:tr>
      <w:tr w14:paraId="57C03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69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00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94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E4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III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B2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0C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</w:tr>
      <w:tr w14:paraId="76745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9A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F8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14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08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IV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B5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2F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</w:tr>
      <w:tr w14:paraId="42845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AE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C5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3D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2C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IV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C2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99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</w:tr>
      <w:tr w14:paraId="6E43E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0A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29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65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5E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IV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A8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39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</w:tr>
      <w:tr w14:paraId="38EE0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5D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E6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9D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A0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IV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B9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90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</w:tr>
      <w:tr w14:paraId="64391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F865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6F5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28FC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835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IV</w:t>
            </w:r>
          </w:p>
        </w:tc>
        <w:tc>
          <w:tcPr>
            <w:tcW w:w="240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A45E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0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0900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</w:tr>
    </w:tbl>
    <w:p w14:paraId="0E6812B1">
      <w:pPr>
        <w:rPr>
          <w:rFonts w:hint="default" w:ascii="Times New Roman" w:hAnsi="Times New Roman" w:cs="Times New Roman"/>
          <w:sz w:val="28"/>
          <w:szCs w:val="28"/>
        </w:rPr>
      </w:pPr>
    </w:p>
    <w:p w14:paraId="7C2FD16D">
      <w:pPr>
        <w:rPr>
          <w:rFonts w:hint="eastAsia" w:ascii="Times New Roman" w:hAnsi="Times New Roman" w:cs="Times New Roman" w:eastAsiaTheme="min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hint="default" w:ascii="Times New Roman" w:hAnsi="Times New Roman" w:cs="Times New Roman"/>
          <w:sz w:val="28"/>
          <w:szCs w:val="28"/>
        </w:rPr>
        <w:t>Association between GPRC5A expression and clinical stage in CRC cohorts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.</w:t>
      </w:r>
    </w:p>
    <w:tbl>
      <w:tblPr>
        <w:tblStyle w:val="2"/>
        <w:tblW w:w="8791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1969"/>
        <w:gridCol w:w="1439"/>
        <w:gridCol w:w="1972"/>
        <w:gridCol w:w="786"/>
        <w:gridCol w:w="782"/>
      </w:tblGrid>
      <w:tr w14:paraId="05E93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060B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9E2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GPRC5A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(median)</w:t>
            </w:r>
          </w:p>
        </w:tc>
        <w:tc>
          <w:tcPr>
            <w:tcW w:w="143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7C93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Stage I–II, n (%)</w:t>
            </w: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12BB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Stage III–IV, n (%)</w:t>
            </w:r>
          </w:p>
        </w:tc>
        <w:tc>
          <w:tcPr>
            <w:tcW w:w="7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90C0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χ²</w:t>
            </w:r>
          </w:p>
        </w:tc>
        <w:tc>
          <w:tcPr>
            <w:tcW w:w="78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E54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value</w:t>
            </w:r>
          </w:p>
        </w:tc>
      </w:tr>
      <w:tr w14:paraId="1A166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43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C6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Bc_1 (mRNA)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B4D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GPRC5A_Low</w:t>
            </w:r>
          </w:p>
        </w:tc>
        <w:tc>
          <w:tcPr>
            <w:tcW w:w="143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E43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 (61.3%)</w:t>
            </w: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347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 (38.7%)</w:t>
            </w:r>
          </w:p>
        </w:tc>
        <w:tc>
          <w:tcPr>
            <w:tcW w:w="7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8B6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4.496</w:t>
            </w:r>
          </w:p>
        </w:tc>
        <w:tc>
          <w:tcPr>
            <w:tcW w:w="78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677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0.034</w:t>
            </w:r>
          </w:p>
        </w:tc>
      </w:tr>
      <w:tr w14:paraId="0B821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4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BA0C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99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GPRC5A_High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352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 (52.2%)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48D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 (47.8%)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C72ED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63FAB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097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40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Bc_2 (mRNA)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F5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GPRC5A_Low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5D6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 (60.0%)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FF2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 (40.0%)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165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5.677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D27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0.017</w:t>
            </w:r>
          </w:p>
        </w:tc>
      </w:tr>
      <w:tr w14:paraId="71B36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4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99F5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15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GPRC5A_High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9E26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 (52.1%)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ADA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 (47.9%)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2E381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C3566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970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CA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 house (Protein)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EF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GPRC5A_Low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348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 (66.7%)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45E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 (33.3%)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A65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3.333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04A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0.068</w:t>
            </w:r>
          </w:p>
        </w:tc>
      </w:tr>
      <w:tr w14:paraId="7255D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43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B7616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4FE7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GPRC5A_High</w:t>
            </w:r>
          </w:p>
        </w:tc>
        <w:tc>
          <w:tcPr>
            <w:tcW w:w="143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F4E58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 (33.3%)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2A048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 (66.7%)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F33DD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0F965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30F3528">
      <w:pPr>
        <w:rPr>
          <w:rFonts w:hint="default" w:ascii="Times New Roman" w:hAnsi="Times New Roman" w:cs="Times New Roman"/>
          <w:sz w:val="28"/>
          <w:szCs w:val="28"/>
        </w:rPr>
      </w:pPr>
    </w:p>
    <w:p w14:paraId="5062CADA">
      <w:pPr>
        <w:rPr>
          <w:rFonts w:hint="default" w:ascii="Times New Roman" w:hAnsi="Times New Roman" w:cs="Times New Roman"/>
          <w:sz w:val="28"/>
          <w:szCs w:val="28"/>
        </w:rPr>
      </w:pPr>
    </w:p>
    <w:p w14:paraId="591D8419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Supplementary Table 6. Formal Cox interaction tests for GPRC5A⁺Epi-high and POSTN⁺Fib-high status in CRC cohorts.</w:t>
      </w:r>
    </w:p>
    <w:tbl>
      <w:tblPr>
        <w:tblStyle w:val="2"/>
        <w:tblW w:w="886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9"/>
        <w:gridCol w:w="1357"/>
        <w:gridCol w:w="2621"/>
        <w:gridCol w:w="1348"/>
        <w:gridCol w:w="979"/>
        <w:gridCol w:w="1251"/>
      </w:tblGrid>
      <w:tr w14:paraId="7CEEC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0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BA30C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Cohort</w:t>
            </w:r>
          </w:p>
        </w:tc>
        <w:tc>
          <w:tcPr>
            <w:tcW w:w="13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C01F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Outcome</w:t>
            </w:r>
          </w:p>
        </w:tc>
        <w:tc>
          <w:tcPr>
            <w:tcW w:w="262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3CCC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Model_comparison</w:t>
            </w:r>
          </w:p>
        </w:tc>
        <w:tc>
          <w:tcPr>
            <w:tcW w:w="13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8CA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Chisq</w:t>
            </w:r>
          </w:p>
        </w:tc>
        <w:tc>
          <w:tcPr>
            <w:tcW w:w="9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31827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DF</w:t>
            </w:r>
          </w:p>
        </w:tc>
        <w:tc>
          <w:tcPr>
            <w:tcW w:w="125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919D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P.value</w:t>
            </w:r>
          </w:p>
        </w:tc>
      </w:tr>
      <w:tr w14:paraId="4CE89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0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B5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Bc_1</w:t>
            </w:r>
          </w:p>
        </w:tc>
        <w:tc>
          <w:tcPr>
            <w:tcW w:w="135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865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</w:t>
            </w:r>
          </w:p>
        </w:tc>
        <w:tc>
          <w:tcPr>
            <w:tcW w:w="262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66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 interaction vs interaction</w:t>
            </w:r>
          </w:p>
        </w:tc>
        <w:tc>
          <w:tcPr>
            <w:tcW w:w="134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1B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7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8EA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60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5A27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74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Bc_1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9AA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RFS</w:t>
            </w:r>
          </w:p>
        </w:tc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E4C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 interaction vs interaction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BE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F15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2F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12A6C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552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Bc_2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7D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</w:t>
            </w:r>
          </w:p>
        </w:tc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24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 interaction vs interaction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7BC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0D4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A07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 w14:paraId="550B9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6606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Bc_2</w:t>
            </w:r>
          </w:p>
        </w:tc>
        <w:tc>
          <w:tcPr>
            <w:tcW w:w="135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4BC6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RFS</w:t>
            </w:r>
          </w:p>
        </w:tc>
        <w:tc>
          <w:tcPr>
            <w:tcW w:w="262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F788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 interaction vs interaction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36CB3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0.89</w:t>
            </w:r>
          </w:p>
        </w:tc>
        <w:tc>
          <w:tcPr>
            <w:tcW w:w="9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7153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6530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</w:t>
            </w:r>
          </w:p>
        </w:tc>
      </w:tr>
    </w:tbl>
    <w:p w14:paraId="4BBB175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Note: </w:t>
      </w:r>
      <w:r>
        <w:rPr>
          <w:rFonts w:hint="default" w:ascii="Times New Roman" w:hAnsi="Times New Roman" w:cs="Times New Roman"/>
          <w:sz w:val="24"/>
          <w:szCs w:val="24"/>
        </w:rPr>
        <w:t>Likelihood ratio tests were used to compare multivariable Cox models with and without the interaction term between GPRC5A⁺Epi-high and POSTN⁺Fib-high status. Models were adjusted for age, stage, and gender. DF, degrees of freedom; OS, overall survival; RFS, relapse-free survival.</w:t>
      </w:r>
    </w:p>
    <w:p w14:paraId="53A989E0">
      <w:pPr>
        <w:rPr>
          <w:rFonts w:hint="default" w:ascii="Times New Roman" w:hAnsi="Times New Roman" w:cs="Times New Roman"/>
          <w:sz w:val="24"/>
          <w:szCs w:val="24"/>
        </w:rPr>
      </w:pPr>
    </w:p>
    <w:p w14:paraId="55C6CC22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Supplementary Table 7. 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R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package version information used in this study.</w:t>
      </w:r>
    </w:p>
    <w:tbl>
      <w:tblPr>
        <w:tblStyle w:val="2"/>
        <w:tblW w:w="0" w:type="auto"/>
        <w:tblInd w:w="96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9"/>
        <w:gridCol w:w="1016"/>
        <w:gridCol w:w="5821"/>
      </w:tblGrid>
      <w:tr w14:paraId="741191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2B6A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 package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829C7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Version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5AE3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Main purpose in this study</w:t>
            </w:r>
          </w:p>
        </w:tc>
      </w:tr>
      <w:tr w14:paraId="2C7480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2143D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9B843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4.5.2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829F7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General statistical analysis and visualization</w:t>
            </w:r>
          </w:p>
        </w:tc>
      </w:tr>
      <w:tr w14:paraId="3E6BB7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6DC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Seurat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286D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4.4.0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D89A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scRNA-seq preprocessing, normalization, dimensionality reduction, clustering, UMAP/t-SNE visualization, and spatial transcriptomic analysis</w:t>
            </w:r>
          </w:p>
        </w:tc>
      </w:tr>
      <w:tr w14:paraId="3AB7D8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D8B5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harmony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399B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1.2.4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19F0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Batch-effect correction and integration of scRNA-seq datasets</w:t>
            </w:r>
          </w:p>
        </w:tc>
      </w:tr>
      <w:tr w14:paraId="410C32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418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sva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AA70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3.48.0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095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Batch correction of bulk RNA-seq datasets using ComBat</w:t>
            </w:r>
          </w:p>
        </w:tc>
      </w:tr>
      <w:tr w14:paraId="0A7C97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9E6F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SingleR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9FDA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2.10.0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9A8F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Initial cell-type annotation of scRNA-seq data</w:t>
            </w:r>
          </w:p>
        </w:tc>
      </w:tr>
      <w:tr w14:paraId="4DFD44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A04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CellChat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6777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2.2.0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94D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Cell–cell communication and ligand–receptor interaction inference</w:t>
            </w:r>
          </w:p>
        </w:tc>
      </w:tr>
      <w:tr w14:paraId="48F996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8DA6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monocle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61A0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2.28.0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4A3A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Pseudotime trajectory analysis</w:t>
            </w:r>
          </w:p>
        </w:tc>
      </w:tr>
      <w:tr w14:paraId="0607B6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770E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CopyKAT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5E6E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1.3.1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548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Copy-number variation inference and aneuploid/diploid epithelial cell classification</w:t>
            </w:r>
          </w:p>
        </w:tc>
      </w:tr>
      <w:tr w14:paraId="0BA439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05DE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CellTrek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6544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0.0.94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E70D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Spatial mapping of single-cell-defined cell populations</w:t>
            </w:r>
          </w:p>
        </w:tc>
      </w:tr>
      <w:tr w14:paraId="660C42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993F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SpaGene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B138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0.1.0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5BD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Spatial ligand–receptor and co-localization analysis</w:t>
            </w:r>
          </w:p>
        </w:tc>
      </w:tr>
      <w:tr w14:paraId="212462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F54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GSVA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D9F9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1.48.3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274B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ssGSEA and pathway activity scoring</w:t>
            </w:r>
          </w:p>
        </w:tc>
      </w:tr>
      <w:tr w14:paraId="081516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3E4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clusterProfiler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06D4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4.8.2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1C87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Functional enrichment analysis and GSEA</w:t>
            </w:r>
          </w:p>
        </w:tc>
      </w:tr>
      <w:tr w14:paraId="0F78AD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E3A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survival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5968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3.8.6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026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Kaplan–Meier and Cox proportional hazards survival analyses</w:t>
            </w:r>
          </w:p>
        </w:tc>
      </w:tr>
      <w:tr w14:paraId="25EC0C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64F4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survminer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9FA2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0.5.1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549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Visualization of Kaplan–Meier survival curves</w:t>
            </w:r>
          </w:p>
        </w:tc>
      </w:tr>
      <w:tr w14:paraId="423AA3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B1C7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AUCell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885A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1.30.1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9DD6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Regulon activity scoring in the SCENIC workflow</w:t>
            </w:r>
          </w:p>
        </w:tc>
      </w:tr>
      <w:tr w14:paraId="0C3862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F29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oncoPredict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57B8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D8F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Drug-response prediction analysis</w:t>
            </w:r>
          </w:p>
        </w:tc>
      </w:tr>
      <w:tr w14:paraId="3FA1A4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FA9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SCENIC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5CFD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B0FE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Transcription factor regulon network analysis</w:t>
            </w:r>
          </w:p>
        </w:tc>
      </w:tr>
    </w:tbl>
    <w:p w14:paraId="1F7F4B3D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63023B"/>
    <w:rsid w:val="067D2A36"/>
    <w:rsid w:val="08C276F9"/>
    <w:rsid w:val="0F0F7410"/>
    <w:rsid w:val="12384CA5"/>
    <w:rsid w:val="165F609D"/>
    <w:rsid w:val="31353D18"/>
    <w:rsid w:val="3CE37CDB"/>
    <w:rsid w:val="4437604D"/>
    <w:rsid w:val="4496320C"/>
    <w:rsid w:val="4D4437C9"/>
    <w:rsid w:val="4D5819A6"/>
    <w:rsid w:val="515D5C6E"/>
    <w:rsid w:val="57154464"/>
    <w:rsid w:val="58A442B5"/>
    <w:rsid w:val="58C425E6"/>
    <w:rsid w:val="59153FEE"/>
    <w:rsid w:val="7C98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5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611</Words>
  <Characters>3540</Characters>
  <Lines>0</Lines>
  <Paragraphs>0</Paragraphs>
  <TotalTime>0</TotalTime>
  <ScaleCrop>false</ScaleCrop>
  <LinksUpToDate>false</LinksUpToDate>
  <CharactersWithSpaces>3802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2025-11-16T08:09:00Z</dcterms:created>
  <dc:creator>a6458</dc:creator>
  <cp:lastModifiedBy>Hss</cp:lastModifiedBy>
  <dcterms:modified xsi:type="dcterms:W3CDTF">2026-06-18T17:12:42Z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eyJoZGlkIjoiM2JkMWJjNDVjMGE4ZmZiN2M5NTg0ZGQyYzg5MjkwYjMiLCJ1c2VySWQiOiI1MzQyMTkzMTgifQ==</vt:lpwstr>
  </property>
  <property fmtid="{D5CDD505-2E9C-101B-9397-08002B2CF9AE}" pid="4" name="ICV">
    <vt:lpwstr>F3CCC3188BD9464E8A33EF6412B06BA2_12</vt:lpwstr>
  </property>
</Properties>
</file>