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B486" w14:textId="389DE6FB" w:rsidR="00AF649A" w:rsidRPr="0051160E" w:rsidRDefault="00AF649A" w:rsidP="00AF649A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CB30A75" wp14:editId="42F8FA09">
            <wp:extent cx="5760720" cy="8097520"/>
            <wp:effectExtent l="0" t="0" r="5080" b="5080"/>
            <wp:docPr id="1362512453" name="Grafik 1" descr="Ein Bild, das Screenshot, medizinische Bildgeb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12453" name="Grafik 1" descr="Ein Bild, das Screenshot, medizinische Bildgebung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60E">
        <w:rPr>
          <w:rFonts w:ascii="Arial" w:hAnsi="Arial" w:cs="Arial"/>
          <w:b/>
          <w:bCs/>
          <w:lang w:val="en-US"/>
        </w:rPr>
        <w:t xml:space="preserve">Supplementary Figure 1. </w:t>
      </w:r>
      <w:r w:rsidRPr="0051160E">
        <w:rPr>
          <w:rFonts w:ascii="Arial" w:hAnsi="Arial" w:cs="Arial"/>
          <w:lang w:val="en-US"/>
        </w:rPr>
        <w:t>Illustrative Examples of Three-Dimensional Tumor Segmentation and Volumetric Assessment.</w:t>
      </w:r>
      <w:r w:rsidRPr="0051160E">
        <w:rPr>
          <w:rFonts w:ascii="Arial" w:hAnsi="Arial" w:cs="Arial"/>
          <w:b/>
          <w:bCs/>
          <w:lang w:val="en-US"/>
        </w:rPr>
        <w:t xml:space="preserve"> </w:t>
      </w:r>
    </w:p>
    <w:p w14:paraId="3F473346" w14:textId="77777777" w:rsidR="00AF649A" w:rsidRPr="00D2662B" w:rsidRDefault="00AF649A" w:rsidP="00AF649A">
      <w:pPr>
        <w:spacing w:line="360" w:lineRule="auto"/>
        <w:jc w:val="both"/>
        <w:rPr>
          <w:rFonts w:ascii="Arial" w:hAnsi="Arial" w:cs="Arial"/>
        </w:rPr>
      </w:pPr>
      <w:r w:rsidRPr="0051160E">
        <w:rPr>
          <w:rFonts w:ascii="Arial" w:hAnsi="Arial" w:cs="Arial"/>
          <w:b/>
          <w:bCs/>
          <w:lang w:val="en-US"/>
        </w:rPr>
        <w:lastRenderedPageBreak/>
        <w:t xml:space="preserve">(A)-(D): </w:t>
      </w:r>
      <w:r w:rsidRPr="0051160E">
        <w:rPr>
          <w:rFonts w:ascii="Arial" w:hAnsi="Arial" w:cs="Arial"/>
          <w:lang w:val="en-US"/>
        </w:rPr>
        <w:t xml:space="preserve">Representative example images illustrating the volumetric assessment of total tumor burden across all metastases. </w:t>
      </w:r>
      <w:r w:rsidRPr="00D2662B">
        <w:rPr>
          <w:rFonts w:ascii="Arial" w:hAnsi="Arial" w:cs="Arial"/>
        </w:rPr>
        <w:t xml:space="preserve">Tumor </w:t>
      </w:r>
      <w:proofErr w:type="spellStart"/>
      <w:r w:rsidRPr="00D2662B">
        <w:rPr>
          <w:rFonts w:ascii="Arial" w:hAnsi="Arial" w:cs="Arial"/>
        </w:rPr>
        <w:t>volumes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were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quantified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using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B727B7">
        <w:rPr>
          <w:rFonts w:ascii="Arial" w:hAnsi="Arial" w:cs="Arial"/>
        </w:rPr>
        <w:t>Sectra</w:t>
      </w:r>
      <w:proofErr w:type="spellEnd"/>
      <w:r w:rsidRPr="00B727B7">
        <w:rPr>
          <w:rFonts w:ascii="Arial" w:hAnsi="Arial" w:cs="Arial"/>
        </w:rPr>
        <w:t xml:space="preserve"> IDS7</w:t>
      </w:r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software</w:t>
      </w:r>
      <w:proofErr w:type="spellEnd"/>
      <w:r w:rsidRPr="00D2662B">
        <w:rPr>
          <w:rFonts w:ascii="Arial" w:hAnsi="Arial" w:cs="Arial"/>
        </w:rPr>
        <w:t>.</w:t>
      </w:r>
    </w:p>
    <w:p w14:paraId="2986DFEB" w14:textId="77777777" w:rsidR="00AF649A" w:rsidRDefault="00AF649A" w:rsidP="00AF649A">
      <w:pPr>
        <w:spacing w:line="360" w:lineRule="auto"/>
        <w:jc w:val="both"/>
        <w:rPr>
          <w:rFonts w:ascii="Arial" w:hAnsi="Arial" w:cs="Arial"/>
        </w:rPr>
      </w:pPr>
    </w:p>
    <w:p w14:paraId="2BAA29C6" w14:textId="457F842D" w:rsidR="00AF649A" w:rsidRDefault="00AF649A" w:rsidP="00AF649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FE7ED9" wp14:editId="70E2AC4D">
            <wp:extent cx="5760720" cy="7762875"/>
            <wp:effectExtent l="0" t="0" r="5080" b="0"/>
            <wp:docPr id="1230129344" name="Grafik 2" descr="Ein Bild, das Quadrat, Rechteck, Symmetrie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29344" name="Grafik 2" descr="Ein Bild, das Quadrat, Rechteck, Symmetrie, parallel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90BE5" w14:textId="222D6DBD" w:rsidR="00AF649A" w:rsidRDefault="00AF649A" w:rsidP="00AF649A">
      <w:pPr>
        <w:spacing w:line="360" w:lineRule="auto"/>
        <w:jc w:val="both"/>
        <w:rPr>
          <w:rFonts w:ascii="Arial" w:hAnsi="Arial" w:cs="Arial"/>
          <w:lang w:val="en-US"/>
        </w:rPr>
      </w:pPr>
      <w:r w:rsidRPr="0051160E">
        <w:rPr>
          <w:rFonts w:ascii="Arial" w:hAnsi="Arial" w:cs="Arial"/>
          <w:b/>
          <w:bCs/>
          <w:lang w:val="en-US"/>
        </w:rPr>
        <w:lastRenderedPageBreak/>
        <w:t>Supplementary Figure 2.</w:t>
      </w:r>
      <w:r w:rsidRPr="0051160E">
        <w:rPr>
          <w:rFonts w:ascii="Arial" w:hAnsi="Arial" w:cs="Arial"/>
          <w:lang w:val="en-US"/>
        </w:rPr>
        <w:t xml:space="preserve"> </w:t>
      </w:r>
      <w:r w:rsidRPr="0051160E">
        <w:rPr>
          <w:rFonts w:ascii="Arial" w:hAnsi="Arial" w:cs="Arial"/>
          <w:b/>
          <w:bCs/>
          <w:lang w:val="en-US"/>
        </w:rPr>
        <w:t>Longitudinal patient-specific trajectories of ctDNA, tumor burden, and radiologic response</w:t>
      </w:r>
      <w:r w:rsidRPr="0051160E">
        <w:rPr>
          <w:rFonts w:ascii="Arial" w:hAnsi="Arial" w:cs="Arial"/>
          <w:lang w:val="en-US"/>
        </w:rPr>
        <w:t>.</w:t>
      </w:r>
      <w:r w:rsidRPr="00D2662B">
        <w:rPr>
          <w:rFonts w:ascii="Arial" w:hAnsi="Arial" w:cs="Arial"/>
          <w:lang w:val="en-US"/>
        </w:rPr>
        <w:t xml:space="preserve"> Longitudinal ctDNA profiles of</w:t>
      </w:r>
      <w:r w:rsidR="007E0CBC">
        <w:rPr>
          <w:rFonts w:ascii="Arial" w:hAnsi="Arial" w:cs="Arial"/>
          <w:lang w:val="en-US"/>
        </w:rPr>
        <w:t xml:space="preserve"> 42 </w:t>
      </w:r>
      <w:r w:rsidRPr="00D2662B">
        <w:rPr>
          <w:rFonts w:ascii="Arial" w:hAnsi="Arial" w:cs="Arial"/>
          <w:lang w:val="en-US"/>
        </w:rPr>
        <w:t xml:space="preserve">representative patients illustrating distinct molecular–radiologic response patterns during treatment. For each panel, mutation-specific ctDNA allele frequencies (MAF, %, left ordinate) and absolute ctDNA concentrations (MM/mL, right ordinate) for </w:t>
      </w:r>
      <w:r w:rsidRPr="00D2662B">
        <w:rPr>
          <w:rFonts w:ascii="Arial" w:hAnsi="Arial" w:cs="Arial"/>
          <w:i/>
          <w:iCs/>
          <w:lang w:val="en-US"/>
        </w:rPr>
        <w:t>BRAF, EGFR, KRAS, NRAS,</w:t>
      </w:r>
      <w:r w:rsidRPr="00D2662B">
        <w:rPr>
          <w:rFonts w:ascii="Arial" w:hAnsi="Arial" w:cs="Arial"/>
          <w:lang w:val="en-US"/>
        </w:rPr>
        <w:t xml:space="preserve"> and </w:t>
      </w:r>
      <w:r w:rsidRPr="00D2662B">
        <w:rPr>
          <w:rFonts w:ascii="Arial" w:hAnsi="Arial" w:cs="Arial"/>
          <w:i/>
          <w:iCs/>
          <w:lang w:val="en-US"/>
        </w:rPr>
        <w:t xml:space="preserve">PIK3CA </w:t>
      </w:r>
      <w:r w:rsidRPr="00D2662B">
        <w:rPr>
          <w:rFonts w:ascii="Arial" w:hAnsi="Arial" w:cs="Arial"/>
          <w:lang w:val="en-US"/>
        </w:rPr>
        <w:t>are shown over time. Radiologic staging events (PR, CR, SD, PD) are indicated by vertical arrows. Treatment regimens are annotated above each panel.</w:t>
      </w:r>
    </w:p>
    <w:p w14:paraId="2B5A1BA5" w14:textId="77777777" w:rsidR="00AF649A" w:rsidRDefault="00AF649A" w:rsidP="00AF649A">
      <w:pPr>
        <w:spacing w:line="360" w:lineRule="auto"/>
        <w:jc w:val="both"/>
        <w:rPr>
          <w:rFonts w:ascii="Arial" w:hAnsi="Arial" w:cs="Arial"/>
          <w:lang w:val="en-US"/>
        </w:rPr>
      </w:pPr>
    </w:p>
    <w:p w14:paraId="662E4107" w14:textId="63E11B7D" w:rsidR="00AF649A" w:rsidRDefault="00AF649A" w:rsidP="00AF649A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4DE8776E" wp14:editId="043B456A">
            <wp:extent cx="4826000" cy="7327900"/>
            <wp:effectExtent l="0" t="0" r="0" b="0"/>
            <wp:docPr id="1181651828" name="Grafik 3" descr="Ein Bild, das Diagramm, Rechteck, Screenshot, technische Zeichn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51828" name="Grafik 3" descr="Ein Bild, das Diagramm, Rechteck, Screenshot, technische Zeichnung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35F69" w14:textId="3657DE2E" w:rsidR="00AF649A" w:rsidRPr="00034B0D" w:rsidRDefault="00AF649A" w:rsidP="00AF649A">
      <w:pPr>
        <w:spacing w:line="360" w:lineRule="auto"/>
        <w:jc w:val="both"/>
        <w:rPr>
          <w:rFonts w:ascii="Arial" w:hAnsi="Arial" w:cs="Arial"/>
        </w:rPr>
      </w:pPr>
      <w:r w:rsidRPr="0051160E">
        <w:rPr>
          <w:rFonts w:ascii="Arial" w:hAnsi="Arial" w:cs="Arial"/>
          <w:b/>
          <w:bCs/>
          <w:lang w:val="en-US"/>
        </w:rPr>
        <w:t>Supplementary Figure 3.</w:t>
      </w:r>
      <w:r w:rsidRPr="0051160E">
        <w:rPr>
          <w:rFonts w:ascii="Arial" w:hAnsi="Arial" w:cs="Arial"/>
          <w:lang w:val="en-US"/>
        </w:rPr>
        <w:t xml:space="preserve"> </w:t>
      </w:r>
      <w:r w:rsidRPr="0051160E">
        <w:rPr>
          <w:rFonts w:ascii="Arial" w:hAnsi="Arial" w:cs="Arial"/>
          <w:b/>
          <w:bCs/>
          <w:lang w:val="en-US"/>
        </w:rPr>
        <w:t>ctDNA levels and tumor volume stratified by number of metastases</w:t>
      </w:r>
      <w:r w:rsidRPr="0051160E">
        <w:rPr>
          <w:rFonts w:ascii="Arial" w:hAnsi="Arial" w:cs="Arial"/>
          <w:lang w:val="en-US"/>
        </w:rPr>
        <w:t>.</w:t>
      </w:r>
      <w:r w:rsidR="0051160E">
        <w:rPr>
          <w:rFonts w:ascii="Arial" w:hAnsi="Arial" w:cs="Arial"/>
          <w:lang w:val="en-US"/>
        </w:rPr>
        <w:t xml:space="preserve"> </w:t>
      </w:r>
      <w:r w:rsidRPr="0051160E">
        <w:rPr>
          <w:rFonts w:ascii="Arial" w:hAnsi="Arial" w:cs="Arial"/>
          <w:lang w:val="en-US"/>
        </w:rPr>
        <w:t xml:space="preserve">Boxplots show circulating tumor DNA (ctDNA) levels (MM/mL) and total tumor volume in patients with 1–3 metastases compared to patients with &gt;3 metastases. ctDNA levels are presented as mutant molecules per milliliter (MM/mL), and tumor volume was derived from three-dimensional segmentation of all measurable lesions. Patients with &gt;3 metastases exhibited significantly higher tumor volumes </w:t>
      </w:r>
      <w:r w:rsidRPr="0051160E">
        <w:rPr>
          <w:rFonts w:ascii="Arial" w:hAnsi="Arial" w:cs="Arial"/>
          <w:lang w:val="en-US"/>
        </w:rPr>
        <w:lastRenderedPageBreak/>
        <w:t>compared to those with 1–3 metastases (Mann–Whitney U test, p = 0.017). In contrast, ctDNA levels did not differ significantly between groups (p = 1.00), despite higher mean values observed in patients with fewer metastases.</w:t>
      </w:r>
      <w:r w:rsidRPr="0051160E">
        <w:rPr>
          <w:rFonts w:ascii="Arial" w:hAnsi="Arial" w:cs="Arial"/>
          <w:lang w:val="en-US"/>
        </w:rPr>
        <w:br/>
        <w:t xml:space="preserve">Boxes represent the interquartile range (IQR), with the median indicated by a horizontal line. </w:t>
      </w:r>
      <w:r w:rsidRPr="00D2662B">
        <w:rPr>
          <w:rFonts w:ascii="Arial" w:hAnsi="Arial" w:cs="Arial"/>
        </w:rPr>
        <w:t xml:space="preserve">Whiskers </w:t>
      </w:r>
      <w:proofErr w:type="spellStart"/>
      <w:r w:rsidRPr="00D2662B">
        <w:rPr>
          <w:rFonts w:ascii="Arial" w:hAnsi="Arial" w:cs="Arial"/>
        </w:rPr>
        <w:t>extend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to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the</w:t>
      </w:r>
      <w:proofErr w:type="spellEnd"/>
      <w:r w:rsidRPr="00D2662B">
        <w:rPr>
          <w:rFonts w:ascii="Arial" w:hAnsi="Arial" w:cs="Arial"/>
        </w:rPr>
        <w:t xml:space="preserve"> </w:t>
      </w:r>
      <w:proofErr w:type="spellStart"/>
      <w:r w:rsidRPr="00D2662B">
        <w:rPr>
          <w:rFonts w:ascii="Arial" w:hAnsi="Arial" w:cs="Arial"/>
        </w:rPr>
        <w:t>minimum</w:t>
      </w:r>
      <w:proofErr w:type="spellEnd"/>
      <w:r w:rsidRPr="00D2662B">
        <w:rPr>
          <w:rFonts w:ascii="Arial" w:hAnsi="Arial" w:cs="Arial"/>
        </w:rPr>
        <w:t xml:space="preserve"> and maximum </w:t>
      </w:r>
      <w:proofErr w:type="spellStart"/>
      <w:r w:rsidRPr="00D2662B">
        <w:rPr>
          <w:rFonts w:ascii="Arial" w:hAnsi="Arial" w:cs="Arial"/>
        </w:rPr>
        <w:t>values</w:t>
      </w:r>
      <w:proofErr w:type="spellEnd"/>
      <w:r w:rsidRPr="00D2662B">
        <w:rPr>
          <w:rFonts w:ascii="Arial" w:hAnsi="Arial" w:cs="Arial"/>
        </w:rPr>
        <w:t>.</w:t>
      </w:r>
    </w:p>
    <w:p w14:paraId="3FD00A26" w14:textId="77777777" w:rsidR="00AF649A" w:rsidRDefault="00AF649A" w:rsidP="00AF649A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F25F6E6" w14:textId="77777777" w:rsidR="007F103B" w:rsidRDefault="007F103B"/>
    <w:sectPr w:rsidR="007F10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9A"/>
    <w:rsid w:val="0007242C"/>
    <w:rsid w:val="003E4621"/>
    <w:rsid w:val="004A0505"/>
    <w:rsid w:val="004D4388"/>
    <w:rsid w:val="0051160E"/>
    <w:rsid w:val="007B1B26"/>
    <w:rsid w:val="007E0CBC"/>
    <w:rsid w:val="007F103B"/>
    <w:rsid w:val="00AF649A"/>
    <w:rsid w:val="00B20017"/>
    <w:rsid w:val="00EA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6CB916"/>
  <w15:chartTrackingRefBased/>
  <w15:docId w15:val="{D133B2D1-F8CE-654D-84BF-FD699F78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649A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F6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6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64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64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64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649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649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649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649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6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6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6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649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649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649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649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649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64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6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AF6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64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6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649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AF649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649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AF649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6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649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649A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116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1160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1160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116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1160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238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Heidrich</dc:creator>
  <cp:keywords/>
  <dc:description/>
  <cp:lastModifiedBy>Isabel Heidrich</cp:lastModifiedBy>
  <cp:revision>2</cp:revision>
  <dcterms:created xsi:type="dcterms:W3CDTF">2026-08-20T17:51:00Z</dcterms:created>
  <dcterms:modified xsi:type="dcterms:W3CDTF">2026-08-20T17:51:00Z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023963F6-ED57-4E3A-A68C-DACA5F13D5D2</vt:lpwstr>
  </property>
</Properties>
</file>