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6474F1">
      <w:pPr>
        <w:widowControl/>
        <w:jc w:val="center"/>
        <w:outlineLvl w:val="0"/>
        <w:rPr>
          <w:rFonts w:ascii="Times New Roman" w:hAnsi="Times New Roman" w:eastAsia="宋体" w:cs="Times New Roman"/>
          <w:b/>
          <w:bCs/>
          <w:sz w:val="44"/>
          <w:szCs w:val="44"/>
        </w:rPr>
      </w:pPr>
      <w:r>
        <w:rPr>
          <w:rFonts w:ascii="Times New Roman" w:hAnsi="Times New Roman" w:eastAsia="宋体" w:cs="Times New Roman"/>
          <w:b/>
          <w:bCs/>
          <w:sz w:val="44"/>
          <w:szCs w:val="44"/>
        </w:rPr>
        <w:t>Supplement</w:t>
      </w:r>
    </w:p>
    <w:p w14:paraId="6C01E301">
      <w:pPr>
        <w:widowControl/>
        <w:jc w:val="center"/>
        <w:outlineLvl w:val="0"/>
        <w:rPr>
          <w:rFonts w:hint="default" w:ascii="Times New Roman" w:hAnsi="Times New Roman" w:eastAsia="宋体" w:cs="Times New Roman"/>
          <w:b/>
          <w:bCs/>
          <w:sz w:val="44"/>
          <w:szCs w:val="44"/>
        </w:rPr>
      </w:pPr>
    </w:p>
    <w:p w14:paraId="60C3BBC0">
      <w:pPr>
        <w:pStyle w:val="2"/>
        <w:rPr>
          <w:rFonts w:hint="default" w:ascii="Times New Roman" w:hAnsi="Times New Roman" w:cs="Times New Roman"/>
          <w:sz w:val="36"/>
          <w:szCs w:val="21"/>
        </w:rPr>
      </w:pPr>
      <w:r>
        <w:rPr>
          <w:rFonts w:hint="default" w:ascii="Times New Roman" w:hAnsi="Times New Roman" w:cs="Times New Roman"/>
          <w:sz w:val="36"/>
          <w:szCs w:val="21"/>
        </w:rPr>
        <w:t>Supplementary Methods</w:t>
      </w:r>
    </w:p>
    <w:p w14:paraId="63C57C76">
      <w:pPr>
        <w:pStyle w:val="3"/>
        <w:rPr>
          <w:rFonts w:hint="default" w:ascii="Times New Roman" w:hAnsi="Times New Roman" w:cs="Times New Roman"/>
        </w:rPr>
      </w:pPr>
      <w:r>
        <w:rPr>
          <w:rFonts w:hint="default" w:ascii="Times New Roman" w:hAnsi="Times New Roman" w:cs="Times New Roman"/>
        </w:rPr>
        <w:t>Supplementary study population details</w:t>
      </w:r>
    </w:p>
    <w:p w14:paraId="67AA8593">
      <w:pPr>
        <w:pageBreakBefore w:val="0"/>
        <w:kinsoku/>
        <w:wordWrap/>
        <w:overflowPunct/>
        <w:topLinePunct w:val="0"/>
        <w:autoSpaceDE/>
        <w:autoSpaceDN/>
        <w:bidi w:val="0"/>
        <w:snapToGrid w:val="0"/>
        <w:spacing w:before="120" w:after="120" w:line="480" w:lineRule="auto"/>
        <w:ind w:firstLine="0" w:firstLineChars="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To assess the reproducibility and cross-ethnicity generalizability of our model, we utilized two independent datasets. We included data from ADNI 3 and ADNI 4 phases, comprising 964 participants with harmonized IDPs following quality control (Figure 1B). Local validation was performed in the West China Health and Aging Cohort Study (WCHAC), which comprised 146 participants with compatible MRI data; the participant selection process is illustrated in Figure S1.</w:t>
      </w:r>
    </w:p>
    <w:p w14:paraId="3CD7B72A">
      <w:pPr>
        <w:pStyle w:val="3"/>
        <w:rPr>
          <w:rFonts w:hint="default" w:ascii="Times New Roman" w:hAnsi="Times New Roman" w:cs="Times New Roman"/>
        </w:rPr>
      </w:pPr>
      <w:r>
        <w:rPr>
          <w:rFonts w:hint="default" w:ascii="Times New Roman" w:hAnsi="Times New Roman" w:cs="Times New Roman"/>
        </w:rPr>
        <w:t>Acquisition and harmonization of IDPs</w:t>
      </w:r>
    </w:p>
    <w:p w14:paraId="336317FE">
      <w:pPr>
        <w:pageBreakBefore w:val="0"/>
        <w:kinsoku/>
        <w:wordWrap/>
        <w:overflowPunct/>
        <w:topLinePunct w:val="0"/>
        <w:autoSpaceDE/>
        <w:autoSpaceDN/>
        <w:bidi w:val="0"/>
        <w:snapToGrid w:val="0"/>
        <w:spacing w:before="120" w:after="120" w:line="480" w:lineRule="auto"/>
        <w:ind w:firstLine="0" w:firstLineChars="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UKB (Training &amp; Internal Validation)</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Brain MRI scans were acquired using a Siemens Skyra 3T scanner with a 32-channel head coil. We utilized a set of harmonized IDPs processed centrally by the UKB team using standard pipelines</w:t>
      </w: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lang w:eastAsia="zh-CN"/>
        </w:rPr>
        <w:instrText xml:space="preserve"> ADDIN ZOTERO_ITEM CSL_CITATION {"citationID":"Pg9jc2Bb","properties":{"formattedCitation":"[1,2]","plainCitation":"[1,2]","noteIndex":0},"citationItems":[{"id":11,"uris":["http://zotero.org/users/local/ztmktnfq/items/46FWFZ5H"],"itemData":{"id":11,"type":"report","publisher":"Oxford Centre for Functional MRI of the Brain","publisher-place":"Oxford,UK","title":"UK Biobank Brain Imaging Documentation","URL":"https://biobank.ctsu.ox.ac.uk/showcase/showcase/docs/brain_mri.pdf","author":[{"literal":"Stephen M. Smith"},{"literal":"Fidel Alfaro-Almagro"},{"literal":"Karla L. Miller"}],"accessed":{"date-parts":[["2026",1,15]]},"issued":{"date-parts":[["2024",5]]}}},{"id":6,"uris":["http://zotero.org/users/local/ztmktnfq/items/Q9BRB3FR"],"itemData":{"id":6,"type":"article-journal","abstract":"UK Biobank is a large-scale prospective epidemiological study with all data accessible to researchers worldwide. It is currently in the process of bringing back 100,000 of the original participants for brain, heart and body MRI, carotid ultrasound and low-dose bone/fat x-ray. The brain imaging component covers 6 modalities (T1, T2 FLAIR, susceptibility weighted MRI, Resting fMRI, Task fMRI and Diffusion MRI). Raw and processed data from the first 10,000 imaged subjects has recently been released for general research access. To help convert this data into useful summary information we have developed an automated processing and QC (Quality Control) pipeline that is available for use by other researchers. In this paper we describe the pipeline in detail, following a brief overview of UK Biobank brain imaging and the acquisition protocol. We also describe several quantitative investigations carried out as part of the development of both the imaging protocol and the processing pipeline.","container-title":"NeuroImage","DOI":"10.1016/j.neuroimage.2017.10.034","ISSN":"1095-9572","journalAbbreviation":"Neuroimage","language":"eng","page":"400-424","PMID":"29079522","PMCID":"PMC5770339","source":"PubMed","title":"Image processing and Quality Control for the first 10,000 brain imaging datasets from UK Biobank","volume":"166","author":[{"family":"Alfaro-Almagro","given":"Fidel"},{"family":"Jenkinson","given":"Mark"},{"family":"Bangerter","given":"Neal K."},{"family":"Andersson","given":"Jesper L. R."},{"family":"Griffanti","given":"Ludovica"},{"family":"Douaud","given":"Gwenaëlle"},{"family":"Sotiropoulos","given":"Stamatios N."},{"family":"Jbabdi","given":"Saad"},{"family":"Hernandez-Fernandez","given":"Moises"},{"family":"Vallee","given":"Emmanuel"},{"family":"Vidaurre","given":"Diego"},{"family":"Webster","given":"Matthew"},{"family":"McCarthy","given":"Paul"},{"family":"Rorden","given":"Christopher"},{"family":"Daducci","given":"Alessandro"},{"family":"Alexander","given":"Daniel C."},{"family":"Zhang","given":"Hui"},{"family":"Dragonu","given":"Iulius"},{"family":"Matthews","given":"Paul M."},{"family":"Miller","given":"Karla L."},{"family":"Smith","given":"Stephen M."}],"issued":{"date-parts":[["2018",2,1]]}},"label":"page"}],"schema":"https://github.com/citation-style-language/schema/raw/master/csl-citation.json"} </w:instrText>
      </w:r>
      <w:r>
        <w:rPr>
          <w:rFonts w:hint="default" w:ascii="Times New Roman" w:hAnsi="Times New Roman" w:cs="Times New Roman"/>
          <w:sz w:val="24"/>
          <w:szCs w:val="24"/>
          <w:highlight w:val="none"/>
        </w:rPr>
        <w:fldChar w:fldCharType="separate"/>
      </w:r>
      <w:r>
        <w:rPr>
          <w:rFonts w:hint="default" w:ascii="Times New Roman" w:hAnsi="Times New Roman" w:cs="Times New Roman"/>
          <w:sz w:val="24"/>
          <w:lang w:eastAsia="zh-CN"/>
        </w:rPr>
        <w:t>[1,2]</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t>. These features were categorized into: (1) Global and Subcortical Volumes; (2) White Matter Hyperintensity Volume (WMH). (3) Cortical Morphometry, comprising cortical thickness, surface area, and gray-white matter intensity contrast based on the Desikan-Killiany atlas; and (4) White Matter Microstructure, consisting of fractional anisotropy (FA) and mean diffusivity (MD). To reduce dimensionality and noise, measurements from the left and right hemispheres were averaged for all bilateral structures (Table S2).</w:t>
      </w:r>
    </w:p>
    <w:p w14:paraId="7CD428BA">
      <w:pPr>
        <w:pageBreakBefore w:val="0"/>
        <w:kinsoku/>
        <w:wordWrap/>
        <w:overflowPunct/>
        <w:topLinePunct w:val="0"/>
        <w:autoSpaceDE/>
        <w:autoSpaceDN/>
        <w:bidi w:val="0"/>
        <w:snapToGrid w:val="0"/>
        <w:spacing w:before="120" w:after="120" w:line="480" w:lineRule="auto"/>
        <w:ind w:firstLine="0" w:firstLineChars="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For the ADNI cohort, we selected IDPs that semantically matched the UKB features. Structural metrics were processed by the UCSF team</w:t>
      </w: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lang w:eastAsia="zh-CN"/>
        </w:rPr>
        <w:instrText xml:space="preserve"> ADDIN ZOTERO_ITEM CSL_CITATION {"citationID":"fjz2SMeN","properties":{"formattedCitation":"[3]","plainCitation":"[3]","noteIndex":0},"citationItems":[{"id":12,"uris":["http://zotero.org/users/local/ztmktnfq/items/S9NN67QS"],"itemData":{"id":12,"type":"article-journal","abstract":"FreeSurfer is a suite of tools for the analysis of neuroimaging data that provides an array of algorithms to quantify the functional, connectional and structural properties of the human brain. It has evolved from a package primarily aimed at generating surface representations of the cerebral cortex into one that automatically creates models of most macroscopically visible structures in the human brain given any reasonable T1-weighted input image. It is freely available, runs on a wide variety of hardware and software platforms, and is open source.","container-title":"NeuroImage","DOI":"10.1016/j.neuroimage.2012.01.021","ISSN":"1095-9572","issue":"2","journalAbbreviation":"Neuroimage","language":"eng","page":"774-781","PMID":"22248573","PMCID":"PMC3685476","source":"PubMed","title":"FreeSurfer","volume":"62","author":[{"family":"Fischl","given":"Bruce"}],"issued":{"date-parts":[["2012",8,15]]}}}],"schema":"https://github.com/citation-style-language/schema/raw/master/csl-citation.json"} </w:instrText>
      </w:r>
      <w:r>
        <w:rPr>
          <w:rFonts w:hint="default" w:ascii="Times New Roman" w:hAnsi="Times New Roman" w:cs="Times New Roman"/>
          <w:sz w:val="24"/>
          <w:szCs w:val="24"/>
          <w:highlight w:val="none"/>
        </w:rPr>
        <w:fldChar w:fldCharType="separate"/>
      </w:r>
      <w:r>
        <w:rPr>
          <w:rFonts w:hint="default" w:ascii="Times New Roman" w:hAnsi="Times New Roman" w:cs="Times New Roman"/>
          <w:sz w:val="24"/>
          <w:lang w:eastAsia="zh-CN"/>
        </w:rPr>
        <w:t>[3]</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t>, while WMH volumes were quantified by the UC Davis team</w:t>
      </w: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lang w:eastAsia="zh-CN"/>
        </w:rPr>
        <w:instrText xml:space="preserve"> ADDIN ZOTERO_ITEM CSL_CITATION {"citationID":"MzYdtl41","properties":{"formattedCitation":"[4]","plainCitation":"[4]","noteIndex":0},"citationItems":[{"id":15,"uris":["http://zotero.org/users/local/ztmktnfq/items/9X3JNLUX"],"itemData":{"id":15,"type":"article-journal","abstract":"We present a method that significantly improves magnetic resonance imaging (MRI) based brain tissue segmentation by modeling the topography of boundaries between tissue compartments. Edge operators are used to identify tissue interfaces and thereby more realistically model tissue label dependencies between adjacent voxels on opposite sides of an interface. When applied to a synthetic MRI template corrupted by additive noise, it provided more consistent tissue labeling across noise levels than two commonly used methods (FAST and SPM5). When applied to longitudinal MRI series it provided lesser variability in individual trajectories of tissue change, suggesting superior ability to discriminate real tissue change from noise. These results suggest that this method may be useful for robust longitudinal brain tissue change estimation.","container-title":"Annual International Conference of the IEEE Engineering in Medicine and Biology Society. IEEE Engineering in Medicine and Biology Society. Annual International Conference","DOI":"10.1109/EMBC.2012.6347195","ISSN":"2694-0604","journalAbbreviation":"Annu Int Conf IEEE Eng Med Biol Soc","language":"eng","page":"5319-5322","PMID":"23367130","PMCID":"PMC3776590","source":"PubMed","title":"Adaptive image segmentation for robust measurement of longitudinal brain tissue change","volume":"2012","author":[{"family":"Fletcher","given":"Evan"},{"family":"Singh","given":"Baljeet"},{"family":"Harvey","given":"Danielle"},{"family":"Carmichael","given":"Owen"},{"family":"DeCarli","given":"Charles"}],"issued":{"date-parts":[["2012"]]}}}],"schema":"https://github.com/citation-style-language/schema/raw/master/csl-citation.json"} </w:instrText>
      </w:r>
      <w:r>
        <w:rPr>
          <w:rFonts w:hint="default" w:ascii="Times New Roman" w:hAnsi="Times New Roman" w:cs="Times New Roman"/>
          <w:sz w:val="24"/>
          <w:szCs w:val="24"/>
          <w:highlight w:val="none"/>
        </w:rPr>
        <w:fldChar w:fldCharType="separate"/>
      </w:r>
      <w:r>
        <w:rPr>
          <w:rFonts w:hint="default" w:ascii="Times New Roman" w:hAnsi="Times New Roman" w:cs="Times New Roman"/>
          <w:sz w:val="24"/>
          <w:lang w:eastAsia="zh-CN"/>
        </w:rPr>
        <w:t>[4]</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t>. DTI metrics were processed by the USC Imaging Genetics Center (IGC) team</w:t>
      </w: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lang w:eastAsia="zh-CN"/>
        </w:rPr>
        <w:instrText xml:space="preserve"> ADDIN ZOTERO_ITEM CSL_CITATION {"citationID":"sWkVRbZQ","properties":{"formattedCitation":"[5]","plainCitation":"[5]","noteIndex":0},"citationItems":[{"id":18,"uris":["http://zotero.org/users/local/ztmktnfq/items/4HJ6WYYA"],"itemData":{"id":18,"type":"article-journal","abstract":"Characterizing brain changes in Alzheimer's disease (AD) is important for patient prognosis and for assessing brain deterioration in clinical trials. In this diffusion weighted imaging study, we used a new fiber-tract modeling method to investigate white matter integrity in 50 elderly controls (CTL), 113 people with mild cognitive impairment, and 37 AD patients. After clustering tractography using a region-of-interest atlas, we used a shortest path graph search through each bundle's fiber density map to derive maximum density paths (MDPs), which we registered across subjects. We calculated the fractional anisotropy (FA) and mean diffusivity (MD) along all MDPs and found significant MD and FA differences between AD patients and CTL subjects, as well as MD differences between CTL and late mild cognitive impairment subjects. MD and FA were also associated with widely used clinical scores. As an MDP is a compact low-dimensional representation of white matter organization, we tested the utility of diffusion tensor imaging measures along these MDPs as features for support vector machine based classification of AD.","container-title":"Neurobiology of Aging","DOI":"10.1016/j.neurobiolaging.2014.05.037","ISSN":"1558-1497","issue":"0 1","journalAbbreviation":"Neurobiol Aging","language":"eng","page":"S132-140","PMID":"25444597","PMCID":"PMC4283487","source":"PubMed","title":"Diffusion weighted imaging-based maximum density path analysis and classification of Alzheimer's disease","volume":"36 Suppl 1","author":[{"family":"Nir","given":"Talia M."},{"family":"Villalon-Reina","given":"Julio E."},{"family":"Prasad","given":"Gautam"},{"family":"Jahanshad","given":"Neda"},{"family":"Joshi","given":"Shantanu H."},{"family":"Toga","given":"Arthur W."},{"family":"Bernstein","given":"Matt A."},{"family":"Jack","given":"Clifford R."},{"family":"Weiner","given":"Michael W."},{"family":"Thompson","given":"Paul M."},{"literal":"Alzheimer's Disease Neuroimaging Initiative (ADNI)"}],"issued":{"date-parts":[["2015",1]]}}}],"schema":"https://github.com/citation-style-language/schema/raw/master/csl-citation.json"} </w:instrText>
      </w:r>
      <w:r>
        <w:rPr>
          <w:rFonts w:hint="default" w:ascii="Times New Roman" w:hAnsi="Times New Roman" w:cs="Times New Roman"/>
          <w:sz w:val="24"/>
          <w:szCs w:val="24"/>
          <w:highlight w:val="none"/>
        </w:rPr>
        <w:fldChar w:fldCharType="separate"/>
      </w:r>
      <w:r>
        <w:rPr>
          <w:rFonts w:hint="default" w:ascii="Times New Roman" w:hAnsi="Times New Roman" w:cs="Times New Roman"/>
          <w:sz w:val="24"/>
          <w:lang w:eastAsia="zh-CN"/>
        </w:rPr>
        <w:t>[5]</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t xml:space="preserve">. </w:t>
      </w:r>
    </w:p>
    <w:p w14:paraId="648D571E">
      <w:pPr>
        <w:snapToGrid w:val="0"/>
        <w:spacing w:before="120" w:after="120" w:line="480" w:lineRule="auto"/>
        <w:rPr>
          <w:rFonts w:hint="default" w:ascii="Times New Roman" w:hAnsi="Times New Roman" w:cs="Times New Roman"/>
        </w:rPr>
      </w:pPr>
      <w:r>
        <w:rPr>
          <w:rFonts w:hint="default" w:ascii="Times New Roman" w:hAnsi="Times New Roman" w:cs="Times New Roman"/>
          <w:sz w:val="24"/>
          <w:szCs w:val="24"/>
          <w:highlight w:val="none"/>
        </w:rPr>
        <w:t>WCHAC MRI data used the same scanner model and were processed similarly to UKB to extract corresponding IDPs.</w:t>
      </w:r>
    </w:p>
    <w:p w14:paraId="25119C0E">
      <w:pPr>
        <w:pStyle w:val="3"/>
        <w:rPr>
          <w:rFonts w:hint="default" w:ascii="Times New Roman" w:hAnsi="Times New Roman" w:cs="Times New Roman"/>
        </w:rPr>
      </w:pPr>
      <w:r>
        <w:rPr>
          <w:rFonts w:hint="default" w:ascii="Times New Roman" w:hAnsi="Times New Roman" w:cs="Times New Roman"/>
        </w:rPr>
        <w:t>Cognitive assessments and derivation of the g-factor</w:t>
      </w:r>
    </w:p>
    <w:p w14:paraId="39C25C5C">
      <w:pPr>
        <w:pageBreakBefore w:val="0"/>
        <w:kinsoku/>
        <w:wordWrap/>
        <w:overflowPunct/>
        <w:topLinePunct w:val="0"/>
        <w:autoSpaceDE/>
        <w:autoSpaceDN/>
        <w:bidi w:val="0"/>
        <w:snapToGrid w:val="0"/>
        <w:spacing w:before="120" w:after="120" w:line="480" w:lineRule="auto"/>
        <w:ind w:firstLine="0" w:firstLineChars="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val="en-US" w:eastAsia="zh-CN"/>
        </w:rPr>
        <w:t>In UKB, we derived a general cognitive ability factor (g-factor) to represent overall cognitive performance at the imaging visit (Instance 2). This factor was obtained using principal component analysis (PCA) across five cognitive domains: visual declarative memory (Pairs Matching; log-transformed error score), processing speed (Reaction Time; log-transformed time), prospective memory (Shape test; binary outcome), fluid intelligence (reasoning score), and numeric memory (Digit Span)</w:t>
      </w:r>
      <w:r>
        <w:rPr>
          <w:rFonts w:hint="default" w:ascii="Times New Roman" w:hAnsi="Times New Roman" w:cs="Times New Roman"/>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 ADDIN ZOTERO_ITEM CSL_CITATION {"citationID":"awoDldaT","properties":{"formattedCitation":"[6]","plainCitation":"[6]","noteIndex":0},"citationItems":[{"id":33,"uris":["http://zotero.org/users/local/ztmktnfq/items/NPAYX3YR"],"itemData":{"id":33,"type":"article-journal","abstract":"Abstract\n            Accumulating evidence suggests that dietary interventions might have potential to be used as a strategy to protect against age-related cognitive decline and neurodegeneration, as there are associations between some nutrients, food groups, dietary patterns, and some domains of cognition. In this study, we aimed to conduct the largest investigation of diet and cognition to date, through systematically examining the UK Biobank (UKB) data to find out whether dietary quality and food groups play a role on general cognitive ability. This cross-sectional population-based study involved 48,749 participants. UKB data on food frequency questionnaire and cognitive function were used. Also, healthy diet, partial fibre intake, and milk intake scores were calculated. Adjusted models included age, sex, and BMI. We observed associations between better general cognitive ability and higher intakes of fish, and unprocessed red meat; and moderate intakes of fibre, and milk. Surprisingly, we found that diet quality, vegetable intake, high and low fibre and milk intake were inversely associated with general cognitive ability. Our results suggest that fish and unprocessed red meat and/or nutrients that are found in fish and unprocessed red meat might be beneficial for general cognitive ability. However, results should be interpreted in caution as the same food groups may affect other domains of cognition or mental health differently. These discrepancies in the current state of evidence invites further research to examine domain-specific effects of dietary patterns/food groups on a wide range of cognitive and affective outcomes with a special focus on potential covariates that may have an impact on diet and cognition relationship.","container-title":"Scientific Reports","DOI":"10.1038/s41598-021-91259-3","ISSN":"2045-2322","issue":"1","journalAbbreviation":"Sci Rep","language":"en","page":"11786","source":"DOI.org (Crossref)","title":"Diet and general cognitive ability in the UK Biobank dataset","volume":"11","author":[{"family":"Hepsomali","given":"Piril"},{"family":"Groeger","given":"John A."}],"issued":{"date-parts":[["2021",6,3]]}}}],"schema":"https://github.com/citation-style-language/schema/raw/master/csl-citation.json"} </w:instrText>
      </w:r>
      <w:r>
        <w:rPr>
          <w:rFonts w:hint="default" w:ascii="Times New Roman" w:hAnsi="Times New Roman" w:cs="Times New Roman"/>
          <w:sz w:val="24"/>
          <w:szCs w:val="24"/>
          <w:highlight w:val="none"/>
          <w:lang w:val="en-US" w:eastAsia="zh-CN"/>
        </w:rPr>
        <w:fldChar w:fldCharType="separate"/>
      </w:r>
      <w:r>
        <w:rPr>
          <w:rFonts w:hint="default" w:ascii="Times New Roman" w:hAnsi="Times New Roman" w:cs="Times New Roman"/>
          <w:sz w:val="24"/>
          <w:lang w:eastAsia="zh-CN"/>
        </w:rPr>
        <w:t>[6]</w:t>
      </w:r>
      <w:r>
        <w:rPr>
          <w:rFonts w:hint="default" w:ascii="Times New Roman" w:hAnsi="Times New Roman" w:cs="Times New Roman"/>
          <w:sz w:val="24"/>
          <w:szCs w:val="24"/>
          <w:highlight w:val="none"/>
          <w:lang w:val="en-US" w:eastAsia="zh-CN"/>
        </w:rPr>
        <w:fldChar w:fldCharType="end"/>
      </w:r>
      <w:r>
        <w:rPr>
          <w:rFonts w:hint="default" w:ascii="Times New Roman" w:hAnsi="Times New Roman" w:cs="Times New Roman"/>
          <w:sz w:val="24"/>
          <w:szCs w:val="24"/>
          <w:highlight w:val="none"/>
        </w:rPr>
        <w: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The first principal component was extracted in participants with complete data and oriented such that higher values indicate better cognitive performance. Factor loadings and explained variance are shown in Table S</w:t>
      </w:r>
      <w:r>
        <w:rPr>
          <w:rFonts w:hint="eastAsia" w:ascii="Times New Roman" w:hAnsi="Times New Roman" w:cs="Times New Roman"/>
          <w:sz w:val="24"/>
          <w:szCs w:val="24"/>
          <w:highlight w:val="none"/>
          <w:lang w:val="en-US" w:eastAsia="zh-CN"/>
        </w:rPr>
        <w:t>6</w:t>
      </w:r>
      <w:r>
        <w:rPr>
          <w:rFonts w:hint="default" w:ascii="Times New Roman" w:hAnsi="Times New Roman" w:cs="Times New Roman"/>
          <w:sz w:val="24"/>
          <w:szCs w:val="24"/>
          <w:highlight w:val="none"/>
        </w:rPr>
        <w:t>.</w:t>
      </w:r>
    </w:p>
    <w:p w14:paraId="4D20E9EF">
      <w:pPr>
        <w:pStyle w:val="3"/>
        <w:rPr>
          <w:rFonts w:hint="default" w:ascii="Times New Roman" w:hAnsi="Times New Roman" w:cs="Times New Roman"/>
        </w:rPr>
      </w:pPr>
      <w:r>
        <w:rPr>
          <w:rFonts w:hint="default" w:ascii="Times New Roman" w:hAnsi="Times New Roman" w:cs="Times New Roman"/>
        </w:rPr>
        <w:t>Derivation of health-related phenotypes</w:t>
      </w:r>
    </w:p>
    <w:p w14:paraId="6BDB14EA">
      <w:pPr>
        <w:pageBreakBefore w:val="0"/>
        <w:kinsoku/>
        <w:wordWrap/>
        <w:overflowPunct/>
        <w:topLinePunct w:val="0"/>
        <w:autoSpaceDE/>
        <w:autoSpaceDN/>
        <w:bidi w:val="0"/>
        <w:snapToGrid w:val="0"/>
        <w:spacing w:before="120" w:after="120" w:line="480" w:lineRule="auto"/>
        <w:ind w:firstLine="0" w:firstLineChars="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We selected 55 baseline (Instance 0) health-related phenotypes to represent multisystem structure and function, and grouped them into eight domains: Physical Structure &amp; Function, Cardiorespiratory Function, Erythrocytes &amp; Platelets, Immunity &amp; Inflammation, Metabolic Health, Organ Function, Hormones &amp; Micronutrients, and Lifestyle &amp; Socioeconomics (Table S</w:t>
      </w:r>
      <w:r>
        <w:rPr>
          <w:rFonts w:hint="eastAsia" w:ascii="Times New Roman" w:hAnsi="Times New Roman" w:cs="Times New Roman"/>
          <w:sz w:val="24"/>
          <w:szCs w:val="24"/>
          <w:highlight w:val="none"/>
          <w:lang w:val="en-US" w:eastAsia="zh-CN"/>
        </w:rPr>
        <w:t>7</w:t>
      </w:r>
      <w:r>
        <w:rPr>
          <w:rFonts w:hint="default" w:ascii="Times New Roman" w:hAnsi="Times New Roman" w:cs="Times New Roman"/>
          <w:sz w:val="24"/>
          <w:szCs w:val="24"/>
          <w:highlight w:val="none"/>
        </w:rPr>
        <w:t>).</w:t>
      </w:r>
    </w:p>
    <w:p w14:paraId="45963D90">
      <w:pPr>
        <w:pageBreakBefore w:val="0"/>
        <w:kinsoku/>
        <w:wordWrap/>
        <w:overflowPunct/>
        <w:topLinePunct w:val="0"/>
        <w:autoSpaceDE/>
        <w:autoSpaceDN/>
        <w:bidi w:val="0"/>
        <w:snapToGrid w:val="0"/>
        <w:spacing w:before="120" w:after="120" w:line="480" w:lineRule="auto"/>
        <w:ind w:firstLine="0" w:firstLineChars="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For bilateral traits, left and right measurements were averaged. For repeated assessments obtained at the same visit, mean values were used. Mean arterial pressure was calculated as diastolic blood pressure + (systolic blood pressure − diastolic blood pressure)/3.</w:t>
      </w:r>
    </w:p>
    <w:p w14:paraId="4B2D5D39">
      <w:pPr>
        <w:pageBreakBefore w:val="0"/>
        <w:kinsoku/>
        <w:wordWrap/>
        <w:overflowPunct/>
        <w:topLinePunct w:val="0"/>
        <w:autoSpaceDE/>
        <w:autoSpaceDN/>
        <w:bidi w:val="0"/>
        <w:snapToGrid w:val="0"/>
        <w:spacing w:before="120" w:after="120" w:line="480" w:lineRule="auto"/>
        <w:ind w:firstLine="0" w:firstLineChars="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For spirometry measures, we derived forced vital capacity (FVC), forced expiratory volume in 1 second (FEV1), peak expiratory flow (PEF), and the FEV1/FVC ratio using the best valid attempt at baseline assessment. Smoking exposure was quantified in pack-years. Alcohol consumption frequency was recoded into an ordinal variable ranging from 0 to 5, and educational attainment was recoded into an ordinal variable ranging from 1 to 3.</w:t>
      </w:r>
    </w:p>
    <w:p w14:paraId="7818A982">
      <w:pPr>
        <w:pageBreakBefore w:val="0"/>
        <w:kinsoku/>
        <w:wordWrap/>
        <w:overflowPunct/>
        <w:topLinePunct w:val="0"/>
        <w:autoSpaceDE/>
        <w:autoSpaceDN/>
        <w:bidi w:val="0"/>
        <w:snapToGrid w:val="0"/>
        <w:spacing w:before="120" w:after="120" w:line="480" w:lineRule="auto"/>
        <w:ind w:firstLine="0" w:firstLineChars="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Adherence to the Mediterranean-DASH Intervention for Neurodegenerative Delay (MIND) diet was assessed using Oxford WebQ dietary data</w:t>
      </w: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lang w:eastAsia="zh-CN"/>
        </w:rPr>
        <w:instrText xml:space="preserve"> ADDIN ZOTERO_ITEM CSL_CITATION {"citationID":"ofD8C4Ik","properties":{"formattedCitation":"[7]","plainCitation":"[7]","noteIndex":0},"citationItems":[{"id":37,"uris":["http://zotero.org/users/local/ztmktnfq/items/P27FU2UJ"],"itemData":{"id":37,"type":"article-journal","abstract":"A high adherence to the Mediterranean-Dietary Approaches to Stop Hypertension Diet Intervention for Neurodegenerative Delay (MIND) has been associated with better cognition and a lower risk of dementia in some but not all studies. We measured adherence to MIND and its association with cognitive health in the UK Biobank (UKB). A MIND score was derived from 24 h diet recall questionnaires for 120,661 participants who completed at least one of seven self-administered cognitive function tests. In a subset of 78,663 participants aged 55+, diagnosis of dementia was determined by linked hospital and death records. Multivariable regression and Cox proportional hazard ratio (HR) models were used to examine associations of MIND with cognitive ability and incident dementia. Higher adherence to MIND was associated with a small but significant worsening in performance on five of seven cognitive tests (p &lt; 0.002). Associations were strongest among highly educated participants (p &lt; 0.002 for MIND × education interaction). After a mean follow-up time of 10.5 years, 842 participants developed dementia. Overall, MIND adherence was not associated with incident dementia. An inverse association was observed among females (HR = 0.87 per score standard deviation (SD), p = 0.008) but not males (HR = 1.09, p = 0.11) (p = 0.008 for MIND × sex interaction). Similar associations with cognitive ability and dementia were observed for the Alternative Healthy Eating Index-2010 (AHEI-2010) dietary pattern. Associations were not modified by genetic susceptibility. In UKB, the MIND diet was not associated with better cognitive test scores and only with lower dementia risk in women.","container-title":"Nutrients","DOI":"10.3390/nu15010032","ISSN":"2072-6643","issue":"1","journalAbbreviation":"Nutrients","language":"en","page":"32","source":"DOI.org (Crossref)","title":"MIND Dietary Pattern and Its Association with Cognition and Incident Dementia in the UK Biobank","volume":"15","author":[{"family":"Cornelis","given":"Marilyn"},{"family":"Agarwal","given":"Puja"},{"family":"Holland","given":"Thomas"},{"family":"Van Dam","given":"Rob"}],"issued":{"date-parts":[["2022",12,21]]}}}],"schema":"https://github.com/citation-style-language/schema/raw/master/csl-citation.json"} </w:instrText>
      </w:r>
      <w:r>
        <w:rPr>
          <w:rFonts w:hint="default" w:ascii="Times New Roman" w:hAnsi="Times New Roman" w:cs="Times New Roman"/>
          <w:sz w:val="24"/>
          <w:szCs w:val="24"/>
          <w:highlight w:val="none"/>
        </w:rPr>
        <w:fldChar w:fldCharType="separate"/>
      </w:r>
      <w:r>
        <w:rPr>
          <w:rFonts w:hint="default" w:ascii="Times New Roman" w:hAnsi="Times New Roman" w:cs="Times New Roman"/>
          <w:sz w:val="24"/>
          <w:lang w:eastAsia="zh-CN"/>
        </w:rPr>
        <w:t>[7]</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A MIND diet score ranging from 0 to 15 was calculated, with higher scores indicating healthier dietary patterns. Detailed phenotype definitions, coding schemes, and derivation procedures are provided in Tables S</w:t>
      </w:r>
      <w:r>
        <w:rPr>
          <w:rFonts w:hint="eastAsia" w:ascii="Times New Roman" w:hAnsi="Times New Roman" w:cs="Times New Roman"/>
          <w:sz w:val="24"/>
          <w:szCs w:val="24"/>
          <w:highlight w:val="none"/>
          <w:lang w:val="en-US" w:eastAsia="zh-CN"/>
        </w:rPr>
        <w:t>7</w:t>
      </w:r>
      <w:r>
        <w:rPr>
          <w:rFonts w:hint="default" w:ascii="Times New Roman" w:hAnsi="Times New Roman" w:cs="Times New Roman"/>
          <w:sz w:val="24"/>
          <w:szCs w:val="24"/>
          <w:highlight w:val="none"/>
        </w:rPr>
        <w:t>–S</w:t>
      </w:r>
      <w:r>
        <w:rPr>
          <w:rFonts w:hint="eastAsia" w:ascii="Times New Roman" w:hAnsi="Times New Roman" w:cs="Times New Roman"/>
          <w:sz w:val="24"/>
          <w:szCs w:val="24"/>
          <w:highlight w:val="none"/>
          <w:lang w:val="en-US" w:eastAsia="zh-CN"/>
        </w:rPr>
        <w:t>8</w:t>
      </w:r>
      <w:r>
        <w:rPr>
          <w:rFonts w:hint="default" w:ascii="Times New Roman" w:hAnsi="Times New Roman" w:cs="Times New Roman"/>
          <w:sz w:val="24"/>
          <w:szCs w:val="24"/>
          <w:highlight w:val="none"/>
        </w:rPr>
        <w:t>.</w:t>
      </w:r>
    </w:p>
    <w:p w14:paraId="09C0CE39">
      <w:pP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br w:type="page"/>
      </w:r>
    </w:p>
    <w:p w14:paraId="20F4D401">
      <w:pPr>
        <w:pStyle w:val="2"/>
        <w:rPr>
          <w:rFonts w:hint="default" w:ascii="Times New Roman" w:hAnsi="Times New Roman" w:cs="Times New Roman"/>
          <w:sz w:val="36"/>
          <w:szCs w:val="21"/>
        </w:rPr>
      </w:pPr>
      <w:r>
        <w:rPr>
          <w:rFonts w:hint="default" w:ascii="Times New Roman" w:hAnsi="Times New Roman" w:cs="Times New Roman"/>
          <w:sz w:val="36"/>
          <w:szCs w:val="21"/>
        </w:rPr>
        <w:t xml:space="preserve">Supplementary </w:t>
      </w:r>
      <w:r>
        <w:rPr>
          <w:rFonts w:hint="eastAsia" w:ascii="Times New Roman" w:hAnsi="Times New Roman" w:cs="Times New Roman"/>
          <w:sz w:val="36"/>
          <w:szCs w:val="21"/>
          <w:lang w:val="en-US" w:eastAsia="zh-CN"/>
        </w:rPr>
        <w:t>Figure</w:t>
      </w:r>
      <w:r>
        <w:rPr>
          <w:rFonts w:hint="default" w:ascii="Times New Roman" w:hAnsi="Times New Roman" w:cs="Times New Roman"/>
          <w:sz w:val="36"/>
          <w:szCs w:val="21"/>
        </w:rPr>
        <w:t>s</w:t>
      </w:r>
    </w:p>
    <w:p w14:paraId="054432EF">
      <w:pPr>
        <w:rPr>
          <w:rFonts w:hint="default" w:ascii="Times New Roman" w:hAnsi="Times New Roman" w:cs="Times New Roman"/>
          <w:sz w:val="24"/>
          <w:szCs w:val="24"/>
          <w:highlight w:val="none"/>
        </w:rPr>
      </w:pPr>
    </w:p>
    <w:p w14:paraId="29484865">
      <w:pPr>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drawing>
          <wp:inline distT="0" distB="0" distL="114300" distR="114300">
            <wp:extent cx="4544695" cy="2724785"/>
            <wp:effectExtent l="0" t="0" r="4445" b="3175"/>
            <wp:docPr id="2" name="图片 2" descr="WCHAC样本筛选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WCHAC样本筛选流程图"/>
                    <pic:cNvPicPr>
                      <a:picLocks noChangeAspect="1"/>
                    </pic:cNvPicPr>
                  </pic:nvPicPr>
                  <pic:blipFill>
                    <a:blip r:embed="rId5"/>
                    <a:stretch>
                      <a:fillRect/>
                    </a:stretch>
                  </pic:blipFill>
                  <pic:spPr>
                    <a:xfrm>
                      <a:off x="0" y="0"/>
                      <a:ext cx="4544695" cy="2724785"/>
                    </a:xfrm>
                    <a:prstGeom prst="rect">
                      <a:avLst/>
                    </a:prstGeom>
                  </pic:spPr>
                </pic:pic>
              </a:graphicData>
            </a:graphic>
          </wp:inline>
        </w:drawing>
      </w:r>
    </w:p>
    <w:p w14:paraId="3DD78E0F">
      <w:pPr>
        <w:rPr>
          <w:rFonts w:hint="eastAsia" w:ascii="Times New Roman" w:hAnsi="Times New Roman" w:cs="Times New Roman"/>
          <w:lang w:val="en-US" w:eastAsia="zh-CN"/>
        </w:rPr>
      </w:pPr>
      <w:r>
        <w:rPr>
          <w:rFonts w:hint="default" w:ascii="Times New Roman" w:hAnsi="Times New Roman" w:cs="Times New Roman" w:eastAsiaTheme="minorEastAsia"/>
          <w:lang w:eastAsia="zh-CN"/>
        </w:rPr>
        <w:t>Figure S1. Participant selection flowchart for the West China Health and Aging Cohort Study (WCHAC</w:t>
      </w:r>
      <w:r>
        <w:rPr>
          <w:rFonts w:hint="eastAsia" w:ascii="Times New Roman" w:hAnsi="Times New Roman" w:cs="Times New Roman"/>
          <w:lang w:val="en-US" w:eastAsia="zh-CN"/>
        </w:rPr>
        <w:t>)</w:t>
      </w:r>
    </w:p>
    <w:p w14:paraId="3AE35A86">
      <w:pPr>
        <w:rPr>
          <w:rFonts w:hint="eastAsia" w:ascii="Times New Roman" w:hAnsi="Times New Roman" w:cs="Times New Roman"/>
          <w:lang w:val="en-US" w:eastAsia="zh-CN"/>
        </w:rPr>
      </w:pPr>
      <w:r>
        <w:rPr>
          <w:rFonts w:hint="eastAsia" w:ascii="Times New Roman" w:hAnsi="Times New Roman" w:cs="Times New Roman"/>
          <w:lang w:val="en-US" w:eastAsia="zh-CN"/>
        </w:rPr>
        <w:br w:type="page"/>
      </w:r>
    </w:p>
    <w:p w14:paraId="67E94AF7">
      <w:pPr>
        <w:jc w:val="left"/>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5187315" cy="4228465"/>
            <wp:effectExtent l="0" t="0" r="1905" b="635"/>
            <wp:docPr id="3" name="图片 3" descr="序列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序列示意图"/>
                    <pic:cNvPicPr>
                      <a:picLocks noChangeAspect="1"/>
                    </pic:cNvPicPr>
                  </pic:nvPicPr>
                  <pic:blipFill>
                    <a:blip r:embed="rId6"/>
                    <a:stretch>
                      <a:fillRect/>
                    </a:stretch>
                  </pic:blipFill>
                  <pic:spPr>
                    <a:xfrm>
                      <a:off x="0" y="0"/>
                      <a:ext cx="5187315" cy="4228465"/>
                    </a:xfrm>
                    <a:prstGeom prst="rect">
                      <a:avLst/>
                    </a:prstGeom>
                  </pic:spPr>
                </pic:pic>
              </a:graphicData>
            </a:graphic>
          </wp:inline>
        </w:drawing>
      </w:r>
    </w:p>
    <w:p w14:paraId="33247B5A">
      <w:pPr>
        <w:rPr>
          <w:rFonts w:hint="default" w:ascii="Times New Roman" w:hAnsi="Times New Roman" w:cs="Times New Roman"/>
          <w:lang w:val="en-US" w:eastAsia="zh-CN"/>
        </w:rPr>
        <w:sectPr>
          <w:footerReference r:id="rId3" w:type="default"/>
          <w:pgSz w:w="11906" w:h="16838"/>
          <w:pgMar w:top="1440" w:right="1800" w:bottom="1440" w:left="1800" w:header="851" w:footer="992" w:gutter="0"/>
          <w:lnNumType w:countBy="1" w:restart="continuous"/>
          <w:cols w:space="425" w:num="1"/>
          <w:docGrid w:type="lines" w:linePitch="312" w:charSpace="0"/>
          <mc:AlternateContent>
            <mc:Choice Requires="wpsCustomData">
              <wpsCustomData:blankLineNoLineNum/>
            </mc:Choice>
          </mc:AlternateContent>
        </w:sectPr>
      </w:pPr>
      <w:r>
        <w:rPr>
          <w:rFonts w:hint="default" w:ascii="Times New Roman" w:hAnsi="Times New Roman" w:cs="Times New Roman"/>
          <w:lang w:val="en-US" w:eastAsia="zh-CN"/>
        </w:rPr>
        <w:t>Figure S2. Representative multimodal MRI examples across different levels of brain age acceleration.Representative axial MRI examples from participants with high (+19.7 years), intermediate (0 years), and low (-19.1 years) brain age acceleration (BAA). Panels A-C show a participant with high BAA, panels D-F show a participant with i</w:t>
      </w:r>
      <w:bookmarkStart w:id="0" w:name="_GoBack"/>
      <w:bookmarkEnd w:id="0"/>
      <w:r>
        <w:rPr>
          <w:rFonts w:hint="default" w:ascii="Times New Roman" w:hAnsi="Times New Roman" w:cs="Times New Roman"/>
          <w:lang w:val="en-US" w:eastAsia="zh-CN"/>
        </w:rPr>
        <w:t>ntermediate BAA, and panels G-I show a participant with low BAA. Within each row, the columns correspond to T1-weighted MRI, T2-FLAIR, and diffusion MRI (b = 1000 image), respectively.</w:t>
      </w:r>
    </w:p>
    <w:p w14:paraId="46DB698D">
      <w:pPr>
        <w:rPr>
          <w:rFonts w:hint="default" w:ascii="Times New Roman" w:hAnsi="Times New Roman" w:cs="Times New Roman" w:eastAsiaTheme="minorEastAsia"/>
          <w:lang w:eastAsia="zh-CN"/>
        </w:rPr>
      </w:pPr>
    </w:p>
    <w:p w14:paraId="4D9A4CFB">
      <w:pPr>
        <w:rPr>
          <w:rFonts w:hint="default" w:ascii="Times New Roman" w:hAnsi="Times New Roman" w:cs="Times New Roman" w:eastAsiaTheme="minorEastAsia"/>
          <w:lang w:eastAsia="zh-CN"/>
        </w:rPr>
      </w:pPr>
      <w:r>
        <w:rPr>
          <w:rFonts w:hint="default" w:ascii="Times New Roman" w:hAnsi="Times New Roman" w:cs="Times New Roman"/>
          <w:highlight w:val="none"/>
        </w:rPr>
        <w:drawing>
          <wp:inline distT="0" distB="0" distL="114300" distR="114300">
            <wp:extent cx="8856345" cy="3757295"/>
            <wp:effectExtent l="0" t="0" r="5715" b="6985"/>
            <wp:docPr id="4" name="图片 4" descr="C:/Users/SCU_JK/Desktop/UKB数据/二代脑年龄最终版/全序列结果（包含灰白质对比度）/11月26日结果/正文图表/图片转PPT_202601071445_01(1).png图片转PPT_202601071445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SCU_JK/Desktop/UKB数据/二代脑年龄最终版/全序列结果（包含灰白质对比度）/11月26日结果/正文图表/图片转PPT_202601071445_01(1).png图片转PPT_202601071445_01(1)"/>
                    <pic:cNvPicPr>
                      <a:picLocks noChangeAspect="1"/>
                    </pic:cNvPicPr>
                  </pic:nvPicPr>
                  <pic:blipFill>
                    <a:blip r:embed="rId7"/>
                    <a:srcRect l="8" r="8"/>
                    <a:stretch>
                      <a:fillRect/>
                    </a:stretch>
                  </pic:blipFill>
                  <pic:spPr>
                    <a:xfrm>
                      <a:off x="0" y="0"/>
                      <a:ext cx="8856345" cy="3757295"/>
                    </a:xfrm>
                    <a:prstGeom prst="rect">
                      <a:avLst/>
                    </a:prstGeom>
                  </pic:spPr>
                </pic:pic>
              </a:graphicData>
            </a:graphic>
          </wp:inline>
        </w:drawing>
      </w:r>
    </w:p>
    <w:p w14:paraId="6EE2D47F">
      <w:pPr>
        <w:rPr>
          <w:rFonts w:hint="default" w:ascii="Times New Roman" w:hAnsi="Times New Roman" w:cs="Times New Roman"/>
          <w:highlight w:val="none"/>
        </w:rPr>
        <w:sectPr>
          <w:pgSz w:w="16838" w:h="11906" w:orient="landscape"/>
          <w:pgMar w:top="1800" w:right="1440" w:bottom="1800" w:left="1440" w:header="851" w:footer="992" w:gutter="0"/>
          <w:lnNumType w:countBy="1" w:restart="continuous"/>
          <w:cols w:space="425" w:num="1"/>
          <w:docGrid w:type="lines" w:linePitch="312" w:charSpace="0"/>
          <mc:AlternateContent>
            <mc:Choice Requires="wpsCustomData">
              <wpsCustomData:blankLineNoLineNum/>
            </mc:Choice>
          </mc:AlternateContent>
        </w:sectPr>
      </w:pPr>
      <w:r>
        <w:rPr>
          <w:rFonts w:hint="default" w:ascii="Times New Roman" w:hAnsi="Times New Roman" w:cs="Times New Roman" w:eastAsiaTheme="minorEastAsia"/>
          <w:lang w:eastAsia="zh-CN"/>
        </w:rPr>
        <w:t xml:space="preserve">Figure </w:t>
      </w:r>
      <w:r>
        <w:rPr>
          <w:rFonts w:hint="eastAsia" w:ascii="Times New Roman" w:hAnsi="Times New Roman" w:cs="Times New Roman"/>
          <w:lang w:val="en-US" w:eastAsia="zh-CN"/>
        </w:rPr>
        <w:t>S3.</w:t>
      </w:r>
      <w:r>
        <w:rPr>
          <w:rFonts w:hint="default" w:ascii="Times New Roman" w:hAnsi="Times New Roman" w:cs="Times New Roman"/>
          <w:highlight w:val="none"/>
        </w:rPr>
        <w:t xml:space="preserve"> BAA algorithm flowchart</w:t>
      </w:r>
    </w:p>
    <w:p w14:paraId="2D8F15CD">
      <w:pPr>
        <w:rPr>
          <w:rFonts w:hint="eastAsia" w:ascii="Times New Roman" w:hAnsi="Times New Roman" w:cs="Times New Roman" w:eastAsiaTheme="minorEastAsia"/>
          <w:highlight w:val="none"/>
          <w:lang w:eastAsia="zh-CN"/>
        </w:rPr>
      </w:pPr>
      <w:r>
        <w:rPr>
          <w:rFonts w:hint="eastAsia" w:ascii="Times New Roman" w:hAnsi="Times New Roman" w:cs="Times New Roman" w:eastAsiaTheme="minorEastAsia"/>
          <w:highlight w:val="none"/>
          <w:lang w:eastAsia="zh-CN"/>
        </w:rPr>
        <w:drawing>
          <wp:inline distT="0" distB="0" distL="114300" distR="114300">
            <wp:extent cx="5267960" cy="2137410"/>
            <wp:effectExtent l="0" t="0" r="5080" b="3810"/>
            <wp:docPr id="6" name="图片 6" descr="中介示意图.draw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中介示意图.drawio"/>
                    <pic:cNvPicPr>
                      <a:picLocks noChangeAspect="1"/>
                    </pic:cNvPicPr>
                  </pic:nvPicPr>
                  <pic:blipFill>
                    <a:blip r:embed="rId8"/>
                    <a:stretch>
                      <a:fillRect/>
                    </a:stretch>
                  </pic:blipFill>
                  <pic:spPr>
                    <a:xfrm>
                      <a:off x="0" y="0"/>
                      <a:ext cx="5267960" cy="2137410"/>
                    </a:xfrm>
                    <a:prstGeom prst="rect">
                      <a:avLst/>
                    </a:prstGeom>
                  </pic:spPr>
                </pic:pic>
              </a:graphicData>
            </a:graphic>
          </wp:inline>
        </w:drawing>
      </w:r>
    </w:p>
    <w:p w14:paraId="17AF0BED">
      <w:pPr>
        <w:rPr>
          <w:rFonts w:hint="eastAsia" w:ascii="Times New Roman" w:hAnsi="Times New Roman" w:cs="Times New Roman" w:eastAsiaTheme="minorEastAsia"/>
          <w:lang w:val="en-US" w:eastAsia="zh-CN"/>
        </w:rPr>
      </w:pPr>
      <w:r>
        <w:rPr>
          <w:rFonts w:hint="default" w:ascii="Times New Roman" w:hAnsi="Times New Roman" w:cs="Times New Roman" w:eastAsiaTheme="minorEastAsia"/>
          <w:lang w:eastAsia="zh-CN"/>
        </w:rPr>
        <w:t>Figure S</w:t>
      </w:r>
      <w:r>
        <w:rPr>
          <w:rFonts w:hint="eastAsia" w:ascii="Times New Roman" w:hAnsi="Times New Roman" w:cs="Times New Roman"/>
          <w:lang w:val="en-US" w:eastAsia="zh-CN"/>
        </w:rPr>
        <w:t>4</w:t>
      </w:r>
      <w:r>
        <w:rPr>
          <w:rFonts w:hint="default" w:ascii="Times New Roman" w:hAnsi="Times New Roman" w:cs="Times New Roman" w:eastAsiaTheme="minorEastAsia"/>
          <w:lang w:eastAsia="zh-CN"/>
        </w:rPr>
        <w:t>. Conceptual framework for the mediation analysis linking risk factors, BAA, and incident dementia</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w:t>
      </w:r>
      <w:r>
        <w:rPr>
          <w:rFonts w:hint="default" w:ascii="Times New Roman" w:hAnsi="Times New Roman" w:cs="Times New Roman" w:eastAsiaTheme="minorEastAsia"/>
          <w:i w:val="0"/>
          <w:iCs w:val="0"/>
          <w:caps w:val="0"/>
          <w:spacing w:val="0"/>
          <w:sz w:val="21"/>
          <w:szCs w:val="24"/>
          <w:vertAlign w:val="superscript"/>
        </w:rPr>
        <w:t>*</w:t>
      </w:r>
      <w:r>
        <w:rPr>
          <w:rFonts w:hint="default" w:ascii="Times New Roman" w:hAnsi="Times New Roman" w:cs="Times New Roman" w:eastAsiaTheme="minorEastAsia"/>
          <w:i w:val="0"/>
          <w:iCs w:val="0"/>
          <w:caps w:val="0"/>
          <w:spacing w:val="0"/>
          <w:sz w:val="21"/>
          <w:szCs w:val="24"/>
        </w:rPr>
        <w:t>Adjusted when not serving as the predictor</w:t>
      </w:r>
    </w:p>
    <w:p w14:paraId="655106BD">
      <w:pPr>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br w:type="page"/>
      </w:r>
    </w:p>
    <w:p w14:paraId="23B541EE">
      <w:pPr>
        <w:rPr>
          <w:rFonts w:hint="default" w:ascii="Times New Roman" w:hAnsi="Times New Roman" w:cs="Times New Roman" w:eastAsiaTheme="minorEastAsia"/>
          <w:lang w:eastAsia="zh-CN"/>
        </w:rPr>
      </w:pPr>
    </w:p>
    <w:p w14:paraId="597D1ADC">
      <w:pPr>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drawing>
          <wp:inline distT="0" distB="0" distL="114300" distR="114300">
            <wp:extent cx="5274310" cy="2637155"/>
            <wp:effectExtent l="0" t="0" r="6350" b="6985"/>
            <wp:docPr id="7" name="图片 7" descr="BrainAge_vs_Age_by_Ge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BrainAge_vs_Age_by_Gender"/>
                    <pic:cNvPicPr>
                      <a:picLocks noChangeAspect="1"/>
                    </pic:cNvPicPr>
                  </pic:nvPicPr>
                  <pic:blipFill>
                    <a:blip r:embed="rId9"/>
                    <a:stretch>
                      <a:fillRect/>
                    </a:stretch>
                  </pic:blipFill>
                  <pic:spPr>
                    <a:xfrm>
                      <a:off x="0" y="0"/>
                      <a:ext cx="5274310" cy="2637155"/>
                    </a:xfrm>
                    <a:prstGeom prst="rect">
                      <a:avLst/>
                    </a:prstGeom>
                  </pic:spPr>
                </pic:pic>
              </a:graphicData>
            </a:graphic>
          </wp:inline>
        </w:drawing>
      </w:r>
    </w:p>
    <w:p w14:paraId="004594CF">
      <w:pPr>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t>Figure S</w:t>
      </w:r>
      <w:r>
        <w:rPr>
          <w:rFonts w:hint="eastAsia" w:ascii="Times New Roman" w:hAnsi="Times New Roman" w:cs="Times New Roman"/>
          <w:lang w:val="en-US" w:eastAsia="zh-CN"/>
        </w:rPr>
        <w:t>5</w:t>
      </w:r>
      <w:r>
        <w:rPr>
          <w:rFonts w:hint="eastAsia" w:ascii="Times New Roman" w:hAnsi="Times New Roman" w:cs="Times New Roman" w:eastAsiaTheme="minorEastAsia"/>
          <w:lang w:eastAsia="zh-CN"/>
        </w:rPr>
        <w:t>. Association between chronological age and predicted brain age in the WCHAC</w:t>
      </w:r>
      <w:r>
        <w:rPr>
          <w:rFonts w:hint="eastAsia" w:ascii="Times New Roman" w:hAnsi="Times New Roman" w:cs="Times New Roman" w:eastAsiaTheme="minorEastAsia"/>
          <w:lang w:val="en-US" w:eastAsia="zh-CN"/>
        </w:rPr>
        <w:t xml:space="preserve"> </w:t>
      </w:r>
      <w:r>
        <w:rPr>
          <w:rFonts w:hint="eastAsia" w:ascii="Times New Roman" w:hAnsi="Times New Roman" w:cs="Times New Roman" w:eastAsiaTheme="minorEastAsia"/>
          <w:lang w:eastAsia="zh-CN"/>
        </w:rPr>
        <w:t>cohort</w:t>
      </w:r>
    </w:p>
    <w:p w14:paraId="6030F6A5">
      <w:pPr>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br w:type="page"/>
      </w:r>
    </w:p>
    <w:p w14:paraId="256AC3ED">
      <w:pPr>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drawing>
          <wp:inline distT="0" distB="0" distL="114300" distR="114300">
            <wp:extent cx="5271135" cy="2552065"/>
            <wp:effectExtent l="0" t="0" r="1905" b="8255"/>
            <wp:docPr id="9" name="图片 9" descr="R2_5_site_adjusted_HR_fo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R2_5_site_adjusted_HR_forest"/>
                    <pic:cNvPicPr>
                      <a:picLocks noChangeAspect="1"/>
                    </pic:cNvPicPr>
                  </pic:nvPicPr>
                  <pic:blipFill>
                    <a:blip r:embed="rId10"/>
                    <a:srcRect t="6622"/>
                    <a:stretch>
                      <a:fillRect/>
                    </a:stretch>
                  </pic:blipFill>
                  <pic:spPr>
                    <a:xfrm>
                      <a:off x="0" y="0"/>
                      <a:ext cx="5271135" cy="2552065"/>
                    </a:xfrm>
                    <a:prstGeom prst="rect">
                      <a:avLst/>
                    </a:prstGeom>
                  </pic:spPr>
                </pic:pic>
              </a:graphicData>
            </a:graphic>
          </wp:inline>
        </w:drawing>
      </w:r>
    </w:p>
    <w:p w14:paraId="30A88714">
      <w:pPr>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t>Figure S</w:t>
      </w:r>
      <w:r>
        <w:rPr>
          <w:rFonts w:hint="eastAsia" w:ascii="Times New Roman" w:hAnsi="Times New Roman" w:cs="Times New Roman"/>
          <w:lang w:val="en-US" w:eastAsia="zh-CN"/>
        </w:rPr>
        <w:t>6</w:t>
      </w:r>
      <w:r>
        <w:rPr>
          <w:rFonts w:hint="eastAsia" w:ascii="Times New Roman" w:hAnsi="Times New Roman" w:cs="Times New Roman" w:eastAsiaTheme="minorEastAsia"/>
          <w:lang w:eastAsia="zh-CN"/>
        </w:rPr>
        <w:t>.</w:t>
      </w:r>
      <w:r>
        <w:rPr>
          <w:rFonts w:hint="eastAsia" w:ascii="Times New Roman" w:hAnsi="Times New Roman" w:cs="Times New Roman"/>
          <w:lang w:val="en-US" w:eastAsia="zh-CN"/>
        </w:rPr>
        <w:t xml:space="preserve"> </w:t>
      </w:r>
      <w:r>
        <w:rPr>
          <w:rFonts w:hint="default" w:ascii="Times New Roman" w:hAnsi="Times New Roman" w:cs="Times New Roman" w:eastAsiaTheme="minorEastAsia"/>
          <w:lang w:eastAsia="zh-CN"/>
        </w:rPr>
        <w:t>Associations of Original and Assessment Center-Adjusted BAA with Mortality and Dementia</w:t>
      </w:r>
    </w:p>
    <w:p w14:paraId="18DAB3AE">
      <w:pPr>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br w:type="page"/>
      </w:r>
    </w:p>
    <w:p w14:paraId="291CB36E">
      <w:pPr>
        <w:rPr>
          <w:rFonts w:hint="default" w:ascii="Times New Roman" w:hAnsi="Times New Roman" w:cs="Times New Roman" w:eastAsiaTheme="minorEastAsia"/>
          <w:lang w:eastAsia="zh-CN"/>
        </w:rPr>
      </w:pPr>
    </w:p>
    <w:p w14:paraId="6F260E7A">
      <w:pPr>
        <w:rPr>
          <w:rFonts w:hint="default" w:ascii="Times New Roman" w:hAnsi="Times New Roman" w:cs="Times New Roman" w:eastAsiaTheme="minorEastAsia"/>
          <w:lang w:eastAsia="zh-CN"/>
        </w:rPr>
      </w:pPr>
    </w:p>
    <w:p w14:paraId="3652C26A">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eastAsiaTheme="minorEastAsia"/>
          <w:lang w:eastAsia="zh-CN"/>
        </w:rPr>
      </w:pPr>
    </w:p>
    <w:p w14:paraId="07F133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drawing>
          <wp:inline distT="0" distB="0" distL="114300" distR="114300">
            <wp:extent cx="2621280" cy="2089785"/>
            <wp:effectExtent l="0" t="0" r="0" b="0"/>
            <wp:docPr id="8" name="图片 8" descr="252addefd47f99bc0566e66c126192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52addefd47f99bc0566e66c126192fb"/>
                    <pic:cNvPicPr>
                      <a:picLocks noChangeAspect="1"/>
                    </pic:cNvPicPr>
                  </pic:nvPicPr>
                  <pic:blipFill>
                    <a:blip r:embed="rId11"/>
                    <a:srcRect r="50175"/>
                    <a:stretch>
                      <a:fillRect/>
                    </a:stretch>
                  </pic:blipFill>
                  <pic:spPr>
                    <a:xfrm>
                      <a:off x="0" y="0"/>
                      <a:ext cx="2621280" cy="2089785"/>
                    </a:xfrm>
                    <a:prstGeom prst="rect">
                      <a:avLst/>
                    </a:prstGeom>
                  </pic:spPr>
                </pic:pic>
              </a:graphicData>
            </a:graphic>
          </wp:inline>
        </w:drawing>
      </w:r>
    </w:p>
    <w:p w14:paraId="3DFBB209">
      <w:pPr>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t>Figure S</w:t>
      </w:r>
      <w:r>
        <w:rPr>
          <w:rFonts w:hint="eastAsia" w:ascii="Times New Roman" w:hAnsi="Times New Roman" w:cs="Times New Roman"/>
          <w:lang w:val="en-US" w:eastAsia="zh-CN"/>
        </w:rPr>
        <w:t>7</w:t>
      </w:r>
      <w:r>
        <w:rPr>
          <w:rFonts w:hint="eastAsia" w:ascii="Times New Roman" w:hAnsi="Times New Roman" w:cs="Times New Roman" w:eastAsiaTheme="minorEastAsia"/>
          <w:lang w:eastAsia="zh-CN"/>
        </w:rPr>
        <w:t>.</w:t>
      </w:r>
      <w:r>
        <w:rPr>
          <w:rFonts w:hint="eastAsia" w:ascii="Times New Roman" w:hAnsi="Times New Roman" w:cs="Times New Roman"/>
          <w:lang w:val="en-US" w:eastAsia="zh-CN"/>
        </w:rPr>
        <w:t xml:space="preserve"> </w:t>
      </w:r>
      <w:r>
        <w:rPr>
          <w:rFonts w:hint="default" w:ascii="Times New Roman" w:hAnsi="Times New Roman" w:cs="Times New Roman" w:eastAsiaTheme="minorEastAsia"/>
          <w:lang w:eastAsia="zh-CN"/>
        </w:rPr>
        <w:t>Association between BAA and cognitive scores (MMSE) in the WCHAC</w:t>
      </w:r>
      <w:r>
        <w:rPr>
          <w:rFonts w:hint="eastAsia" w:ascii="Times New Roman" w:hAnsi="Times New Roman" w:cs="Times New Roman"/>
          <w:lang w:val="en-US" w:eastAsia="zh-CN"/>
        </w:rPr>
        <w:t xml:space="preserve"> </w:t>
      </w:r>
      <w:r>
        <w:rPr>
          <w:rFonts w:hint="eastAsia" w:ascii="Times New Roman" w:hAnsi="Times New Roman" w:cs="Times New Roman" w:eastAsiaTheme="minorEastAsia"/>
          <w:lang w:eastAsia="zh-CN"/>
        </w:rPr>
        <w:t>cohort</w:t>
      </w:r>
    </w:p>
    <w:p w14:paraId="6EF8B3D2">
      <w:pP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br w:type="page"/>
      </w:r>
    </w:p>
    <w:p w14:paraId="36F1D87F">
      <w:pPr>
        <w:rPr>
          <w:rFonts w:hint="eastAsia" w:ascii="Times New Roman" w:hAnsi="Times New Roman" w:cs="Times New Roman" w:eastAsiaTheme="minorEastAsia"/>
          <w:sz w:val="24"/>
          <w:szCs w:val="24"/>
          <w:highlight w:val="none"/>
          <w:lang w:eastAsia="zh-CN"/>
        </w:rPr>
      </w:pPr>
      <w:r>
        <w:rPr>
          <w:rFonts w:hint="eastAsia" w:ascii="Times New Roman" w:hAnsi="Times New Roman" w:cs="Times New Roman" w:eastAsiaTheme="minorEastAsia"/>
          <w:sz w:val="24"/>
          <w:szCs w:val="24"/>
          <w:highlight w:val="none"/>
          <w:lang w:eastAsia="zh-CN"/>
        </w:rPr>
        <w:drawing>
          <wp:inline distT="0" distB="0" distL="114300" distR="114300">
            <wp:extent cx="5266690" cy="2402840"/>
            <wp:effectExtent l="0" t="0" r="6350" b="5080"/>
            <wp:docPr id="5" name="图片 5" descr="Mediation_IndirectEffect_SexDifference_Compar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Mediation_IndirectEffect_SexDifference_Comparison"/>
                    <pic:cNvPicPr>
                      <a:picLocks noChangeAspect="1"/>
                    </pic:cNvPicPr>
                  </pic:nvPicPr>
                  <pic:blipFill>
                    <a:blip r:embed="rId12"/>
                    <a:stretch>
                      <a:fillRect/>
                    </a:stretch>
                  </pic:blipFill>
                  <pic:spPr>
                    <a:xfrm>
                      <a:off x="0" y="0"/>
                      <a:ext cx="5266690" cy="2402840"/>
                    </a:xfrm>
                    <a:prstGeom prst="rect">
                      <a:avLst/>
                    </a:prstGeom>
                  </pic:spPr>
                </pic:pic>
              </a:graphicData>
            </a:graphic>
          </wp:inline>
        </w:drawing>
      </w:r>
    </w:p>
    <w:p w14:paraId="12F9CAFA">
      <w:pPr>
        <w:rPr>
          <w:rFonts w:hint="eastAsia" w:ascii="Times New Roman" w:hAnsi="Times New Roman" w:cs="Times New Roman" w:eastAsiaTheme="minorEastAsia"/>
          <w:lang w:val="en-US" w:eastAsia="zh-CN"/>
        </w:rPr>
      </w:pPr>
      <w:r>
        <w:rPr>
          <w:rFonts w:hint="default" w:ascii="Times New Roman" w:hAnsi="Times New Roman" w:cs="Times New Roman" w:eastAsiaTheme="minorEastAsia"/>
          <w:lang w:eastAsia="zh-CN"/>
        </w:rPr>
        <w:t>Figure S</w:t>
      </w:r>
      <w:r>
        <w:rPr>
          <w:rFonts w:hint="eastAsia" w:ascii="Times New Roman" w:hAnsi="Times New Roman" w:cs="Times New Roman"/>
          <w:lang w:val="en-US" w:eastAsia="zh-CN"/>
        </w:rPr>
        <w:t>8</w:t>
      </w:r>
      <w:r>
        <w:rPr>
          <w:rFonts w:hint="default" w:ascii="Times New Roman" w:hAnsi="Times New Roman" w:cs="Times New Roman" w:eastAsiaTheme="minorEastAsia"/>
          <w:lang w:eastAsia="zh-CN"/>
        </w:rPr>
        <w:t>. Sex differences in BAA-mediated indirect effects for all-cause dementia.</w:t>
      </w:r>
      <w:r>
        <w:rPr>
          <w:rFonts w:hint="eastAsia" w:ascii="Times New Roman" w:hAnsi="Times New Roman" w:cs="Times New Roman" w:eastAsiaTheme="minorEastAsia"/>
          <w:lang w:val="en-US" w:eastAsia="zh-CN"/>
        </w:rPr>
        <w:t xml:space="preserve"> </w:t>
      </w:r>
      <w:r>
        <w:rPr>
          <w:rFonts w:hint="default" w:ascii="Times New Roman" w:hAnsi="Times New Roman" w:cs="Times New Roman" w:eastAsiaTheme="minorEastAsia"/>
          <w:lang w:eastAsia="zh-CN"/>
        </w:rPr>
        <w:t>Points and horizontal lines indicate male-to-female ratios of indirect-effect HRs and 95% bootstrap CIs. P</w:t>
      </w:r>
      <w:r>
        <w:rPr>
          <w:rFonts w:hint="eastAsia" w:ascii="Times New Roman" w:hAnsi="Times New Roman" w:cs="Times New Roman"/>
          <w:lang w:val="en-US" w:eastAsia="zh-CN"/>
        </w:rPr>
        <w:t>-</w:t>
      </w:r>
      <w:r>
        <w:rPr>
          <w:rFonts w:hint="default" w:ascii="Times New Roman" w:hAnsi="Times New Roman" w:cs="Times New Roman" w:eastAsiaTheme="minorEastAsia"/>
          <w:lang w:eastAsia="zh-CN"/>
        </w:rPr>
        <w:t>diff values were obtained from bootstrap tests comparing sex-specific indirect effects. Ratios greater than 1 indicate larger indirect effects in males than females.</w:t>
      </w:r>
    </w:p>
    <w:p w14:paraId="5AD138A1">
      <w:pPr>
        <w:rPr>
          <w:rFonts w:hint="eastAsia" w:ascii="Times New Roman" w:hAnsi="Times New Roman" w:cs="Times New Roman" w:eastAsiaTheme="minorEastAsia"/>
          <w:sz w:val="24"/>
          <w:szCs w:val="24"/>
          <w:highlight w:val="none"/>
          <w:lang w:eastAsia="zh-CN"/>
        </w:rPr>
      </w:pPr>
      <w:r>
        <w:rPr>
          <w:rFonts w:hint="default" w:ascii="Times New Roman" w:hAnsi="Times New Roman" w:cs="Times New Roman"/>
          <w:sz w:val="24"/>
          <w:szCs w:val="24"/>
          <w:highlight w:val="none"/>
        </w:rPr>
        <w:br w:type="page"/>
      </w:r>
    </w:p>
    <w:p w14:paraId="549EDA74">
      <w:pPr>
        <w:pStyle w:val="2"/>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480" w:after="120" w:line="480" w:lineRule="auto"/>
        <w:ind w:firstLine="0" w:firstLineChars="0"/>
        <w:jc w:val="both"/>
        <w:textAlignment w:val="auto"/>
        <w:rPr>
          <w:rFonts w:hint="default" w:ascii="Times New Roman" w:hAnsi="Times New Roman" w:cs="Times New Roman"/>
          <w:sz w:val="24"/>
          <w:szCs w:val="24"/>
          <w:highlight w:val="none"/>
        </w:rPr>
      </w:pPr>
      <w:r>
        <w:rPr>
          <w:rFonts w:hint="default" w:ascii="Times New Roman" w:hAnsi="Times New Roman" w:eastAsia="Arial Unicode MS" w:cs="Times New Roman"/>
          <w:bCs/>
          <w:kern w:val="0"/>
          <w:sz w:val="36"/>
          <w:szCs w:val="48"/>
          <w:lang w:val="en-US" w:eastAsia="zh-CN"/>
        </w:rPr>
        <w:t>References</w:t>
      </w:r>
    </w:p>
    <w:p w14:paraId="6DE4EF55">
      <w:pPr>
        <w:pStyle w:val="20"/>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fldChar w:fldCharType="begin"/>
      </w:r>
      <w:r>
        <w:rPr>
          <w:rFonts w:hint="default" w:ascii="Times New Roman" w:hAnsi="Times New Roman" w:cs="Times New Roman" w:eastAsiaTheme="minorEastAsia"/>
          <w:kern w:val="2"/>
          <w:sz w:val="24"/>
          <w:szCs w:val="24"/>
          <w:highlight w:val="none"/>
          <w:lang w:val="en-US" w:eastAsia="zh-CN" w:bidi="ar-SA"/>
        </w:rPr>
        <w:instrText xml:space="preserve"> ADDIN ZOTERO_BIBL {"uncited":[],"omitted":[],"custom":[]} CSL_BIBLIOGRAPHY </w:instrText>
      </w:r>
      <w:r>
        <w:rPr>
          <w:rFonts w:hint="default" w:ascii="Times New Roman" w:hAnsi="Times New Roman" w:cs="Times New Roman" w:eastAsiaTheme="minorEastAsia"/>
          <w:kern w:val="2"/>
          <w:sz w:val="24"/>
          <w:szCs w:val="24"/>
          <w:highlight w:val="none"/>
          <w:lang w:val="en-US" w:eastAsia="zh-CN" w:bidi="ar-SA"/>
        </w:rPr>
        <w:fldChar w:fldCharType="separate"/>
      </w:r>
      <w:r>
        <w:rPr>
          <w:rFonts w:hint="default" w:ascii="Times New Roman" w:hAnsi="Times New Roman" w:cs="Times New Roman" w:eastAsiaTheme="minorEastAsia"/>
          <w:kern w:val="2"/>
          <w:sz w:val="24"/>
          <w:szCs w:val="24"/>
          <w:highlight w:val="none"/>
          <w:lang w:val="en-US" w:eastAsia="zh-CN" w:bidi="ar-SA"/>
        </w:rPr>
        <w:t>[1]</w:t>
      </w:r>
      <w:r>
        <w:rPr>
          <w:rFonts w:hint="default" w:ascii="Times New Roman" w:hAnsi="Times New Roman" w:cs="Times New Roman" w:eastAsiaTheme="minorEastAsia"/>
          <w:kern w:val="2"/>
          <w:sz w:val="24"/>
          <w:szCs w:val="24"/>
          <w:highlight w:val="none"/>
          <w:lang w:val="en-US" w:eastAsia="zh-CN" w:bidi="ar-SA"/>
        </w:rPr>
        <w:tab/>
      </w:r>
      <w:r>
        <w:rPr>
          <w:rFonts w:hint="default" w:ascii="Times New Roman" w:hAnsi="Times New Roman" w:cs="Times New Roman" w:eastAsiaTheme="minorEastAsia"/>
          <w:kern w:val="2"/>
          <w:sz w:val="24"/>
          <w:szCs w:val="24"/>
          <w:highlight w:val="none"/>
          <w:lang w:val="en-US" w:eastAsia="zh-CN" w:bidi="ar-SA"/>
        </w:rPr>
        <w:t>Stephen M. Smith, Fidel Alfaro-Almagro, Karla L. Miller. UK Biobank Brain Imaging Documentation. Oxford,UK: Oxford Centre for Functional MRI of the Brain; 2024.</w:t>
      </w:r>
    </w:p>
    <w:p w14:paraId="10401143">
      <w:pPr>
        <w:pStyle w:val="20"/>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[2]</w:t>
      </w:r>
      <w:r>
        <w:rPr>
          <w:rFonts w:hint="default" w:ascii="Times New Roman" w:hAnsi="Times New Roman" w:cs="Times New Roman" w:eastAsiaTheme="minorEastAsia"/>
          <w:kern w:val="2"/>
          <w:sz w:val="24"/>
          <w:szCs w:val="24"/>
          <w:highlight w:val="none"/>
          <w:lang w:val="en-US" w:eastAsia="zh-CN" w:bidi="ar-SA"/>
        </w:rPr>
        <w:tab/>
      </w:r>
      <w:r>
        <w:rPr>
          <w:rFonts w:hint="default" w:ascii="Times New Roman" w:hAnsi="Times New Roman" w:cs="Times New Roman" w:eastAsiaTheme="minorEastAsia"/>
          <w:kern w:val="2"/>
          <w:sz w:val="24"/>
          <w:szCs w:val="24"/>
          <w:highlight w:val="none"/>
          <w:lang w:val="en-US" w:eastAsia="zh-CN" w:bidi="ar-SA"/>
        </w:rPr>
        <w:t>Alfaro-Almagro F, Jenkinson M, Bangerter NK, Andersson JLR, Griffanti L, Douaud G, et al. Image processing and Quality Control for the first 10,000 brain imaging datasets from UK Biobank. Neuroimage 2018;166:400–24. https://doi.org/10.1016/j.neuroimage.2017.10.034.</w:t>
      </w:r>
    </w:p>
    <w:p w14:paraId="5E9360E5">
      <w:pPr>
        <w:pStyle w:val="20"/>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[3]</w:t>
      </w:r>
      <w:r>
        <w:rPr>
          <w:rFonts w:hint="default" w:ascii="Times New Roman" w:hAnsi="Times New Roman" w:cs="Times New Roman" w:eastAsiaTheme="minorEastAsia"/>
          <w:kern w:val="2"/>
          <w:sz w:val="24"/>
          <w:szCs w:val="24"/>
          <w:highlight w:val="none"/>
          <w:lang w:val="en-US" w:eastAsia="zh-CN" w:bidi="ar-SA"/>
        </w:rPr>
        <w:tab/>
      </w:r>
      <w:r>
        <w:rPr>
          <w:rFonts w:hint="default" w:ascii="Times New Roman" w:hAnsi="Times New Roman" w:cs="Times New Roman" w:eastAsiaTheme="minorEastAsia"/>
          <w:kern w:val="2"/>
          <w:sz w:val="24"/>
          <w:szCs w:val="24"/>
          <w:highlight w:val="none"/>
          <w:lang w:val="en-US" w:eastAsia="zh-CN" w:bidi="ar-SA"/>
        </w:rPr>
        <w:t>Fischl B. FreeSurfer. Neuroimage 2012;62:774–81. https://doi.org/10.1016/j.neuroimage.2012.01.021.</w:t>
      </w:r>
    </w:p>
    <w:p w14:paraId="02283D51">
      <w:pPr>
        <w:pStyle w:val="20"/>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[4]</w:t>
      </w:r>
      <w:r>
        <w:rPr>
          <w:rFonts w:hint="default" w:ascii="Times New Roman" w:hAnsi="Times New Roman" w:cs="Times New Roman" w:eastAsiaTheme="minorEastAsia"/>
          <w:kern w:val="2"/>
          <w:sz w:val="24"/>
          <w:szCs w:val="24"/>
          <w:highlight w:val="none"/>
          <w:lang w:val="en-US" w:eastAsia="zh-CN" w:bidi="ar-SA"/>
        </w:rPr>
        <w:tab/>
      </w:r>
      <w:r>
        <w:rPr>
          <w:rFonts w:hint="default" w:ascii="Times New Roman" w:hAnsi="Times New Roman" w:cs="Times New Roman" w:eastAsiaTheme="minorEastAsia"/>
          <w:kern w:val="2"/>
          <w:sz w:val="24"/>
          <w:szCs w:val="24"/>
          <w:highlight w:val="none"/>
          <w:lang w:val="en-US" w:eastAsia="zh-CN" w:bidi="ar-SA"/>
        </w:rPr>
        <w:t>Fletcher E, Singh B, Harvey D, Carmichael O, DeCarli C. Adaptive image segmentation for robust measurement of longitudinal brain tissue change. Annu Int Conf IEEE Eng Med Biol Soc 2012;2012:5319–22. https://doi.org/10.1109/EMBC.2012.6347195.</w:t>
      </w:r>
    </w:p>
    <w:p w14:paraId="4718F399">
      <w:pPr>
        <w:pStyle w:val="20"/>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[5]</w:t>
      </w:r>
      <w:r>
        <w:rPr>
          <w:rFonts w:hint="default" w:ascii="Times New Roman" w:hAnsi="Times New Roman" w:cs="Times New Roman" w:eastAsiaTheme="minorEastAsia"/>
          <w:kern w:val="2"/>
          <w:sz w:val="24"/>
          <w:szCs w:val="24"/>
          <w:highlight w:val="none"/>
          <w:lang w:val="en-US" w:eastAsia="zh-CN" w:bidi="ar-SA"/>
        </w:rPr>
        <w:tab/>
      </w:r>
      <w:r>
        <w:rPr>
          <w:rFonts w:hint="default" w:ascii="Times New Roman" w:hAnsi="Times New Roman" w:cs="Times New Roman" w:eastAsiaTheme="minorEastAsia"/>
          <w:kern w:val="2"/>
          <w:sz w:val="24"/>
          <w:szCs w:val="24"/>
          <w:highlight w:val="none"/>
          <w:lang w:val="en-US" w:eastAsia="zh-CN" w:bidi="ar-SA"/>
        </w:rPr>
        <w:t>Nir TM, Villalon-Reina JE, Prasad G, Jahanshad N, Joshi SH, Toga AW, et al. Diffusion weighted imaging-based maximum density path analysis and classification of Alzheimer’s disease. Neurobiol Aging 2015;36 Suppl 1:S132-140. https://doi.org/10.1016/j.neurobiolaging.2014.05.037.</w:t>
      </w:r>
    </w:p>
    <w:p w14:paraId="096EA478">
      <w:pPr>
        <w:pStyle w:val="20"/>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[6]</w:t>
      </w:r>
      <w:r>
        <w:rPr>
          <w:rFonts w:hint="default" w:ascii="Times New Roman" w:hAnsi="Times New Roman" w:cs="Times New Roman" w:eastAsiaTheme="minorEastAsia"/>
          <w:kern w:val="2"/>
          <w:sz w:val="24"/>
          <w:szCs w:val="24"/>
          <w:highlight w:val="none"/>
          <w:lang w:val="en-US" w:eastAsia="zh-CN" w:bidi="ar-SA"/>
        </w:rPr>
        <w:tab/>
      </w:r>
      <w:r>
        <w:rPr>
          <w:rFonts w:hint="default" w:ascii="Times New Roman" w:hAnsi="Times New Roman" w:cs="Times New Roman" w:eastAsiaTheme="minorEastAsia"/>
          <w:kern w:val="2"/>
          <w:sz w:val="24"/>
          <w:szCs w:val="24"/>
          <w:highlight w:val="none"/>
          <w:lang w:val="en-US" w:eastAsia="zh-CN" w:bidi="ar-SA"/>
        </w:rPr>
        <w:t>Hepsomali P, Groeger JA. Diet and general cognitive ability in the UK Biobank dataset. Sci Rep 2021;11:11786. https://doi.org/10.1038/s41598-021-91259-3.</w:t>
      </w:r>
    </w:p>
    <w:p w14:paraId="188F8E01">
      <w:pPr>
        <w:pStyle w:val="20"/>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[7]</w:t>
      </w:r>
      <w:r>
        <w:rPr>
          <w:rFonts w:hint="default" w:ascii="Times New Roman" w:hAnsi="Times New Roman" w:cs="Times New Roman" w:eastAsiaTheme="minorEastAsia"/>
          <w:kern w:val="2"/>
          <w:sz w:val="24"/>
          <w:szCs w:val="24"/>
          <w:highlight w:val="none"/>
          <w:lang w:val="en-US" w:eastAsia="zh-CN" w:bidi="ar-SA"/>
        </w:rPr>
        <w:tab/>
      </w:r>
      <w:r>
        <w:rPr>
          <w:rFonts w:hint="default" w:ascii="Times New Roman" w:hAnsi="Times New Roman" w:cs="Times New Roman" w:eastAsiaTheme="minorEastAsia"/>
          <w:kern w:val="2"/>
          <w:sz w:val="24"/>
          <w:szCs w:val="24"/>
          <w:highlight w:val="none"/>
          <w:lang w:val="en-US" w:eastAsia="zh-CN" w:bidi="ar-SA"/>
        </w:rPr>
        <w:t>Cornelis M, Agarwal P, Holland T, Van Dam R. MIND Dietary Pattern and Its Association with Cognition and Incident Dementia in the UK Biobank. Nutrients 2022;15:32. https://doi.org/10.3390/nu15010032.</w:t>
      </w:r>
    </w:p>
    <w:p w14:paraId="2B0E3D58">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rPr>
      </w:pPr>
      <w:r>
        <w:rPr>
          <w:rFonts w:hint="default" w:ascii="Times New Roman" w:hAnsi="Times New Roman" w:cs="Times New Roman" w:eastAsiaTheme="minorEastAsia"/>
          <w:kern w:val="2"/>
          <w:sz w:val="24"/>
          <w:szCs w:val="24"/>
          <w:highlight w:val="none"/>
          <w:lang w:val="en-US" w:eastAsia="zh-CN" w:bidi="ar-SA"/>
        </w:rPr>
        <w:fldChar w:fldCharType="end"/>
      </w:r>
    </w:p>
    <w:sectPr>
      <w:pgSz w:w="11906" w:h="16838"/>
      <w:pgMar w:top="1440" w:right="1800" w:bottom="1440" w:left="1800" w:header="851" w:footer="992" w:gutter="0"/>
      <w:lnNumType w:countBy="1" w:restart="continuous"/>
      <w:cols w:space="425" w:num="1"/>
      <w:docGrid w:type="lines" w:linePitch="312" w:charSpace="0"/>
      <mc:AlternateContent>
        <mc:Choice Requires="wpsCustomData">
          <wpsCustomData:blankLineNoLineNum/>
        </mc:Choice>
      </mc:AlternateContent>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Arial"/>
    <w:panose1 w:val="020B0604020202020204"/>
    <w:charset w:val="80"/>
    <w:family w:val="swiss"/>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2443B">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AA86D6">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3AA86D6">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5216A"/>
    <w:rsid w:val="000741D9"/>
    <w:rsid w:val="000C61F8"/>
    <w:rsid w:val="00341280"/>
    <w:rsid w:val="00343274"/>
    <w:rsid w:val="003831A7"/>
    <w:rsid w:val="003A71F8"/>
    <w:rsid w:val="003D457D"/>
    <w:rsid w:val="00412357"/>
    <w:rsid w:val="00442178"/>
    <w:rsid w:val="00481351"/>
    <w:rsid w:val="004B046C"/>
    <w:rsid w:val="004B7777"/>
    <w:rsid w:val="005157F5"/>
    <w:rsid w:val="00675744"/>
    <w:rsid w:val="006A2A54"/>
    <w:rsid w:val="0074529F"/>
    <w:rsid w:val="00745EEA"/>
    <w:rsid w:val="00754729"/>
    <w:rsid w:val="00760D06"/>
    <w:rsid w:val="00763C7F"/>
    <w:rsid w:val="007976A6"/>
    <w:rsid w:val="007B76DA"/>
    <w:rsid w:val="007D3B30"/>
    <w:rsid w:val="00827CF7"/>
    <w:rsid w:val="00834ED0"/>
    <w:rsid w:val="00837879"/>
    <w:rsid w:val="008510BB"/>
    <w:rsid w:val="008A6E04"/>
    <w:rsid w:val="008B1EC2"/>
    <w:rsid w:val="009227AA"/>
    <w:rsid w:val="00986B76"/>
    <w:rsid w:val="009B6B0C"/>
    <w:rsid w:val="009F25A3"/>
    <w:rsid w:val="00AC31A6"/>
    <w:rsid w:val="00BA7D91"/>
    <w:rsid w:val="00BE450B"/>
    <w:rsid w:val="00C00CE7"/>
    <w:rsid w:val="00C14966"/>
    <w:rsid w:val="00CB10B6"/>
    <w:rsid w:val="00CB6488"/>
    <w:rsid w:val="00D07A75"/>
    <w:rsid w:val="00D20A68"/>
    <w:rsid w:val="00E17E18"/>
    <w:rsid w:val="00F3224E"/>
    <w:rsid w:val="00FC74FB"/>
    <w:rsid w:val="02A429BD"/>
    <w:rsid w:val="03077C93"/>
    <w:rsid w:val="04E24E94"/>
    <w:rsid w:val="05C24554"/>
    <w:rsid w:val="07171558"/>
    <w:rsid w:val="072F3EA5"/>
    <w:rsid w:val="07A33243"/>
    <w:rsid w:val="089418CB"/>
    <w:rsid w:val="09540F1E"/>
    <w:rsid w:val="09750C0F"/>
    <w:rsid w:val="09772BD9"/>
    <w:rsid w:val="09DD4066"/>
    <w:rsid w:val="0B655C6C"/>
    <w:rsid w:val="0C5A3AFD"/>
    <w:rsid w:val="0D266ABB"/>
    <w:rsid w:val="0D4D74B8"/>
    <w:rsid w:val="0DB54882"/>
    <w:rsid w:val="0DC61A39"/>
    <w:rsid w:val="0DD2080A"/>
    <w:rsid w:val="0EEC7AA2"/>
    <w:rsid w:val="0F12080D"/>
    <w:rsid w:val="1073502E"/>
    <w:rsid w:val="10DB5782"/>
    <w:rsid w:val="10F65172"/>
    <w:rsid w:val="117C0563"/>
    <w:rsid w:val="12621005"/>
    <w:rsid w:val="12C17D51"/>
    <w:rsid w:val="13AD4FA0"/>
    <w:rsid w:val="145D4967"/>
    <w:rsid w:val="14905962"/>
    <w:rsid w:val="15664FF5"/>
    <w:rsid w:val="157221C7"/>
    <w:rsid w:val="1724208C"/>
    <w:rsid w:val="18CA5903"/>
    <w:rsid w:val="18CB43A7"/>
    <w:rsid w:val="1AA41354"/>
    <w:rsid w:val="1AA7421F"/>
    <w:rsid w:val="1AED4AA9"/>
    <w:rsid w:val="1BC53ECD"/>
    <w:rsid w:val="1BEC7456"/>
    <w:rsid w:val="1BF40538"/>
    <w:rsid w:val="1CF06AD2"/>
    <w:rsid w:val="1DEB1048"/>
    <w:rsid w:val="1E730C57"/>
    <w:rsid w:val="1E763007"/>
    <w:rsid w:val="1EB52C70"/>
    <w:rsid w:val="1EB76C20"/>
    <w:rsid w:val="1F2C2DA9"/>
    <w:rsid w:val="1FEB4AB6"/>
    <w:rsid w:val="21796BD8"/>
    <w:rsid w:val="2228557D"/>
    <w:rsid w:val="225E7100"/>
    <w:rsid w:val="226F64B3"/>
    <w:rsid w:val="23141AE8"/>
    <w:rsid w:val="23717C20"/>
    <w:rsid w:val="249F7694"/>
    <w:rsid w:val="252639EE"/>
    <w:rsid w:val="25472D7E"/>
    <w:rsid w:val="25BF58F1"/>
    <w:rsid w:val="26265B48"/>
    <w:rsid w:val="265F2B65"/>
    <w:rsid w:val="2671232E"/>
    <w:rsid w:val="26A56238"/>
    <w:rsid w:val="276A262F"/>
    <w:rsid w:val="285F77A8"/>
    <w:rsid w:val="28C60C93"/>
    <w:rsid w:val="29053171"/>
    <w:rsid w:val="297A55FD"/>
    <w:rsid w:val="2A5164CA"/>
    <w:rsid w:val="2A7A2707"/>
    <w:rsid w:val="2B2835CE"/>
    <w:rsid w:val="2C0D5B80"/>
    <w:rsid w:val="2C4B00D4"/>
    <w:rsid w:val="2C7928A4"/>
    <w:rsid w:val="2D0839C4"/>
    <w:rsid w:val="2D524C40"/>
    <w:rsid w:val="2DB934A0"/>
    <w:rsid w:val="2E0140A9"/>
    <w:rsid w:val="2E3C7719"/>
    <w:rsid w:val="2ED12254"/>
    <w:rsid w:val="2F56111D"/>
    <w:rsid w:val="2FB16128"/>
    <w:rsid w:val="2FEC4ED7"/>
    <w:rsid w:val="308856F9"/>
    <w:rsid w:val="30B3390A"/>
    <w:rsid w:val="32063766"/>
    <w:rsid w:val="328C2B9D"/>
    <w:rsid w:val="32B10886"/>
    <w:rsid w:val="32CD46E8"/>
    <w:rsid w:val="3307027A"/>
    <w:rsid w:val="33E3179F"/>
    <w:rsid w:val="348A583D"/>
    <w:rsid w:val="34A82D61"/>
    <w:rsid w:val="35C576A0"/>
    <w:rsid w:val="35D506C1"/>
    <w:rsid w:val="365743B8"/>
    <w:rsid w:val="36B50719"/>
    <w:rsid w:val="38755EF4"/>
    <w:rsid w:val="392D2894"/>
    <w:rsid w:val="394C69E7"/>
    <w:rsid w:val="39595FD5"/>
    <w:rsid w:val="3A0349E7"/>
    <w:rsid w:val="3A775CE5"/>
    <w:rsid w:val="3AAD1E9C"/>
    <w:rsid w:val="3BE505AA"/>
    <w:rsid w:val="3C765055"/>
    <w:rsid w:val="3D4417DB"/>
    <w:rsid w:val="3D8F06D6"/>
    <w:rsid w:val="3DEB2134"/>
    <w:rsid w:val="3DEE3380"/>
    <w:rsid w:val="3E064A2F"/>
    <w:rsid w:val="3EFC4005"/>
    <w:rsid w:val="3F436EC2"/>
    <w:rsid w:val="40CA5D1D"/>
    <w:rsid w:val="413B32F2"/>
    <w:rsid w:val="41966349"/>
    <w:rsid w:val="43E37CE9"/>
    <w:rsid w:val="441E351B"/>
    <w:rsid w:val="44245F23"/>
    <w:rsid w:val="44807B49"/>
    <w:rsid w:val="44FF46FE"/>
    <w:rsid w:val="457810EA"/>
    <w:rsid w:val="45A930CF"/>
    <w:rsid w:val="47112E77"/>
    <w:rsid w:val="47C22B08"/>
    <w:rsid w:val="480311F2"/>
    <w:rsid w:val="4825188F"/>
    <w:rsid w:val="49495D74"/>
    <w:rsid w:val="4C2537F3"/>
    <w:rsid w:val="4C256F65"/>
    <w:rsid w:val="4C4F6AC2"/>
    <w:rsid w:val="4C730B3F"/>
    <w:rsid w:val="4C797A32"/>
    <w:rsid w:val="4D3A5215"/>
    <w:rsid w:val="4D8E3C26"/>
    <w:rsid w:val="4E43539A"/>
    <w:rsid w:val="4F6C078A"/>
    <w:rsid w:val="501215E1"/>
    <w:rsid w:val="50F97A6E"/>
    <w:rsid w:val="518A5A62"/>
    <w:rsid w:val="52FB4B86"/>
    <w:rsid w:val="5472687E"/>
    <w:rsid w:val="54984DD0"/>
    <w:rsid w:val="554D52FA"/>
    <w:rsid w:val="56A812A9"/>
    <w:rsid w:val="56CE541B"/>
    <w:rsid w:val="56F24C1A"/>
    <w:rsid w:val="5888766E"/>
    <w:rsid w:val="588A2C3D"/>
    <w:rsid w:val="5A827D95"/>
    <w:rsid w:val="5BAA6065"/>
    <w:rsid w:val="5BC74FE5"/>
    <w:rsid w:val="5C6343EB"/>
    <w:rsid w:val="5DB14918"/>
    <w:rsid w:val="5F013FF7"/>
    <w:rsid w:val="5F4752B4"/>
    <w:rsid w:val="604124B6"/>
    <w:rsid w:val="60496758"/>
    <w:rsid w:val="608D7634"/>
    <w:rsid w:val="60CA1E2E"/>
    <w:rsid w:val="61B96665"/>
    <w:rsid w:val="62A664D8"/>
    <w:rsid w:val="634668C0"/>
    <w:rsid w:val="644B0546"/>
    <w:rsid w:val="649D4439"/>
    <w:rsid w:val="64E154F5"/>
    <w:rsid w:val="65A17F37"/>
    <w:rsid w:val="66BA2932"/>
    <w:rsid w:val="672C4D0C"/>
    <w:rsid w:val="68336E40"/>
    <w:rsid w:val="68A85138"/>
    <w:rsid w:val="69154B14"/>
    <w:rsid w:val="69296276"/>
    <w:rsid w:val="692A3451"/>
    <w:rsid w:val="69AE49D0"/>
    <w:rsid w:val="69E51336"/>
    <w:rsid w:val="6A8B38CC"/>
    <w:rsid w:val="6CA94759"/>
    <w:rsid w:val="6CB37450"/>
    <w:rsid w:val="6E625D89"/>
    <w:rsid w:val="6EBF3E0B"/>
    <w:rsid w:val="6F657862"/>
    <w:rsid w:val="6FC371A3"/>
    <w:rsid w:val="713831F3"/>
    <w:rsid w:val="71693604"/>
    <w:rsid w:val="71774472"/>
    <w:rsid w:val="72457CC9"/>
    <w:rsid w:val="72B8066E"/>
    <w:rsid w:val="72CD6A50"/>
    <w:rsid w:val="737E37A4"/>
    <w:rsid w:val="749F51AD"/>
    <w:rsid w:val="75285843"/>
    <w:rsid w:val="754C2069"/>
    <w:rsid w:val="75AC2775"/>
    <w:rsid w:val="7634617E"/>
    <w:rsid w:val="767E2BA4"/>
    <w:rsid w:val="768303F3"/>
    <w:rsid w:val="76BE0B07"/>
    <w:rsid w:val="76D727A8"/>
    <w:rsid w:val="770716DF"/>
    <w:rsid w:val="78E0447A"/>
    <w:rsid w:val="79A61653"/>
    <w:rsid w:val="7A6D17C3"/>
    <w:rsid w:val="7BE1792E"/>
    <w:rsid w:val="7C4D0EAE"/>
    <w:rsid w:val="7C6B1764"/>
    <w:rsid w:val="7C7D3366"/>
    <w:rsid w:val="7C7F3FAA"/>
    <w:rsid w:val="7CFB1883"/>
    <w:rsid w:val="7D384885"/>
    <w:rsid w:val="7D8E3204"/>
    <w:rsid w:val="7DDA6B77"/>
    <w:rsid w:val="7E2E5C88"/>
    <w:rsid w:val="7F5C0F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6" w:lineRule="auto"/>
      <w:outlineLvl w:val="0"/>
    </w:pPr>
    <w:rPr>
      <w:b/>
      <w:kern w:val="44"/>
      <w:sz w:val="44"/>
    </w:rPr>
  </w:style>
  <w:style w:type="paragraph" w:styleId="3">
    <w:name w:val="heading 2"/>
    <w:basedOn w:val="1"/>
    <w:next w:val="1"/>
    <w:semiHidden/>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5">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paragraph" w:styleId="10">
    <w:name w:val="Normal (Web)"/>
    <w:basedOn w:val="1"/>
    <w:qFormat/>
    <w:uiPriority w:val="0"/>
    <w:pPr>
      <w:spacing w:beforeAutospacing="1" w:afterAutospacing="1"/>
      <w:jc w:val="left"/>
    </w:pPr>
    <w:rPr>
      <w:rFonts w:cs="Times New Roman"/>
      <w:kern w:val="0"/>
      <w:sz w:val="24"/>
    </w:rPr>
  </w:style>
  <w:style w:type="paragraph" w:styleId="11">
    <w:name w:val="Title"/>
    <w:basedOn w:val="1"/>
    <w:next w:val="1"/>
    <w:qFormat/>
    <w:uiPriority w:val="10"/>
    <w:pPr>
      <w:contextualSpacing/>
      <w:jc w:val="center"/>
    </w:pPr>
    <w:rPr>
      <w:rFonts w:eastAsiaTheme="majorEastAsia" w:cstheme="majorBidi"/>
      <w:b/>
      <w:spacing w:val="-10"/>
      <w:kern w:val="28"/>
      <w:sz w:val="36"/>
      <w:szCs w:val="56"/>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rFonts w:ascii="Times New Roman" w:hAnsi="Times New Roman" w:eastAsia="宋体" w:cs="Times New Roman"/>
      <w:b/>
    </w:rPr>
  </w:style>
  <w:style w:type="character" w:styleId="16">
    <w:name w:val="Emphasis"/>
    <w:basedOn w:val="14"/>
    <w:qFormat/>
    <w:uiPriority w:val="0"/>
    <w:rPr>
      <w:rFonts w:ascii="Times New Roman" w:hAnsi="Times New Roman" w:eastAsia="宋体" w:cs="Times New Roman"/>
      <w:i/>
    </w:rPr>
  </w:style>
  <w:style w:type="character" w:styleId="17">
    <w:name w:val="Hyperlink"/>
    <w:basedOn w:val="14"/>
    <w:qFormat/>
    <w:uiPriority w:val="0"/>
    <w:rPr>
      <w:rFonts w:ascii="Times New Roman" w:hAnsi="Times New Roman" w:eastAsia="宋体" w:cs="Times New Roman"/>
      <w:color w:val="0000FF"/>
      <w:u w:val="single"/>
    </w:rPr>
  </w:style>
  <w:style w:type="character" w:styleId="18">
    <w:name w:val="annotation reference"/>
    <w:basedOn w:val="14"/>
    <w:qFormat/>
    <w:uiPriority w:val="0"/>
    <w:rPr>
      <w:sz w:val="16"/>
      <w:szCs w:val="16"/>
    </w:rPr>
  </w:style>
  <w:style w:type="paragraph" w:customStyle="1" w:styleId="19">
    <w:name w:val="Revision"/>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20">
    <w:name w:val="Bibliography"/>
    <w:basedOn w:val="1"/>
    <w:qFormat/>
    <w:uiPriority w:val="0"/>
    <w:pPr>
      <w:tabs>
        <w:tab w:val="left" w:pos="504"/>
      </w:tabs>
      <w:spacing w:line="240" w:lineRule="auto"/>
      <w:ind w:left="504" w:hanging="504"/>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10c3a62514cf47ca9a2c22e7050c182d</errorID>
      <errorWord>pipelines[1,2</errorWord>
      <group>L1_English</group>
      <groupName>英文问题</groupName>
      <ability>L2_EnglishGrammar</ability>
      <abilityName>英文语法检查</abilityName>
      <candidateList>
        <item>pipelines [1,2</item>
      </candidateList>
      <explain>疑似单词空格书写不规范，建议将pipelines[1,2修改为pipelines [1,2</explain>
      <paraID>336317FE</paraID>
      <start>218</start>
      <end>3380</end>
      <status>unmodified</status>
      <modifiedWord/>
      <trackRevisions>false</trackRevisions>
    </reviewItem>
    <reviewItem>
      <errorID>cecd0e8dd85045448dfcfff471bec5b1</errorID>
      <errorWord>team[3</errorWord>
      <group>L1_English</group>
      <groupName>英文问题</groupName>
      <ability>L2_EnglishGrammar</ability>
      <abilityName>英文语法检查</abilityName>
      <candidateList>
        <item>team [3</item>
      </candidateList>
      <explain>疑似单词空格书写不规范，建议将team[3修改为team [3</explain>
      <paraID>7CD428BA</paraID>
      <start>128</start>
      <end>1418</end>
      <status>unmodified</status>
      <modifiedWord/>
      <trackRevisions>false</trackRevisions>
    </reviewItem>
    <reviewItem>
      <errorID>e30ff3dc643d4824b8d402aaaf2a52f7</errorID>
      <errorWord>team[4</errorWord>
      <group>L1_English</group>
      <groupName>英文问题</groupName>
      <ability>L2_EnglishGrammar</ability>
      <abilityName>英文语法检查</abilityName>
      <candidateList>
        <item>team [4</item>
      </candidateList>
      <explain>疑似单词空格书写不规范，建议将team[4修改为team [4</explain>
      <paraID>7CD428BA</paraID>
      <start>1472</start>
      <end>3445</end>
      <status>unmodified</status>
      <modifiedWord/>
      <trackRevisions>false</trackRevisions>
    </reviewItem>
    <reviewItem>
      <errorID>7702da45b0b84d48a11a2259f4bc8d64</errorID>
      <errorWord>team[5</errorWord>
      <group>L1_English</group>
      <groupName>英文问题</groupName>
      <ability>L2_EnglishGrammar</ability>
      <abilityName>英文语法检查</abilityName>
      <candidateList>
        <item>team [5</item>
      </candidateList>
      <explain>疑似单词空格书写不规范，建议将team[5修改为team [5</explain>
      <paraID>7CD428BA</paraID>
      <start>3517</start>
      <end>5929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46d311-4c2a-4a9c-829e-1862a11bfd7b}">
  <ds:schemaRefs/>
</ds:datastoreItem>
</file>

<file path=docProps/app.xml><?xml version="1.0" encoding="utf-8"?>
<Properties xmlns="http://schemas.openxmlformats.org/officeDocument/2006/extended-properties" xmlns:vt="http://schemas.openxmlformats.org/officeDocument/2006/docPropsVTypes">
  <Template>Normal</Template>
  <Pages>13</Pages>
  <Words>926</Words>
  <Characters>5860</Characters>
  <Lines>1565</Lines>
  <Paragraphs>779</Paragraphs>
  <TotalTime>2</TotalTime>
  <ScaleCrop>false</ScaleCrop>
  <LinksUpToDate>false</LinksUpToDate>
  <CharactersWithSpaces>6755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2026-01-11T06:23:00Z</dcterms:created>
  <dc:creator>WPS_1740034417</dc:creator>
  <cp:lastModifiedBy>姜科</cp:lastModifiedBy>
  <cp:lastPrinted>2026-01-24T14:11:00Z</cp:lastPrinted>
  <dcterms:modified xsi:type="dcterms:W3CDTF">2026-07-22T03:08:57Z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90E0C9BCC6FE44448AFAEBE18B83817D_13</vt:lpwstr>
  </property>
  <property fmtid="{D5CDD505-2E9C-101B-9397-08002B2CF9AE}" pid="4" name="KSOTemplateDocerSaveRecord">
    <vt:lpwstr>eyJoZGlkIjoiYTM5OWYwZGUyZTcxNDM0ZTAyYWNiNDhkZjQ5ZTFhY2EiLCJ1c2VySWQiOiIxNzc5NTg5MDUzIn0=</vt:lpwstr>
  </property>
  <property fmtid="{D5CDD505-2E9C-101B-9397-08002B2CF9AE}" pid="5" name="ZOTERO_PREF_1">
    <vt:lpwstr>&lt;data data-version="3" zotero-version="7.0.32"&gt;&lt;session id="H04eAuX7"/&gt;&lt;style id="http://www.zotero.org/styles/alzheimers-and-dementia-the-journal-of-the-alzheimers-association" hasBibliography="1" bibliographyStyleHasBeenSet="1"/&gt;&lt;prefs&gt;&lt;pref name="field</vt:lpwstr>
  </property>
  <property fmtid="{D5CDD505-2E9C-101B-9397-08002B2CF9AE}" pid="6" name="ZOTERO_PREF_2">
    <vt:lpwstr>Type" value="Field"/&gt;&lt;/prefs&gt;&lt;/data&gt;</vt:lpwstr>
  </property>
</Properties>
</file>