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6D43" w:rsidRPr="001E444D" w:rsidRDefault="00E70E04">
      <w:pPr>
        <w:rPr>
          <w:rFonts w:ascii="Times New Roman" w:hAnsi="Times New Roman" w:cs="Times New Roman"/>
          <w:b/>
          <w:bCs/>
        </w:rPr>
      </w:pPr>
      <w:r w:rsidRPr="001E444D">
        <w:rPr>
          <w:rFonts w:ascii="Times New Roman" w:hAnsi="Times New Roman" w:cs="Times New Roman"/>
          <w:b/>
          <w:bCs/>
        </w:rPr>
        <w:t>Supplementary information</w:t>
      </w:r>
    </w:p>
    <w:p w:rsidR="00F93E08" w:rsidRDefault="00E70E04">
      <w:pPr>
        <w:rPr>
          <w:rFonts w:ascii="Times New Roman" w:hAnsi="Times New Roman" w:cs="Times New Roman"/>
          <w:b/>
          <w:bCs/>
        </w:rPr>
      </w:pPr>
      <w:r w:rsidRPr="001E444D">
        <w:rPr>
          <w:rFonts w:ascii="Times New Roman" w:hAnsi="Times New Roman" w:cs="Times New Roman"/>
          <w:b/>
          <w:bCs/>
        </w:rPr>
        <w:t>Supplementary Figures</w:t>
      </w:r>
    </w:p>
    <w:p w:rsidR="00F93E08" w:rsidRDefault="00D82474">
      <w:pPr>
        <w:rPr>
          <w:rFonts w:ascii="Times New Roman" w:hAnsi="Times New Roman" w:cs="Times New Roman"/>
          <w:b/>
          <w:bCs/>
        </w:rPr>
      </w:pPr>
      <w:r w:rsidRPr="00D82474">
        <w:rPr>
          <w:rFonts w:ascii="Times New Roman" w:hAnsi="Times New Roman" w:cs="Times New Roman"/>
          <w:b/>
          <w:bCs/>
          <w:noProof/>
        </w:rPr>
        <w:drawing>
          <wp:inline distT="0" distB="0" distL="0" distR="0" wp14:anchorId="43C4FD21" wp14:editId="34E64133">
            <wp:extent cx="6184900" cy="6882765"/>
            <wp:effectExtent l="0" t="0" r="0" b="635"/>
            <wp:docPr id="160733631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36312" name=""/>
                    <pic:cNvPicPr/>
                  </pic:nvPicPr>
                  <pic:blipFill>
                    <a:blip r:embed="rId6"/>
                    <a:stretch>
                      <a:fillRect/>
                    </a:stretch>
                  </pic:blipFill>
                  <pic:spPr>
                    <a:xfrm>
                      <a:off x="0" y="0"/>
                      <a:ext cx="6184900" cy="6882765"/>
                    </a:xfrm>
                    <a:prstGeom prst="rect">
                      <a:avLst/>
                    </a:prstGeom>
                  </pic:spPr>
                </pic:pic>
              </a:graphicData>
            </a:graphic>
          </wp:inline>
        </w:drawing>
      </w:r>
    </w:p>
    <w:p w:rsidR="00D82474" w:rsidRDefault="00D82474" w:rsidP="00674A7F">
      <w:pPr>
        <w:jc w:val="both"/>
        <w:rPr>
          <w:rFonts w:ascii="Times New Roman" w:hAnsi="Times New Roman" w:cs="Times New Roman"/>
          <w:b/>
          <w:bCs/>
        </w:rPr>
      </w:pPr>
      <w:r>
        <w:rPr>
          <w:rFonts w:ascii="Times New Roman" w:hAnsi="Times New Roman" w:cs="Times New Roman" w:hint="eastAsia"/>
          <w:b/>
          <w:bCs/>
        </w:rPr>
        <w:t>F</w:t>
      </w:r>
      <w:r>
        <w:rPr>
          <w:rFonts w:ascii="Times New Roman" w:hAnsi="Times New Roman" w:cs="Times New Roman"/>
          <w:b/>
          <w:bCs/>
        </w:rPr>
        <w:t>igure S1.</w:t>
      </w:r>
      <w:r w:rsidR="00ED71D1" w:rsidRPr="00ED71D1">
        <w:t xml:space="preserve"> </w:t>
      </w:r>
      <w:r w:rsidR="00ED71D1" w:rsidRPr="00ED71D1">
        <w:rPr>
          <w:rFonts w:ascii="Times New Roman" w:hAnsi="Times New Roman" w:cs="Times New Roman"/>
        </w:rPr>
        <w:t>Alpha diversity and PICRUSt2-predicted bile acid-related microbial pathways in infants with and without parenteral nutrition-associated cholestasis. (A</w:t>
      </w:r>
      <w:r w:rsidR="00ED71D1">
        <w:rPr>
          <w:rFonts w:ascii="Times New Roman" w:hAnsi="Times New Roman" w:cs="Times New Roman"/>
        </w:rPr>
        <w:t>-B</w:t>
      </w:r>
      <w:r w:rsidR="00ED71D1" w:rsidRPr="00ED71D1">
        <w:rPr>
          <w:rFonts w:ascii="Times New Roman" w:hAnsi="Times New Roman" w:cs="Times New Roman"/>
        </w:rPr>
        <w:t xml:space="preserve">) Alpha-diversity comparisons between control infants and infants with PNAC after rarefaction to 45,000 reads per sample. Observed </w:t>
      </w:r>
      <w:r w:rsidR="00ED71D1" w:rsidRPr="00ED71D1">
        <w:rPr>
          <w:rFonts w:ascii="Times New Roman" w:hAnsi="Times New Roman" w:cs="Times New Roman"/>
        </w:rPr>
        <w:lastRenderedPageBreak/>
        <w:t>ASVs (A), Shannon diversity (B</w:t>
      </w:r>
      <w:r w:rsidR="00ED71D1">
        <w:rPr>
          <w:rFonts w:ascii="Times New Roman" w:hAnsi="Times New Roman" w:cs="Times New Roman"/>
        </w:rPr>
        <w:t>, left panel</w:t>
      </w:r>
      <w:r w:rsidR="00ED71D1" w:rsidRPr="00ED71D1">
        <w:rPr>
          <w:rFonts w:ascii="Times New Roman" w:hAnsi="Times New Roman" w:cs="Times New Roman"/>
        </w:rPr>
        <w:t>), and Simpson diversity (</w:t>
      </w:r>
      <w:r w:rsidR="00ED71D1">
        <w:rPr>
          <w:rFonts w:ascii="Times New Roman" w:hAnsi="Times New Roman" w:cs="Times New Roman"/>
        </w:rPr>
        <w:t>B, right panel</w:t>
      </w:r>
      <w:r w:rsidR="00ED71D1" w:rsidRPr="00ED71D1">
        <w:rPr>
          <w:rFonts w:ascii="Times New Roman" w:hAnsi="Times New Roman" w:cs="Times New Roman"/>
        </w:rPr>
        <w:t>) did not differ significantly between groups. (</w:t>
      </w:r>
      <w:r w:rsidR="00ED71D1">
        <w:rPr>
          <w:rFonts w:ascii="Times New Roman" w:hAnsi="Times New Roman" w:cs="Times New Roman"/>
        </w:rPr>
        <w:t>C</w:t>
      </w:r>
      <w:r w:rsidR="00ED71D1" w:rsidRPr="00ED71D1">
        <w:rPr>
          <w:rFonts w:ascii="Times New Roman" w:hAnsi="Times New Roman" w:cs="Times New Roman"/>
        </w:rPr>
        <w:t>) Relative abundances of selected KEGG Level 3 pathways predicted from 16S rRNA sequencing data using PICRUSt2, including primary bile acid biosynthesis, secondary bile acid biosynthesis, bile secretion, taurine and hypotaurine metabolism, glycine, serine and threonine metabolism, and steroid biosynthesis. PICRUSt2 pathway abundances are displayed as log10(relative abundance + 1 × 10</w:t>
      </w:r>
      <w:r w:rsidR="00ED71D1" w:rsidRPr="00ED71D1">
        <w:rPr>
          <w:rFonts w:ascii="Times New Roman" w:hAnsi="Times New Roman" w:cs="Times New Roman"/>
          <w:vertAlign w:val="superscript"/>
        </w:rPr>
        <w:t>−8</w:t>
      </w:r>
      <w:r w:rsidR="00ED71D1" w:rsidRPr="00ED71D1">
        <w:rPr>
          <w:rFonts w:ascii="Times New Roman" w:hAnsi="Times New Roman" w:cs="Times New Roman"/>
        </w:rPr>
        <w:t>). Group comparisons were performed using two-sided Mann–Whitney U tests. Benjamini–Hochberg correction was applied across all KEGG Level 3 pathways, and q&lt;0.05 was considered statistically significant. Steroid biosynthesis showed a nominal difference but did not remain significant after FDR correction. Boxes represent the interquartile range, center lines indicate medians, and whiskers represent the data range excluding plotted outliers. Each dot represents one infant. Abbreviations: ASV, amplicon sequence variant; KEGG, Kyoto Encyclopedia of Genes and Genomes; PNAC, parenteral nutrition-associated cholestasis.</w:t>
      </w:r>
    </w:p>
    <w:p w:rsidR="00D82474" w:rsidRPr="001E444D" w:rsidRDefault="00D82474">
      <w:pPr>
        <w:rPr>
          <w:rFonts w:ascii="Times New Roman" w:hAnsi="Times New Roman" w:cs="Times New Roman"/>
          <w:b/>
          <w:bCs/>
        </w:rPr>
      </w:pPr>
    </w:p>
    <w:p w:rsidR="004B47E9" w:rsidRDefault="004B47E9" w:rsidP="004B47E9">
      <w:pPr>
        <w:jc w:val="center"/>
        <w:rPr>
          <w:rFonts w:ascii="Times New Roman" w:hAnsi="Times New Roman" w:cs="Times New Roman"/>
          <w:b/>
          <w:bCs/>
        </w:rPr>
      </w:pPr>
      <w:r>
        <w:rPr>
          <w:rFonts w:ascii="Times New Roman" w:hAnsi="Times New Roman" w:cs="Times New Roman" w:hint="eastAsia"/>
          <w:b/>
          <w:bCs/>
          <w:noProof/>
        </w:rPr>
        <w:drawing>
          <wp:inline distT="0" distB="0" distL="0" distR="0">
            <wp:extent cx="5270500" cy="2082165"/>
            <wp:effectExtent l="0" t="0" r="0" b="635"/>
            <wp:docPr id="67679894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98943" name="圖片 6767989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2082165"/>
                    </a:xfrm>
                    <a:prstGeom prst="rect">
                      <a:avLst/>
                    </a:prstGeom>
                  </pic:spPr>
                </pic:pic>
              </a:graphicData>
            </a:graphic>
          </wp:inline>
        </w:drawing>
      </w:r>
    </w:p>
    <w:p w:rsidR="004B47E9" w:rsidRDefault="00DB343A" w:rsidP="009F6F67">
      <w:pPr>
        <w:jc w:val="both"/>
        <w:rPr>
          <w:rFonts w:ascii="Times New Roman" w:hAnsi="Times New Roman" w:cs="Times New Roman"/>
          <w:b/>
          <w:bCs/>
        </w:rPr>
      </w:pPr>
      <w:r w:rsidRPr="009F6F67">
        <w:rPr>
          <w:rFonts w:ascii="Times New Roman" w:hAnsi="Times New Roman" w:cs="Times New Roman"/>
          <w:b/>
          <w:bCs/>
        </w:rPr>
        <w:t>Fig</w:t>
      </w:r>
      <w:r w:rsidR="002E58BC">
        <w:rPr>
          <w:rFonts w:ascii="Times New Roman" w:hAnsi="Times New Roman" w:cs="Times New Roman"/>
          <w:b/>
          <w:bCs/>
        </w:rPr>
        <w:t>ure S</w:t>
      </w:r>
      <w:r w:rsidR="00D82474">
        <w:rPr>
          <w:rFonts w:ascii="Times New Roman" w:hAnsi="Times New Roman" w:cs="Times New Roman"/>
          <w:b/>
          <w:bCs/>
        </w:rPr>
        <w:t>2</w:t>
      </w:r>
      <w:r w:rsidRPr="009F6F67">
        <w:rPr>
          <w:rFonts w:ascii="Times New Roman" w:hAnsi="Times New Roman" w:cs="Times New Roman"/>
          <w:b/>
          <w:bCs/>
        </w:rPr>
        <w:t xml:space="preserve">. </w:t>
      </w:r>
      <w:r w:rsidR="009F6F67" w:rsidRPr="009F6F67">
        <w:rPr>
          <w:rFonts w:ascii="Times New Roman" w:eastAsia="新細明體" w:hAnsi="Times New Roman" w:cs="Times New Roman"/>
          <w:kern w:val="0"/>
          <w14:ligatures w14:val="none"/>
        </w:rPr>
        <w:t>Quality control and data preprocessing for multi-omics analyses.</w:t>
      </w:r>
      <w:r w:rsidR="009F6F67" w:rsidRPr="009F6F67">
        <w:rPr>
          <w:rFonts w:ascii="Times New Roman" w:hAnsi="Times New Roman" w:cs="Times New Roman"/>
          <w:b/>
          <w:bCs/>
        </w:rPr>
        <w:t xml:space="preserve"> </w:t>
      </w:r>
      <w:r w:rsidR="009F6F67" w:rsidRPr="009F6F67">
        <w:rPr>
          <w:rFonts w:ascii="Times New Roman" w:eastAsia="新細明體" w:hAnsi="Times New Roman" w:cs="Times New Roman"/>
          <w:kern w:val="0"/>
          <w14:ligatures w14:val="none"/>
        </w:rPr>
        <w:t>Summary of quality control and preprocessing steps applied to each omics dataset. For urinary metabolomics and bile acid datasets, features detected in fewer than 20% of samples were excluded, followed by log-transformation, imputation of missing values, and z-score normalization. For stool microbiome data, rare taxa present in fewer than 10% of samples were removed prior to relative abundance normalization. These steps ensured comparability across samples and facilitated cross-omics integration.</w:t>
      </w:r>
    </w:p>
    <w:p w:rsidR="004B47E9" w:rsidRDefault="004B47E9" w:rsidP="004B47E9">
      <w:pPr>
        <w:jc w:val="center"/>
        <w:rPr>
          <w:rFonts w:ascii="Times New Roman" w:hAnsi="Times New Roman" w:cs="Times New Roman"/>
          <w:b/>
          <w:bCs/>
        </w:rPr>
      </w:pPr>
      <w:r>
        <w:rPr>
          <w:rFonts w:ascii="Times New Roman" w:hAnsi="Times New Roman" w:cs="Times New Roman" w:hint="eastAsia"/>
          <w:b/>
          <w:bCs/>
          <w:noProof/>
        </w:rPr>
        <w:lastRenderedPageBreak/>
        <w:drawing>
          <wp:inline distT="0" distB="0" distL="0" distR="0">
            <wp:extent cx="5270500" cy="6627495"/>
            <wp:effectExtent l="0" t="0" r="0" b="1905"/>
            <wp:docPr id="16652597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5971" name="圖片 1665259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6627495"/>
                    </a:xfrm>
                    <a:prstGeom prst="rect">
                      <a:avLst/>
                    </a:prstGeom>
                  </pic:spPr>
                </pic:pic>
              </a:graphicData>
            </a:graphic>
          </wp:inline>
        </w:drawing>
      </w:r>
    </w:p>
    <w:p w:rsidR="009F6F67" w:rsidRPr="009F6F67" w:rsidRDefault="002E58BC" w:rsidP="009F6F67">
      <w:pPr>
        <w:jc w:val="both"/>
        <w:rPr>
          <w:rFonts w:ascii="Times New Roman" w:hAnsi="Times New Roman" w:cs="Times New Roman"/>
          <w:b/>
          <w:bCs/>
        </w:rPr>
      </w:pPr>
      <w:r w:rsidRPr="009F6F67">
        <w:rPr>
          <w:rFonts w:ascii="Times New Roman" w:hAnsi="Times New Roman" w:cs="Times New Roman"/>
          <w:b/>
          <w:bCs/>
        </w:rPr>
        <w:t>Fig</w:t>
      </w:r>
      <w:r>
        <w:rPr>
          <w:rFonts w:ascii="Times New Roman" w:hAnsi="Times New Roman" w:cs="Times New Roman"/>
          <w:b/>
          <w:bCs/>
        </w:rPr>
        <w:t>ure S</w:t>
      </w:r>
      <w:r w:rsidR="00D82474">
        <w:rPr>
          <w:rFonts w:ascii="Times New Roman" w:hAnsi="Times New Roman" w:cs="Times New Roman"/>
          <w:b/>
          <w:bCs/>
        </w:rPr>
        <w:t>3</w:t>
      </w:r>
      <w:r w:rsidR="00DB343A" w:rsidRPr="009F6F67">
        <w:rPr>
          <w:rFonts w:ascii="Times New Roman" w:hAnsi="Times New Roman" w:cs="Times New Roman"/>
          <w:b/>
          <w:bCs/>
        </w:rPr>
        <w:t xml:space="preserve">. </w:t>
      </w:r>
      <w:r w:rsidR="009F6F67" w:rsidRPr="009F6F67">
        <w:rPr>
          <w:rFonts w:ascii="Times New Roman" w:eastAsia="新細明體" w:hAnsi="Times New Roman" w:cs="Times New Roman"/>
          <w:kern w:val="0"/>
          <w14:ligatures w14:val="none"/>
        </w:rPr>
        <w:t>Expanded profiles of urinary and fecal bile acids not included in main figures.</w:t>
      </w:r>
      <w:r w:rsidR="009F6F67" w:rsidRPr="009F6F67">
        <w:rPr>
          <w:rFonts w:ascii="Times New Roman" w:hAnsi="Times New Roman" w:cs="Times New Roman"/>
          <w:b/>
          <w:bCs/>
        </w:rPr>
        <w:t xml:space="preserve"> </w:t>
      </w:r>
      <w:r w:rsidR="009F6F67" w:rsidRPr="009F6F67">
        <w:rPr>
          <w:rFonts w:ascii="Times New Roman" w:eastAsia="新細明體" w:hAnsi="Times New Roman" w:cs="Times New Roman"/>
          <w:kern w:val="0"/>
          <w14:ligatures w14:val="none"/>
        </w:rPr>
        <w:t>Individual distributions and univariate logistic regression results for additional urinary and fecal bile acids evaluated in this study but not shown in the main figures. Odds ratios (ORs) and 95% confidence intervals (CIs) were calculated per standard deviation increase of log-transformed bile acid concentrations. These analyses provide a comprehensive overview of bile acid species screened during feature selection.</w:t>
      </w:r>
    </w:p>
    <w:p w:rsidR="004B47E9" w:rsidRDefault="004B47E9" w:rsidP="004B47E9">
      <w:pPr>
        <w:jc w:val="center"/>
        <w:rPr>
          <w:rFonts w:ascii="Times New Roman" w:hAnsi="Times New Roman" w:cs="Times New Roman"/>
          <w:b/>
          <w:bCs/>
        </w:rPr>
      </w:pPr>
    </w:p>
    <w:p w:rsidR="004B47E9" w:rsidRDefault="00A34382" w:rsidP="004B47E9">
      <w:pPr>
        <w:jc w:val="center"/>
        <w:rPr>
          <w:rFonts w:ascii="Times New Roman" w:hAnsi="Times New Roman" w:cs="Times New Roman"/>
          <w:b/>
          <w:bCs/>
        </w:rPr>
      </w:pPr>
      <w:r w:rsidRPr="00A34382">
        <w:rPr>
          <w:rFonts w:ascii="Times New Roman" w:hAnsi="Times New Roman" w:cs="Times New Roman"/>
          <w:b/>
          <w:bCs/>
          <w:noProof/>
        </w:rPr>
        <w:lastRenderedPageBreak/>
        <w:drawing>
          <wp:inline distT="0" distB="0" distL="0" distR="0" wp14:anchorId="18EB0636" wp14:editId="49858607">
            <wp:extent cx="6006132" cy="8424000"/>
            <wp:effectExtent l="0" t="0" r="1270" b="0"/>
            <wp:docPr id="65206013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60131" name=""/>
                    <pic:cNvPicPr/>
                  </pic:nvPicPr>
                  <pic:blipFill>
                    <a:blip r:embed="rId9"/>
                    <a:stretch>
                      <a:fillRect/>
                    </a:stretch>
                  </pic:blipFill>
                  <pic:spPr>
                    <a:xfrm>
                      <a:off x="0" y="0"/>
                      <a:ext cx="6006132" cy="8424000"/>
                    </a:xfrm>
                    <a:prstGeom prst="rect">
                      <a:avLst/>
                    </a:prstGeom>
                  </pic:spPr>
                </pic:pic>
              </a:graphicData>
            </a:graphic>
          </wp:inline>
        </w:drawing>
      </w:r>
    </w:p>
    <w:p w:rsidR="00DB343A" w:rsidRPr="009F6F67" w:rsidRDefault="002E58BC" w:rsidP="009F6F67">
      <w:pPr>
        <w:jc w:val="both"/>
        <w:rPr>
          <w:rFonts w:ascii="Times New Roman" w:hAnsi="Times New Roman" w:cs="Times New Roman"/>
          <w:b/>
          <w:bCs/>
        </w:rPr>
      </w:pPr>
      <w:r w:rsidRPr="009F6F67">
        <w:rPr>
          <w:rFonts w:ascii="Times New Roman" w:hAnsi="Times New Roman" w:cs="Times New Roman"/>
          <w:b/>
          <w:bCs/>
        </w:rPr>
        <w:t>Fig</w:t>
      </w:r>
      <w:r>
        <w:rPr>
          <w:rFonts w:ascii="Times New Roman" w:hAnsi="Times New Roman" w:cs="Times New Roman"/>
          <w:b/>
          <w:bCs/>
        </w:rPr>
        <w:t>ure S</w:t>
      </w:r>
      <w:r w:rsidR="00D82474">
        <w:rPr>
          <w:rFonts w:ascii="Times New Roman" w:hAnsi="Times New Roman" w:cs="Times New Roman"/>
          <w:b/>
          <w:bCs/>
        </w:rPr>
        <w:t>4</w:t>
      </w:r>
      <w:r w:rsidR="00DB343A" w:rsidRPr="009F6F67">
        <w:rPr>
          <w:rFonts w:ascii="Times New Roman" w:hAnsi="Times New Roman" w:cs="Times New Roman"/>
          <w:b/>
          <w:bCs/>
        </w:rPr>
        <w:t xml:space="preserve">-1. </w:t>
      </w:r>
    </w:p>
    <w:p w:rsidR="004B47E9" w:rsidRDefault="00A34382" w:rsidP="004B47E9">
      <w:pPr>
        <w:jc w:val="center"/>
        <w:rPr>
          <w:rFonts w:ascii="Times New Roman" w:hAnsi="Times New Roman" w:cs="Times New Roman"/>
          <w:b/>
          <w:bCs/>
        </w:rPr>
      </w:pPr>
      <w:r w:rsidRPr="00A34382">
        <w:rPr>
          <w:rFonts w:ascii="Times New Roman" w:hAnsi="Times New Roman" w:cs="Times New Roman"/>
          <w:b/>
          <w:bCs/>
          <w:noProof/>
        </w:rPr>
        <w:lastRenderedPageBreak/>
        <w:drawing>
          <wp:inline distT="0" distB="0" distL="0" distR="0" wp14:anchorId="2CB449C6" wp14:editId="43353297">
            <wp:extent cx="6197580" cy="8424000"/>
            <wp:effectExtent l="0" t="0" r="635" b="0"/>
            <wp:docPr id="5599665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6653" name=""/>
                    <pic:cNvPicPr/>
                  </pic:nvPicPr>
                  <pic:blipFill>
                    <a:blip r:embed="rId10"/>
                    <a:stretch>
                      <a:fillRect/>
                    </a:stretch>
                  </pic:blipFill>
                  <pic:spPr>
                    <a:xfrm>
                      <a:off x="0" y="0"/>
                      <a:ext cx="6197580" cy="8424000"/>
                    </a:xfrm>
                    <a:prstGeom prst="rect">
                      <a:avLst/>
                    </a:prstGeom>
                  </pic:spPr>
                </pic:pic>
              </a:graphicData>
            </a:graphic>
          </wp:inline>
        </w:drawing>
      </w:r>
    </w:p>
    <w:p w:rsidR="009F6F67" w:rsidRPr="009F6F67" w:rsidRDefault="002E58BC" w:rsidP="009F6F67">
      <w:pPr>
        <w:jc w:val="both"/>
        <w:rPr>
          <w:rFonts w:ascii="Times New Roman" w:hAnsi="Times New Roman" w:cs="Times New Roman"/>
          <w:b/>
          <w:bCs/>
        </w:rPr>
      </w:pPr>
      <w:r w:rsidRPr="009F6F67">
        <w:rPr>
          <w:rFonts w:ascii="Times New Roman" w:hAnsi="Times New Roman" w:cs="Times New Roman"/>
          <w:b/>
          <w:bCs/>
        </w:rPr>
        <w:t>Fig</w:t>
      </w:r>
      <w:r>
        <w:rPr>
          <w:rFonts w:ascii="Times New Roman" w:hAnsi="Times New Roman" w:cs="Times New Roman"/>
          <w:b/>
          <w:bCs/>
        </w:rPr>
        <w:t>ure S</w:t>
      </w:r>
      <w:r w:rsidR="00D82474">
        <w:rPr>
          <w:rFonts w:ascii="Times New Roman" w:hAnsi="Times New Roman" w:cs="Times New Roman"/>
          <w:b/>
          <w:bCs/>
        </w:rPr>
        <w:t>4</w:t>
      </w:r>
      <w:r w:rsidR="00DB343A">
        <w:rPr>
          <w:rFonts w:ascii="Times New Roman" w:hAnsi="Times New Roman" w:cs="Times New Roman"/>
          <w:b/>
          <w:bCs/>
        </w:rPr>
        <w:t xml:space="preserve">-2. </w:t>
      </w:r>
    </w:p>
    <w:p w:rsidR="004B47E9" w:rsidRDefault="00A34382" w:rsidP="004B47E9">
      <w:pPr>
        <w:jc w:val="center"/>
        <w:rPr>
          <w:rFonts w:ascii="Times New Roman" w:hAnsi="Times New Roman" w:cs="Times New Roman"/>
          <w:b/>
          <w:bCs/>
        </w:rPr>
      </w:pPr>
      <w:r w:rsidRPr="00A34382">
        <w:rPr>
          <w:rFonts w:ascii="Times New Roman" w:hAnsi="Times New Roman" w:cs="Times New Roman"/>
          <w:b/>
          <w:bCs/>
          <w:noProof/>
        </w:rPr>
        <w:lastRenderedPageBreak/>
        <w:drawing>
          <wp:inline distT="0" distB="0" distL="0" distR="0" wp14:anchorId="7A10E091" wp14:editId="5E2057B2">
            <wp:extent cx="6020235" cy="8424000"/>
            <wp:effectExtent l="0" t="0" r="0" b="0"/>
            <wp:docPr id="17955943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94392" name=""/>
                    <pic:cNvPicPr/>
                  </pic:nvPicPr>
                  <pic:blipFill>
                    <a:blip r:embed="rId11"/>
                    <a:stretch>
                      <a:fillRect/>
                    </a:stretch>
                  </pic:blipFill>
                  <pic:spPr>
                    <a:xfrm>
                      <a:off x="0" y="0"/>
                      <a:ext cx="6020235" cy="8424000"/>
                    </a:xfrm>
                    <a:prstGeom prst="rect">
                      <a:avLst/>
                    </a:prstGeom>
                  </pic:spPr>
                </pic:pic>
              </a:graphicData>
            </a:graphic>
          </wp:inline>
        </w:drawing>
      </w:r>
    </w:p>
    <w:p w:rsidR="009F6F67" w:rsidRPr="009F6F67" w:rsidRDefault="002E58BC" w:rsidP="009F6F67">
      <w:pPr>
        <w:jc w:val="both"/>
        <w:rPr>
          <w:rFonts w:ascii="Times New Roman" w:hAnsi="Times New Roman" w:cs="Times New Roman"/>
          <w:b/>
          <w:bCs/>
        </w:rPr>
      </w:pPr>
      <w:r w:rsidRPr="009F6F67">
        <w:rPr>
          <w:rFonts w:ascii="Times New Roman" w:hAnsi="Times New Roman" w:cs="Times New Roman"/>
          <w:b/>
          <w:bCs/>
        </w:rPr>
        <w:t>Fig</w:t>
      </w:r>
      <w:r>
        <w:rPr>
          <w:rFonts w:ascii="Times New Roman" w:hAnsi="Times New Roman" w:cs="Times New Roman"/>
          <w:b/>
          <w:bCs/>
        </w:rPr>
        <w:t>ure S</w:t>
      </w:r>
      <w:r w:rsidR="00D82474">
        <w:rPr>
          <w:rFonts w:ascii="Times New Roman" w:hAnsi="Times New Roman" w:cs="Times New Roman"/>
          <w:b/>
          <w:bCs/>
        </w:rPr>
        <w:t>4</w:t>
      </w:r>
      <w:r w:rsidR="00DB343A">
        <w:rPr>
          <w:rFonts w:ascii="Times New Roman" w:hAnsi="Times New Roman" w:cs="Times New Roman"/>
          <w:b/>
          <w:bCs/>
        </w:rPr>
        <w:t xml:space="preserve">-3. </w:t>
      </w:r>
    </w:p>
    <w:p w:rsidR="004B47E9" w:rsidRDefault="00A34382" w:rsidP="004B47E9">
      <w:pPr>
        <w:jc w:val="center"/>
        <w:rPr>
          <w:rFonts w:ascii="Times New Roman" w:hAnsi="Times New Roman" w:cs="Times New Roman"/>
          <w:b/>
          <w:bCs/>
        </w:rPr>
      </w:pPr>
      <w:r w:rsidRPr="00A34382">
        <w:rPr>
          <w:rFonts w:ascii="Times New Roman" w:hAnsi="Times New Roman" w:cs="Times New Roman"/>
          <w:b/>
          <w:bCs/>
          <w:noProof/>
        </w:rPr>
        <w:lastRenderedPageBreak/>
        <w:drawing>
          <wp:inline distT="0" distB="0" distL="0" distR="0" wp14:anchorId="3923084D" wp14:editId="79E9A3FD">
            <wp:extent cx="6184900" cy="3720465"/>
            <wp:effectExtent l="0" t="0" r="0" b="635"/>
            <wp:docPr id="213348194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481946" name=""/>
                    <pic:cNvPicPr/>
                  </pic:nvPicPr>
                  <pic:blipFill>
                    <a:blip r:embed="rId12"/>
                    <a:stretch>
                      <a:fillRect/>
                    </a:stretch>
                  </pic:blipFill>
                  <pic:spPr>
                    <a:xfrm>
                      <a:off x="0" y="0"/>
                      <a:ext cx="6184900" cy="3720465"/>
                    </a:xfrm>
                    <a:prstGeom prst="rect">
                      <a:avLst/>
                    </a:prstGeom>
                  </pic:spPr>
                </pic:pic>
              </a:graphicData>
            </a:graphic>
          </wp:inline>
        </w:drawing>
      </w:r>
    </w:p>
    <w:p w:rsidR="009F6F67" w:rsidRPr="009F6F67" w:rsidRDefault="002E58BC" w:rsidP="009F6F67">
      <w:pPr>
        <w:jc w:val="both"/>
        <w:rPr>
          <w:rFonts w:ascii="Times New Roman" w:hAnsi="Times New Roman" w:cs="Times New Roman"/>
          <w:b/>
          <w:bCs/>
        </w:rPr>
      </w:pPr>
      <w:r w:rsidRPr="009F6F67">
        <w:rPr>
          <w:rFonts w:ascii="Times New Roman" w:hAnsi="Times New Roman" w:cs="Times New Roman"/>
          <w:b/>
          <w:bCs/>
        </w:rPr>
        <w:t>Fig</w:t>
      </w:r>
      <w:r>
        <w:rPr>
          <w:rFonts w:ascii="Times New Roman" w:hAnsi="Times New Roman" w:cs="Times New Roman"/>
          <w:b/>
          <w:bCs/>
        </w:rPr>
        <w:t>ure S</w:t>
      </w:r>
      <w:r w:rsidR="00D82474">
        <w:rPr>
          <w:rFonts w:ascii="Times New Roman" w:hAnsi="Times New Roman" w:cs="Times New Roman"/>
          <w:b/>
          <w:bCs/>
        </w:rPr>
        <w:t>4</w:t>
      </w:r>
      <w:r w:rsidR="00DB343A">
        <w:rPr>
          <w:rFonts w:ascii="Times New Roman" w:hAnsi="Times New Roman" w:cs="Times New Roman"/>
          <w:b/>
          <w:bCs/>
        </w:rPr>
        <w:t xml:space="preserve">-4. </w:t>
      </w:r>
      <w:r w:rsidR="009F6F67" w:rsidRPr="009F6F67">
        <w:rPr>
          <w:rFonts w:ascii="Times New Roman" w:hAnsi="Times New Roman" w:cs="Times New Roman"/>
        </w:rPr>
        <w:t>Extended cross-omics correlations between urinary bile acids and urinary metabolites. Spearman correlation analysis illustrating associations between urinary bile acids and urinary metabolites beyond those displayed in the main cross-omics network. Several sulfated and conjugated bile acids showed strong positive correlations with metabolites related to amino acid metabolism and nitrogen handling. Only correlations meeting the predefined significance thresholds (|ρ| ≥ 0.3, false discovery rate–adjusted P &lt; 0.05) are shown.</w:t>
      </w:r>
    </w:p>
    <w:p w:rsidR="00357BE3" w:rsidRDefault="00357BE3" w:rsidP="009C1CB9">
      <w:pPr>
        <w:jc w:val="center"/>
        <w:rPr>
          <w:rFonts w:ascii="Times New Roman" w:hAnsi="Times New Roman" w:cs="Times New Roman"/>
          <w:b/>
          <w:bCs/>
        </w:rPr>
      </w:pPr>
      <w:r>
        <w:rPr>
          <w:rFonts w:ascii="Times New Roman" w:hAnsi="Times New Roman" w:cs="Times New Roman"/>
          <w:b/>
          <w:bCs/>
        </w:rPr>
        <w:br w:type="page"/>
      </w:r>
    </w:p>
    <w:p w:rsidR="00357BE3" w:rsidRDefault="00357BE3" w:rsidP="004B47E9">
      <w:pPr>
        <w:jc w:val="center"/>
        <w:rPr>
          <w:rFonts w:ascii="Times New Roman" w:hAnsi="Times New Roman" w:cs="Times New Roman"/>
          <w:b/>
          <w:bCs/>
        </w:rPr>
        <w:sectPr w:rsidR="00357BE3" w:rsidSect="009F6F67">
          <w:pgSz w:w="11900" w:h="16840"/>
          <w:pgMar w:top="1440" w:right="1080" w:bottom="1440" w:left="1080" w:header="851" w:footer="992" w:gutter="0"/>
          <w:cols w:space="425"/>
          <w:docGrid w:type="lines" w:linePitch="360"/>
        </w:sectPr>
      </w:pPr>
    </w:p>
    <w:tbl>
      <w:tblPr>
        <w:tblW w:w="12867" w:type="dxa"/>
        <w:jc w:val="center"/>
        <w:tblLook w:val="04A0" w:firstRow="1" w:lastRow="0" w:firstColumn="1" w:lastColumn="0" w:noHBand="0" w:noVBand="1"/>
      </w:tblPr>
      <w:tblGrid>
        <w:gridCol w:w="2410"/>
        <w:gridCol w:w="898"/>
        <w:gridCol w:w="1548"/>
        <w:gridCol w:w="759"/>
        <w:gridCol w:w="26"/>
        <w:gridCol w:w="916"/>
        <w:gridCol w:w="1276"/>
        <w:gridCol w:w="824"/>
        <w:gridCol w:w="26"/>
        <w:gridCol w:w="945"/>
        <w:gridCol w:w="1748"/>
        <w:gridCol w:w="706"/>
        <w:gridCol w:w="770"/>
        <w:gridCol w:w="15"/>
      </w:tblGrid>
      <w:tr w:rsidR="00357BE3" w:rsidRPr="00C103A0" w:rsidTr="002C109C">
        <w:trPr>
          <w:gridAfter w:val="1"/>
          <w:wAfter w:w="15" w:type="dxa"/>
          <w:jc w:val="center"/>
        </w:trPr>
        <w:tc>
          <w:tcPr>
            <w:tcW w:w="12852" w:type="dxa"/>
            <w:gridSpan w:val="13"/>
            <w:tcBorders>
              <w:bottom w:val="single" w:sz="4" w:space="0" w:color="auto"/>
            </w:tcBorders>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1431E2">
              <w:rPr>
                <w:rFonts w:ascii="Times New Roman" w:hAnsi="Times New Roman" w:cs="Times New Roman"/>
                <w:b/>
                <w:bCs/>
                <w:color w:val="000000" w:themeColor="text1"/>
                <w:sz w:val="16"/>
                <w:szCs w:val="16"/>
              </w:rPr>
              <w:lastRenderedPageBreak/>
              <w:t>Table S</w:t>
            </w:r>
            <w:r w:rsidR="009C1CB9">
              <w:rPr>
                <w:rFonts w:ascii="Times New Roman" w:hAnsi="Times New Roman" w:cs="Times New Roman"/>
                <w:b/>
                <w:bCs/>
                <w:color w:val="000000" w:themeColor="text1"/>
                <w:sz w:val="16"/>
                <w:szCs w:val="16"/>
              </w:rPr>
              <w:t>1</w:t>
            </w:r>
            <w:r w:rsidRPr="001431E2">
              <w:rPr>
                <w:rFonts w:ascii="Times New Roman" w:hAnsi="Times New Roman" w:cs="Times New Roman"/>
                <w:b/>
                <w:bCs/>
                <w:color w:val="000000" w:themeColor="text1"/>
                <w:sz w:val="16"/>
                <w:szCs w:val="16"/>
              </w:rPr>
              <w:t>.</w:t>
            </w:r>
            <w:r w:rsidRPr="00C103A0">
              <w:rPr>
                <w:rFonts w:ascii="Times New Roman" w:hAnsi="Times New Roman" w:cs="Times New Roman"/>
                <w:color w:val="000000" w:themeColor="text1"/>
                <w:sz w:val="16"/>
                <w:szCs w:val="16"/>
              </w:rPr>
              <w:t xml:space="preserve"> Logistic regression analysis of urinary bile acids associated with PNAC onset</w:t>
            </w:r>
          </w:p>
        </w:tc>
      </w:tr>
      <w:tr w:rsidR="00357BE3" w:rsidRPr="00C103A0" w:rsidTr="002C109C">
        <w:trPr>
          <w:jc w:val="center"/>
        </w:trPr>
        <w:tc>
          <w:tcPr>
            <w:tcW w:w="2410" w:type="dxa"/>
            <w:vMerge w:val="restart"/>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 xml:space="preserve">Urine </w:t>
            </w:r>
            <w:r>
              <w:rPr>
                <w:rFonts w:ascii="Times New Roman" w:hAnsi="Times New Roman" w:cs="Times New Roman"/>
                <w:sz w:val="16"/>
                <w:szCs w:val="16"/>
              </w:rPr>
              <w:t>metabolite</w:t>
            </w:r>
          </w:p>
        </w:tc>
        <w:tc>
          <w:tcPr>
            <w:tcW w:w="3205" w:type="dxa"/>
            <w:gridSpan w:val="3"/>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P</w:t>
            </w:r>
            <w:r>
              <w:rPr>
                <w:rFonts w:ascii="Times New Roman" w:hAnsi="Times New Roman" w:cs="Times New Roman"/>
                <w:sz w:val="16"/>
                <w:szCs w:val="16"/>
              </w:rPr>
              <w:t>er log increase</w:t>
            </w:r>
          </w:p>
        </w:tc>
        <w:tc>
          <w:tcPr>
            <w:tcW w:w="3042" w:type="dxa"/>
            <w:gridSpan w:val="4"/>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P</w:t>
            </w:r>
            <w:r>
              <w:rPr>
                <w:rFonts w:ascii="Times New Roman" w:hAnsi="Times New Roman" w:cs="Times New Roman"/>
                <w:sz w:val="16"/>
                <w:szCs w:val="16"/>
              </w:rPr>
              <w:t>er SD increase</w:t>
            </w:r>
          </w:p>
        </w:tc>
        <w:tc>
          <w:tcPr>
            <w:tcW w:w="3425" w:type="dxa"/>
            <w:gridSpan w:val="4"/>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S</w:t>
            </w:r>
            <w:r>
              <w:rPr>
                <w:rFonts w:ascii="Times New Roman" w:hAnsi="Times New Roman" w:cs="Times New Roman"/>
                <w:sz w:val="16"/>
                <w:szCs w:val="16"/>
              </w:rPr>
              <w:t>ex-adjusted per SD increase</w:t>
            </w:r>
          </w:p>
        </w:tc>
        <w:tc>
          <w:tcPr>
            <w:tcW w:w="785" w:type="dxa"/>
            <w:gridSpan w:val="2"/>
            <w:vMerge w:val="restart"/>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FDR q</w:t>
            </w:r>
          </w:p>
        </w:tc>
      </w:tr>
      <w:tr w:rsidR="00357BE3" w:rsidRPr="00C103A0" w:rsidTr="002C109C">
        <w:trPr>
          <w:jc w:val="center"/>
        </w:trPr>
        <w:tc>
          <w:tcPr>
            <w:tcW w:w="2410" w:type="dxa"/>
            <w:vMerge/>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p>
        </w:tc>
        <w:tc>
          <w:tcPr>
            <w:tcW w:w="898"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OR</w:t>
            </w:r>
          </w:p>
        </w:tc>
        <w:tc>
          <w:tcPr>
            <w:tcW w:w="1548"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95% CI</w:t>
            </w:r>
          </w:p>
        </w:tc>
        <w:tc>
          <w:tcPr>
            <w:tcW w:w="785" w:type="dxa"/>
            <w:gridSpan w:val="2"/>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P</w:t>
            </w:r>
          </w:p>
        </w:tc>
        <w:tc>
          <w:tcPr>
            <w:tcW w:w="916"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OR</w:t>
            </w:r>
          </w:p>
        </w:tc>
        <w:tc>
          <w:tcPr>
            <w:tcW w:w="1276"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95% CI</w:t>
            </w:r>
          </w:p>
        </w:tc>
        <w:tc>
          <w:tcPr>
            <w:tcW w:w="850" w:type="dxa"/>
            <w:gridSpan w:val="2"/>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P</w:t>
            </w:r>
          </w:p>
        </w:tc>
        <w:tc>
          <w:tcPr>
            <w:tcW w:w="945"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OR</w:t>
            </w:r>
          </w:p>
        </w:tc>
        <w:tc>
          <w:tcPr>
            <w:tcW w:w="1748"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95% CI</w:t>
            </w:r>
          </w:p>
        </w:tc>
        <w:tc>
          <w:tcPr>
            <w:tcW w:w="706" w:type="dxa"/>
            <w:tcBorders>
              <w:top w:val="single" w:sz="4" w:space="0" w:color="auto"/>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P</w:t>
            </w:r>
          </w:p>
        </w:tc>
        <w:tc>
          <w:tcPr>
            <w:tcW w:w="785" w:type="dxa"/>
            <w:gridSpan w:val="2"/>
            <w:vMerge/>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p>
        </w:tc>
      </w:tr>
      <w:tr w:rsidR="00357BE3" w:rsidRPr="00C103A0" w:rsidTr="002C109C">
        <w:trPr>
          <w:jc w:val="center"/>
        </w:trPr>
        <w:tc>
          <w:tcPr>
            <w:tcW w:w="2410" w:type="dxa"/>
            <w:tcBorders>
              <w:top w:val="single" w:sz="4" w:space="0" w:color="auto"/>
            </w:tcBorders>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D-Gluconic acid</w:t>
            </w:r>
          </w:p>
        </w:tc>
        <w:tc>
          <w:tcPr>
            <w:tcW w:w="898"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1.161</w:t>
            </w:r>
          </w:p>
        </w:tc>
        <w:tc>
          <w:tcPr>
            <w:tcW w:w="1548"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1.087–1.240</w:t>
            </w:r>
          </w:p>
        </w:tc>
        <w:tc>
          <w:tcPr>
            <w:tcW w:w="785" w:type="dxa"/>
            <w:gridSpan w:val="2"/>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16"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6.553</w:t>
            </w:r>
          </w:p>
        </w:tc>
        <w:tc>
          <w:tcPr>
            <w:tcW w:w="1276" w:type="dxa"/>
            <w:tcBorders>
              <w:top w:val="single" w:sz="4" w:space="0" w:color="auto"/>
            </w:tcBorders>
            <w:vAlign w:val="center"/>
          </w:tcPr>
          <w:p w:rsidR="00357BE3" w:rsidRPr="00C103A0" w:rsidRDefault="00357BE3" w:rsidP="002C109C">
            <w:pPr>
              <w:adjustRightInd w:val="0"/>
              <w:snapToGrid w:val="0"/>
              <w:spacing w:after="0" w:line="240" w:lineRule="auto"/>
              <w:ind w:rightChars="-110" w:right="-264"/>
              <w:jc w:val="center"/>
              <w:rPr>
                <w:rFonts w:ascii="Times New Roman" w:hAnsi="Times New Roman" w:cs="Times New Roman"/>
                <w:sz w:val="16"/>
                <w:szCs w:val="16"/>
              </w:rPr>
            </w:pPr>
            <w:r w:rsidRPr="00C103A0">
              <w:rPr>
                <w:rFonts w:ascii="Times New Roman" w:hAnsi="Times New Roman" w:cs="Times New Roman"/>
                <w:sz w:val="16"/>
                <w:szCs w:val="16"/>
              </w:rPr>
              <w:t>2.864–14.991</w:t>
            </w:r>
          </w:p>
        </w:tc>
        <w:tc>
          <w:tcPr>
            <w:tcW w:w="850" w:type="dxa"/>
            <w:gridSpan w:val="2"/>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45"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1.188</w:t>
            </w:r>
          </w:p>
        </w:tc>
        <w:tc>
          <w:tcPr>
            <w:tcW w:w="1748"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1.097–1.287</w:t>
            </w:r>
          </w:p>
        </w:tc>
        <w:tc>
          <w:tcPr>
            <w:tcW w:w="706" w:type="dxa"/>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785" w:type="dxa"/>
            <w:gridSpan w:val="2"/>
            <w:tcBorders>
              <w:top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1-Methylguanidine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182.721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18.396–1.81e+03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10.093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3.643–27.966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304.037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22.654–4.08e+03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Guanidinoacetic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2.100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1.482–2.974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4.404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2.196–8.832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2.506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1.587–3.957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N-Acetyltyrosine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2.915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1.764–4.818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7.585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2.929–19.642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1.938–7.081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3-Methylglutaconic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3.97e+03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60.424–2.61e+05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4.157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2.024–8.538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9.20e+03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96.183–8.80e+05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&lt;0.001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0.003</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Proline betaine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1.05e+09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6.10e+03–1.80e+14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3.036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1.594–5.784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8.61e+08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4.62e+03–1.61e+14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Xanthurenic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1.53e+37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3.35e+14–7.02e+59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2.491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1.428–4.343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4.30e+39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5.99e+15–3.09e+63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L-Tryptophan</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2.48e+06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298.314–2.06e+10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7.361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2.165–25.020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3.15e+07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1.70e+03–5.85e+11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Phenylalanine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3.99e+08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2.07e+03–7.69e+13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2.544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1.433–4.516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5.08e+09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1.43e+04–1.80e+15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Glycine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1.690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1.186–2.408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2.779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1.394–5.540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1.693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1.184–2.422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0.048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Methanol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94.597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3.265–2.74e+03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2.705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1.295–5.650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92.595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3.299–2.60e+03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L-Citramalic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7.937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1.671–37.706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1.968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1.183–3.274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0.009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7.848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1.618–38.073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Oxaloacetic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1.390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1.077–1.793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1.897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1.155–3.115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1.382</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1.067–1.790</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0.114</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N-Acetylaspartic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187.838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3.035–1.16e+04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1.916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1.148–3.199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219.604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3.534–1.36e+04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Sarcosine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2.33e+13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449.545–1.21e+24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1.871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1.132–3.092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2.03e+14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2.06e+03–2.00e+25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4-Hydroxyphenylpyruvic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135.832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2.624–7.03e+03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1.883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1.132–3.133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192.162</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3.115–1.19e+04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Leucine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6.31e+05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8.790–4.54e+10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1.864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1.107–3.139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6.15e+06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34.206–1.11e+12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0.132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3-Methyl-2-oxovaleric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1.20e+50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8.98e+07–1.61e+92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2.064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1.122–3.798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3.76e+55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1.25e+12–1.13e+99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0.132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Propionic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0.000–0.008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0.084–0.812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0.000–0.052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0.132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3-Hydroxybutyric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194.003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2.267–1.66e+04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1.825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1.098–3.033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447.167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3.405–5.87e+04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0.132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Succinic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0.000–0.399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0.007–0.702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0.000–0.419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b/>
                <w:bCs/>
                <w:sz w:val="16"/>
                <w:szCs w:val="16"/>
              </w:rPr>
            </w:pPr>
            <w:r w:rsidRPr="00C103A0">
              <w:rPr>
                <w:rFonts w:ascii="Times New Roman" w:hAnsi="Times New Roman" w:cs="Times New Roman"/>
                <w:b/>
                <w:bCs/>
                <w:sz w:val="16"/>
                <w:szCs w:val="16"/>
              </w:rPr>
              <w:t>0.025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4-Pyridoxic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1.28e+11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0.449–3.65e+22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1.642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0.985–2.738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3.83e+11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0.843–1.74e+23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5-Aminolevulinic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3.38e+50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0.011–1.04e+103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1.742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0.979–3.102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1.29e+48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0.003–6.03e+98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Alanine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3.909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0.897–17.031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1.565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0.965–2.538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4.281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0.942–19.458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Pantothenic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3.78e+05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0.318–4.50e+11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0.072</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1.581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0.960–2.603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0.072</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2.29e+06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1.153–4.55e+12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Phenylacetic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0.000–16.590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0.154–1.092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0.000–90.954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2-Hydroxyisovaleric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1.26e+11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0.017–9.09e+23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1.532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0.935–2.510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3.75e+13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1.317–1.07e+27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Acetone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0.000–1.02e+03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0.092</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0.002–1.611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0.092</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0.000–1.03e+05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Glycolic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2.738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0.762–9.832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1.453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0.904–2.335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0.805–11.181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0.102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0.549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L-Fucose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3.028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0.728–12.593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1.453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0.899–2.348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0.128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3.675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0.839–16.092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0.084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0.553</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Cystine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713.076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0.104–4.87e+06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1.579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0.855–2.917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1.08e+03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0.065–1.80e+07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0.159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0.596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Valine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4.94e+05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0.010–2.42e+13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1.468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0.874–2.467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1.33e+05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0.002–8.39e+12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0.198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0.596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Dihydrouracil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1.46e+05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0.009–2.37e+12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1.392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0.877–2.210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2.75e+05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0.013–5.81e+12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2-Oxoglutaric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0.035–1.761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0.178–1.337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0.020–1.559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Thymine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0–5.33e+203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0.000–4.211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0–1.77e+219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Trigonelline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0.000–4.95e+13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0.391–1.180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0.000–1.15e+16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0.200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Cytosine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6.25e+71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0.000–2.60e+175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1.388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0.865–2.226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7.54e+80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0.000–2.76e+189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0.613</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4-Hydroxyphenylacetic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0.000–4.850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0.597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0.279–1.277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0.000–7.297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0.622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Uridine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3.65e+12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0.000–1.62e+31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1.366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0.860–2.172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1.70e+13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0.000–1.24e+32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0.622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D-Galactose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0.286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0.043–1.899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0.195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0.378–1.219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0.195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0.242</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0.034–1.736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0.158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0.634</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Taurine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1.475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0.805–2.704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0.209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1.362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0.842–2.203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0.209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1.560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0.846–2.878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0.154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D-Glucose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1.067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0.964–1.182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0.209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1.336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0.850–2.100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0.209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0.985–1.228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3-Hydroxypropionic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0.000–2.01e+03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0.216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0.465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0.138–1.566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0.216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0.000–2.90e+03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0.227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0.654</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3-Phenyllactic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579.434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0.018–1.88e+07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1.323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0.837–2.091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1.41e+04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0.165–1.21e+09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Paracetamol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0.000–2.88e+03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0.278–1.376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0.000–2.67e+04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lastRenderedPageBreak/>
              <w:t>N-Acetylphenylalanine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9.00e+08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0.000–9.36e+23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1.305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0.835–2.040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4.28e+09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0.000–7.23e+24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0.215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Succinylacetone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0.000–1.59e+05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0.585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0.238–1.438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0.000–6.96e+05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0.281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Allantoin</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0.000–23.048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0.325–1.339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0.020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0.000–37.529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Paracetamol-glucuronide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4.51e+08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0.000–8.01e+23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1.431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0.761–2.689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2.65e+10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0.000–7.22e+26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Dimethylamine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10.993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0.160–756.562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1.314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0.812–2.127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25.557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0.297–2.20e+03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0.154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Arginine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1.473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0.743–2.920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1.298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0.819–2.057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1.644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0.809–3.343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Myo-Inositol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0.572–1.167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0.386–1.302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0.580–1.217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Imidazole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1.61e+04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0.001–4.44e+11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1.319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0.809–2.150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7.98e+04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0.001–4.60e+12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0.216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Phenylpyruvic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0.000–3.33e+03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0.279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0.404–1.299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0.279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0.000–4.93e+03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Galactitol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195.495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0.009–4.12e+06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1.280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0.803–2.040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182.445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0.005–7.20e+06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0.707</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Betaine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1.441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0.712–2.917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1.289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0.790–2.102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1.393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0.680–2.852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0.719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N-Isovaleroylglycine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0.000–1.37e+24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0.327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0.718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0.369–1.394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0.327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0.000–3.88e+27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0.744</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Creatinine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1.442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0.688–3.022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0.332</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1.270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0.784–2.057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0.332</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1.586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0.737–3.416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0.744</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Inosine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7.42e+06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0.000–1.68e+21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0.348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1.253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0.782–2.006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0.348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7.16e+08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0.000–5.31e+23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0.243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Maleic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7.45e+14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0.000–1.11e+46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1.240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0.790–1.946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6.59e+14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0.000–1.28e+46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Orotic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2.84e+44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0.000–6.14e+142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1.234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0.775–1.962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6.32e+49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0.000–2.65e+148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0.322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4-Aminobutyric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581.051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0.000–7.79e+08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1.235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0.774–1.971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3.75e+03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0.002–7.98e+09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0.268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Butyric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0.000–1.00e+04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0.361–1.472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0.000–9.98e+03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L-Pyroglutamic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0.000–1.14e+03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0.393–1.434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0.000–1.49e+03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Fumaric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0.000–4.66e+06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0.390–1.452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0.000–1.29e+07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Methionine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0.000–3.97e+14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0.400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0.299–1.619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0.400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0.000–6.65e+13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0.788</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2-Methylsuccinic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0.000–1.40e+06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0.329–1.578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0.000–2.94e+06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0.467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Lactic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0.019–5.120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0.367–1.512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0.239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0.012–4.715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0.347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Choline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0.000–2.47e+05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0.377–1.510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0.000–1.87e+05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1,3-Dimethyluric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0.000–2.35e+04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0.448–1.404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0.000–1.27e+05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0.537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0.359–1.547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0.431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0.227–1.883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0.431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0.314–1.585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Trimethylamine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0.000–2.26e+16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0.472</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0.315–1.706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0.472</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0.000–1.56e+17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2-Hydroxyphenylacetic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0.000–3.04e+27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0.763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0.364–1.601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0.000–2.67e+32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0.000–4.12e+13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0.439–1.478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0.000–4.85e+16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2-Oxoisovaleric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0.000–8.07e+63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0.715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0.277–1.846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0.000–3.04e+60</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Citric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0.420–1.527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0.457–1.466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0.390–1.543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Allopurinol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4.76e+03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0.000–2.69e+14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0.725–1.926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1.54e+05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0.000–2.55e+16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D-Mannose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3.054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0.112–83.360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1.171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0.733–1.870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5.179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0.164–163.841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Theobromine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0.102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0.000–101.560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0.516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0.490–1.431</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0.516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0.000–86.552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0.462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4-Hydroxyhippuric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0.000–516.964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0.520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0.426–1.540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0.520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0.054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0.000–570.614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0.538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2-Oxoisocaproic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1.31e+05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0.000–2.38e+21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0.537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1.163</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0.720–1.877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0.537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8.79e+05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0.000–2.14e+22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3-Hydroxy-3-methylglutaric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2.819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0.099–80.303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0.544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1.159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0.720–1.866</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0.544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3.709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0.117–117.703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0.457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Glutaric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0.028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0.000–3.90e+03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0.845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0.485–1.475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0.000–8.12e+03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Oxypurinol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7.666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0.009–6.73e+03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1.156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0.714–1.872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11.298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0.011–1.12e+04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0.491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Benzoic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0.000–5.26e+07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0.360–1.818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0.000–2.06e+08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0.930</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Propylene glycol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0.928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0.691–1.245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0.470–1.565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0.926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0.691–1.242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0.932</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Uracil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40.652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0.000–2.71e+08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1.118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0.697–1.793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531.573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0.000–6.51e+09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Tartaric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3.719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0.013–1.07e+03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1.121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0.685–1.835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6.556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0.019–2.28e+03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0.529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DL-Alloisoleucine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0.000–1.85e+07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0.490–1.578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0.020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0.000–4.87e+07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D-Galactonic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0.147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0.000–986.961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0.880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0.490–1.582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0.000–2.87e+03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3-Hydroxyisovaleric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2.703</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0.024–305.516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0.702–1.720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4.337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0.036–529.730</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Citrulline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0.074–5.624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0.897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0.525–1.533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0.690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0.070–5.162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4-Hydroxyphenyllactic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7.871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0.000–3.69e+05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2.212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0.035–138.683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6.446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0.001–5.25e+04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3-Hydroxyglutaric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8.540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0.000–1.05e+06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0.668–1.792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5.221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0.000–6.57e+05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0.783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lastRenderedPageBreak/>
              <w:t>Ethylmalonic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5.218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0.001–5.31e+04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0.679–1.744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12.941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0.001–1.64e+05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0.595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Hippuric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2.065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0.036–120.071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0.668–1.783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4.668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0.066–330.106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0.478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1-Methylhydantoin</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1.815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0.064–51.552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0.678–1.745</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2.139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0.072–63.873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1-Methylnicotinamide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1.435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0.186–11.089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0.668–1.779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0.729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1.541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0.195–12.164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Creatine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1.582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0.110–22.751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0.671–1.758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1.334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0.091–19.521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Thymol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46.260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0.000–3.05e+11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0.661–1.793</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87.509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0.000–1.02e+12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0.705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N,N-Dimethylglycine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2.365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0.011–532.451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1.080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0.664–1.757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2.476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0.010–589.949</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Adenine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145.921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0.000–5.31e+16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1.076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0.658–1.758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1.11e+03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0.000–7.72e+17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0.687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Methylmalonic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0.088</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0.000–1.16e+06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0.921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0.529–1.604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0.000–6.95e+05</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L-Isoleucine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27.647</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0.000–2.23e+11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1.074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0.657–1.757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0.775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55.833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0.000–5.22e+11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0.731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3-Aminoisobutyric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0.221–3.152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0.929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0.540–1.598</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0.170–2.648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0.568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0.976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Ethanol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2.920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0.001–1.03e+04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0.797</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1.062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0.669–1.687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0.797</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0.000–4.75e+03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0.976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Tiglylglycine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2.28e+04</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0.000–4.50e+38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1.062</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0.661–1.707</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0.803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3.77e+10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0.000–1.02e+46</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0.976</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Acetoacetic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0.000–1.76e+13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0.815</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0.939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0.557–1.584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0.815</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0.293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0.000–6.01e+14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0.946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0.981</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1-Methylhistidine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13.001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0.000–2.75e+11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0.833</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1.054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0.649–1.712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0.833</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10.967</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0.000–6.55e+11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0.850</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0.993</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Neopterin</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0.000–2.02e+31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0.850</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0.560–1.612</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0.850</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0.001</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0.000–2.91e+31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D-Lactose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0.930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0.380–2.277</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0.572–1.609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1.015</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0.404–2.553</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0.974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Formic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1.062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0.490–2.304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1.039</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0.634–1.704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0.878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1.093</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0.509–2.348</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0.819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Tyramine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1.391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0.000–1.29e+04</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0.944</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1.018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0.621–1.669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0.944</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4.632</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0.000–5.34e+04</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0.748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Dihydrothymine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1.026</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0.415–2.533</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1.014</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0.616–1.670</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0.956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0.926</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0.369–2.322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0.869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Pyruvic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0.010–97.786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0.988</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0.996</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0.600–1.654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0.988</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1.114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0.009–134.357</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0.965</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Caffeine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0.995</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0.370–2.672</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0.991</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0.601–1.654</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0.991</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1.184</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0.418–3.352</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0.751</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Syringic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1.051</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0.000–8.76e+08</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0.996</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1.001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0.604–1.659</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0.996</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103.719</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0.000–2.88e+11</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0.676</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Isopropanol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0.041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D-Mandelic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0.008</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D-Panthenol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inf</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60.605</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inf</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Malic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Glycerol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20.229</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11.021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19.390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Propionylglycine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1.50e+262</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11.021</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3.03e+258</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2-Hydroxy-4-methylvaleric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N-Acetylglutamate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Quinolinic acid</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D-Mannitol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4-Ethylphenol</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DL-Tyrosine</w:t>
            </w:r>
          </w:p>
        </w:tc>
        <w:tc>
          <w:tcPr>
            <w:tcW w:w="89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5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w:t>
            </w:r>
          </w:p>
        </w:tc>
        <w:tc>
          <w:tcPr>
            <w:tcW w:w="127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0.000</w:t>
            </w:r>
          </w:p>
        </w:tc>
        <w:tc>
          <w:tcPr>
            <w:tcW w:w="1748"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r w:rsidR="00357BE3" w:rsidRPr="00C103A0" w:rsidTr="002C109C">
        <w:trPr>
          <w:jc w:val="center"/>
        </w:trPr>
        <w:tc>
          <w:tcPr>
            <w:tcW w:w="2410" w:type="dxa"/>
            <w:tcBorders>
              <w:bottom w:val="single" w:sz="4" w:space="0" w:color="auto"/>
            </w:tcBorders>
            <w:vAlign w:val="center"/>
          </w:tcPr>
          <w:p w:rsidR="00357BE3" w:rsidRPr="00C103A0" w:rsidRDefault="00357BE3" w:rsidP="002C109C">
            <w:pPr>
              <w:adjustRightInd w:val="0"/>
              <w:snapToGrid w:val="0"/>
              <w:spacing w:after="0" w:line="240" w:lineRule="auto"/>
              <w:jc w:val="both"/>
              <w:rPr>
                <w:rFonts w:ascii="Times New Roman" w:hAnsi="Times New Roman" w:cs="Times New Roman"/>
                <w:sz w:val="16"/>
                <w:szCs w:val="16"/>
              </w:rPr>
            </w:pPr>
            <w:r w:rsidRPr="00C103A0">
              <w:rPr>
                <w:rFonts w:ascii="Times New Roman" w:hAnsi="Times New Roman" w:cs="Times New Roman"/>
                <w:sz w:val="16"/>
                <w:szCs w:val="16"/>
              </w:rPr>
              <w:t>2-Furoylglycine</w:t>
            </w:r>
          </w:p>
        </w:tc>
        <w:tc>
          <w:tcPr>
            <w:tcW w:w="898"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548"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85" w:type="dxa"/>
            <w:gridSpan w:val="2"/>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16"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0.117</w:t>
            </w:r>
          </w:p>
        </w:tc>
        <w:tc>
          <w:tcPr>
            <w:tcW w:w="1276"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850" w:type="dxa"/>
            <w:gridSpan w:val="2"/>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945"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w:t>
            </w:r>
          </w:p>
        </w:tc>
        <w:tc>
          <w:tcPr>
            <w:tcW w:w="1748"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0–inf</w:t>
            </w:r>
          </w:p>
        </w:tc>
        <w:tc>
          <w:tcPr>
            <w:tcW w:w="706" w:type="dxa"/>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c>
          <w:tcPr>
            <w:tcW w:w="785" w:type="dxa"/>
            <w:gridSpan w:val="2"/>
            <w:tcBorders>
              <w:bottom w:val="single" w:sz="4" w:space="0" w:color="auto"/>
            </w:tcBorders>
            <w:vAlign w:val="center"/>
          </w:tcPr>
          <w:p w:rsidR="00357BE3" w:rsidRPr="00C103A0" w:rsidRDefault="00357BE3" w:rsidP="002C109C">
            <w:pPr>
              <w:adjustRightInd w:val="0"/>
              <w:snapToGrid w:val="0"/>
              <w:spacing w:after="0" w:line="240" w:lineRule="auto"/>
              <w:jc w:val="center"/>
              <w:rPr>
                <w:rFonts w:ascii="Times New Roman" w:hAnsi="Times New Roman" w:cs="Times New Roman"/>
                <w:sz w:val="16"/>
                <w:szCs w:val="16"/>
              </w:rPr>
            </w:pPr>
            <w:r w:rsidRPr="00C103A0">
              <w:rPr>
                <w:rFonts w:ascii="Times New Roman" w:hAnsi="Times New Roman" w:cs="Times New Roman"/>
                <w:sz w:val="16"/>
                <w:szCs w:val="16"/>
              </w:rPr>
              <w:t>0.999</w:t>
            </w:r>
          </w:p>
        </w:tc>
      </w:tr>
    </w:tbl>
    <w:p w:rsidR="00375AA4" w:rsidRDefault="00357BE3" w:rsidP="00357BE3">
      <w:pPr>
        <w:adjustRightInd w:val="0"/>
        <w:snapToGrid w:val="0"/>
        <w:spacing w:after="0" w:line="240" w:lineRule="auto"/>
        <w:jc w:val="both"/>
        <w:rPr>
          <w:rFonts w:ascii="Times New Roman" w:hAnsi="Times New Roman" w:cs="Times New Roman"/>
          <w:color w:val="000000"/>
          <w:sz w:val="16"/>
          <w:szCs w:val="16"/>
        </w:rPr>
      </w:pPr>
      <w:r w:rsidRPr="00C40CCD">
        <w:rPr>
          <w:rFonts w:ascii="Times New Roman" w:hAnsi="Times New Roman" w:cs="Times New Roman"/>
          <w:color w:val="000000"/>
          <w:sz w:val="16"/>
          <w:szCs w:val="16"/>
        </w:rPr>
        <w:t>Odds ratios (ORs) and 95% confidence intervals (CIs) were estimated using logistic regression with PNAC onset as the outcome. “Per log increase” indicates the OR per 1-unit increase in the log-transformed metabolite concentration, whereas “Per SD increase” indicates the OR per 1-standard deviation (SD) increase in the log-transformed concentration. Sex-adjusted models additionally included infant sex as a covariate and are reported per SD increase. False discovery rate (FDR) q values were calculated using the Benjamini–Hochberg procedure based on the P values from the per SD models across all metabolites. Large ORs and CIs are presented in scientific notation for clarity, reflecting strong separation between PNAC and control groups for certain metabolites rather than absolute effect size. Abbreviations: PNAC, parenteral nutrition-associated cholestasis; OR, odds ratio; CI, confidence interval; SD, standard deviation; FDR, false discovery rate.</w:t>
      </w:r>
      <w:r w:rsidR="00375AA4">
        <w:rPr>
          <w:rFonts w:ascii="Times New Roman" w:hAnsi="Times New Roman" w:cs="Times New Roman"/>
          <w:color w:val="000000"/>
          <w:sz w:val="16"/>
          <w:szCs w:val="16"/>
        </w:rPr>
        <w:br w:type="page"/>
      </w:r>
    </w:p>
    <w:p w:rsidR="00357BE3" w:rsidRPr="00C103A0" w:rsidRDefault="00357BE3" w:rsidP="00357BE3">
      <w:pPr>
        <w:adjustRightInd w:val="0"/>
        <w:snapToGrid w:val="0"/>
        <w:spacing w:after="0" w:line="240" w:lineRule="auto"/>
        <w:jc w:val="both"/>
        <w:rPr>
          <w:rFonts w:ascii="Times New Roman" w:hAnsi="Times New Roman" w:cs="Times New Roman"/>
          <w:sz w:val="16"/>
          <w:szCs w:val="16"/>
        </w:rPr>
      </w:pPr>
    </w:p>
    <w:tbl>
      <w:tblPr>
        <w:tblW w:w="12049" w:type="dxa"/>
        <w:jc w:val="center"/>
        <w:tblLayout w:type="fixed"/>
        <w:tblCellMar>
          <w:left w:w="28" w:type="dxa"/>
          <w:right w:w="28" w:type="dxa"/>
        </w:tblCellMar>
        <w:tblLook w:val="04A0" w:firstRow="1" w:lastRow="0" w:firstColumn="1" w:lastColumn="0" w:noHBand="0" w:noVBand="1"/>
      </w:tblPr>
      <w:tblGrid>
        <w:gridCol w:w="1551"/>
        <w:gridCol w:w="717"/>
        <w:gridCol w:w="849"/>
        <w:gridCol w:w="147"/>
        <w:gridCol w:w="705"/>
        <w:gridCol w:w="708"/>
        <w:gridCol w:w="709"/>
        <w:gridCol w:w="709"/>
        <w:gridCol w:w="183"/>
        <w:gridCol w:w="952"/>
        <w:gridCol w:w="708"/>
        <w:gridCol w:w="851"/>
        <w:gridCol w:w="709"/>
        <w:gridCol w:w="208"/>
        <w:gridCol w:w="642"/>
        <w:gridCol w:w="709"/>
        <w:gridCol w:w="992"/>
      </w:tblGrid>
      <w:tr w:rsidR="005432DE" w:rsidRPr="005432DE" w:rsidTr="005432DE">
        <w:trPr>
          <w:trHeight w:val="142"/>
          <w:jc w:val="center"/>
        </w:trPr>
        <w:tc>
          <w:tcPr>
            <w:tcW w:w="12049" w:type="dxa"/>
            <w:gridSpan w:val="17"/>
            <w:tcBorders>
              <w:bottom w:val="single" w:sz="4" w:space="0" w:color="auto"/>
            </w:tcBorders>
          </w:tcPr>
          <w:p w:rsidR="00357BE3" w:rsidRPr="005432DE" w:rsidRDefault="00357BE3" w:rsidP="005432DE">
            <w:pPr>
              <w:adjustRightInd w:val="0"/>
              <w:snapToGrid w:val="0"/>
              <w:spacing w:after="0" w:line="0" w:lineRule="atLeast"/>
              <w:rPr>
                <w:rFonts w:ascii="Times New Roman" w:eastAsia="新細明體" w:hAnsi="Times New Roman" w:cs="Times New Roman"/>
                <w:b/>
                <w:bCs/>
                <w:kern w:val="0"/>
                <w:sz w:val="16"/>
                <w:szCs w:val="16"/>
                <w14:ligatures w14:val="none"/>
              </w:rPr>
            </w:pPr>
            <w:r w:rsidRPr="005432DE">
              <w:rPr>
                <w:rFonts w:ascii="Times New Roman" w:eastAsia="新細明體" w:hAnsi="Times New Roman" w:cs="Times New Roman"/>
                <w:b/>
                <w:bCs/>
                <w:kern w:val="0"/>
                <w:sz w:val="16"/>
                <w:szCs w:val="16"/>
                <w14:ligatures w14:val="none"/>
              </w:rPr>
              <w:t>Table S</w:t>
            </w:r>
            <w:r w:rsidR="009C1CB9">
              <w:rPr>
                <w:rFonts w:ascii="Times New Roman" w:eastAsia="新細明體" w:hAnsi="Times New Roman" w:cs="Times New Roman"/>
                <w:b/>
                <w:bCs/>
                <w:kern w:val="0"/>
                <w:sz w:val="16"/>
                <w:szCs w:val="16"/>
                <w14:ligatures w14:val="none"/>
              </w:rPr>
              <w:t>2</w:t>
            </w:r>
            <w:r w:rsidRPr="005432DE">
              <w:rPr>
                <w:rFonts w:ascii="Times New Roman" w:eastAsia="新細明體" w:hAnsi="Times New Roman" w:cs="Times New Roman"/>
                <w:b/>
                <w:bCs/>
                <w:kern w:val="0"/>
                <w:sz w:val="16"/>
                <w:szCs w:val="16"/>
                <w14:ligatures w14:val="none"/>
              </w:rPr>
              <w:t xml:space="preserve">. </w:t>
            </w:r>
            <w:r w:rsidRPr="005432DE">
              <w:rPr>
                <w:rFonts w:ascii="Times New Roman" w:hAnsi="Times New Roman" w:cs="Times New Roman"/>
                <w:color w:val="000000"/>
                <w:sz w:val="16"/>
                <w:szCs w:val="16"/>
              </w:rPr>
              <w:t>Logistic regression analysis of urinary bile acids associated with PNAC onset</w:t>
            </w:r>
            <w:r w:rsidRPr="005432DE">
              <w:rPr>
                <w:rFonts w:ascii="Times New Roman" w:eastAsia="新細明體" w:hAnsi="Times New Roman" w:cs="Times New Roman"/>
                <w:kern w:val="0"/>
                <w:sz w:val="16"/>
                <w:szCs w:val="16"/>
                <w14:ligatures w14:val="none"/>
              </w:rPr>
              <w:t>.</w:t>
            </w:r>
          </w:p>
        </w:tc>
      </w:tr>
      <w:tr w:rsidR="005432DE" w:rsidRPr="005432DE" w:rsidTr="005432DE">
        <w:trPr>
          <w:trHeight w:val="82"/>
          <w:jc w:val="center"/>
        </w:trPr>
        <w:tc>
          <w:tcPr>
            <w:tcW w:w="1551" w:type="dxa"/>
            <w:vMerge w:val="restart"/>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both"/>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Urine bile acid</w:t>
            </w:r>
          </w:p>
        </w:tc>
        <w:tc>
          <w:tcPr>
            <w:tcW w:w="3126" w:type="dxa"/>
            <w:gridSpan w:val="5"/>
            <w:tcBorders>
              <w:top w:val="single" w:sz="4" w:space="0" w:color="auto"/>
              <w:bottom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hint="eastAsia"/>
                <w:kern w:val="0"/>
                <w:sz w:val="16"/>
                <w:szCs w:val="16"/>
                <w14:ligatures w14:val="none"/>
              </w:rPr>
              <w:t>P</w:t>
            </w:r>
            <w:r w:rsidRPr="005432DE">
              <w:rPr>
                <w:rFonts w:ascii="Times New Roman" w:eastAsia="新細明體" w:hAnsi="Times New Roman" w:cs="Times New Roman"/>
                <w:kern w:val="0"/>
                <w:sz w:val="16"/>
                <w:szCs w:val="16"/>
                <w14:ligatures w14:val="none"/>
              </w:rPr>
              <w:t>er log increase</w:t>
            </w:r>
          </w:p>
        </w:tc>
        <w:tc>
          <w:tcPr>
            <w:tcW w:w="3261" w:type="dxa"/>
            <w:gridSpan w:val="5"/>
            <w:tcBorders>
              <w:top w:val="single" w:sz="4" w:space="0" w:color="auto"/>
              <w:bottom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hint="eastAsia"/>
                <w:kern w:val="0"/>
                <w:sz w:val="16"/>
                <w:szCs w:val="16"/>
                <w14:ligatures w14:val="none"/>
              </w:rPr>
              <w:t>P</w:t>
            </w:r>
            <w:r w:rsidRPr="005432DE">
              <w:rPr>
                <w:rFonts w:ascii="Times New Roman" w:eastAsia="新細明體" w:hAnsi="Times New Roman" w:cs="Times New Roman"/>
                <w:kern w:val="0"/>
                <w:sz w:val="16"/>
                <w:szCs w:val="16"/>
                <w14:ligatures w14:val="none"/>
              </w:rPr>
              <w:t>er SD increase</w:t>
            </w:r>
          </w:p>
        </w:tc>
        <w:tc>
          <w:tcPr>
            <w:tcW w:w="3119" w:type="dxa"/>
            <w:gridSpan w:val="5"/>
            <w:tcBorders>
              <w:top w:val="single" w:sz="4" w:space="0" w:color="auto"/>
              <w:bottom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Sex-adjusted per SD increase</w:t>
            </w:r>
          </w:p>
        </w:tc>
        <w:tc>
          <w:tcPr>
            <w:tcW w:w="992"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FDR q</w:t>
            </w:r>
          </w:p>
        </w:tc>
      </w:tr>
      <w:tr w:rsidR="005432DE" w:rsidRPr="005432DE" w:rsidTr="005432DE">
        <w:trPr>
          <w:trHeight w:val="126"/>
          <w:jc w:val="center"/>
        </w:trPr>
        <w:tc>
          <w:tcPr>
            <w:tcW w:w="1551" w:type="dxa"/>
            <w:vMerge/>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both"/>
              <w:rPr>
                <w:rFonts w:ascii="Times New Roman" w:eastAsia="新細明體" w:hAnsi="Times New Roman" w:cs="Times New Roman"/>
                <w:b/>
                <w:bCs/>
                <w:kern w:val="0"/>
                <w:sz w:val="16"/>
                <w:szCs w:val="16"/>
                <w14:ligatures w14:val="none"/>
              </w:rPr>
            </w:pPr>
          </w:p>
        </w:tc>
        <w:tc>
          <w:tcPr>
            <w:tcW w:w="717"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701" w:type="dxa"/>
            <w:gridSpan w:val="3"/>
            <w:tcBorders>
              <w:top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hint="eastAsia"/>
                <w:kern w:val="0"/>
                <w:sz w:val="16"/>
                <w:szCs w:val="16"/>
                <w14:ligatures w14:val="none"/>
              </w:rPr>
              <w:t>9</w:t>
            </w:r>
            <w:r w:rsidRPr="005432DE">
              <w:rPr>
                <w:rFonts w:ascii="Times New Roman" w:eastAsia="新細明體" w:hAnsi="Times New Roman" w:cs="Times New Roman"/>
                <w:kern w:val="0"/>
                <w:sz w:val="16"/>
                <w:szCs w:val="16"/>
                <w14:ligatures w14:val="none"/>
              </w:rPr>
              <w:t>5% CI</w:t>
            </w:r>
          </w:p>
        </w:tc>
        <w:tc>
          <w:tcPr>
            <w:tcW w:w="708" w:type="dxa"/>
            <w:tcBorders>
              <w:top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709"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844" w:type="dxa"/>
            <w:gridSpan w:val="3"/>
            <w:tcBorders>
              <w:top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hint="eastAsia"/>
                <w:kern w:val="0"/>
                <w:sz w:val="16"/>
                <w:szCs w:val="16"/>
                <w14:ligatures w14:val="none"/>
              </w:rPr>
              <w:t>9</w:t>
            </w:r>
            <w:r w:rsidRPr="005432DE">
              <w:rPr>
                <w:rFonts w:ascii="Times New Roman" w:eastAsia="新細明體" w:hAnsi="Times New Roman" w:cs="Times New Roman"/>
                <w:kern w:val="0"/>
                <w:sz w:val="16"/>
                <w:szCs w:val="16"/>
                <w14:ligatures w14:val="none"/>
              </w:rPr>
              <w:t>5% CI</w:t>
            </w:r>
          </w:p>
        </w:tc>
        <w:tc>
          <w:tcPr>
            <w:tcW w:w="708"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851"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559" w:type="dxa"/>
            <w:gridSpan w:val="3"/>
            <w:tcBorders>
              <w:top w:val="single" w:sz="4" w:space="0" w:color="auto"/>
            </w:tcBorders>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hint="eastAsia"/>
                <w:kern w:val="0"/>
                <w:sz w:val="16"/>
                <w:szCs w:val="16"/>
                <w14:ligatures w14:val="none"/>
              </w:rPr>
              <w:t>9</w:t>
            </w:r>
            <w:r w:rsidRPr="005432DE">
              <w:rPr>
                <w:rFonts w:ascii="Times New Roman" w:eastAsia="新細明體" w:hAnsi="Times New Roman" w:cs="Times New Roman"/>
                <w:kern w:val="0"/>
                <w:sz w:val="16"/>
                <w:szCs w:val="16"/>
                <w14:ligatures w14:val="none"/>
              </w:rPr>
              <w:t>5% CI</w:t>
            </w:r>
          </w:p>
        </w:tc>
        <w:tc>
          <w:tcPr>
            <w:tcW w:w="709"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992" w:type="dxa"/>
            <w:tcBorders>
              <w:top w:val="single" w:sz="4" w:space="0" w:color="auto"/>
              <w:bottom w:val="single" w:sz="4" w:space="0" w:color="auto"/>
            </w:tcBorders>
            <w:shd w:val="clear" w:color="auto" w:fill="auto"/>
            <w:noWrap/>
            <w:vAlign w:val="center"/>
          </w:tcPr>
          <w:p w:rsidR="00357BE3" w:rsidRPr="005432DE" w:rsidRDefault="00357BE3" w:rsidP="005432DE">
            <w:pPr>
              <w:adjustRightInd w:val="0"/>
              <w:snapToGrid w:val="0"/>
              <w:spacing w:after="0" w:line="0" w:lineRule="atLeast"/>
              <w:jc w:val="center"/>
              <w:rPr>
                <w:rFonts w:ascii="Times New Roman" w:eastAsia="新細明體" w:hAnsi="Times New Roman" w:cs="Times New Roman"/>
                <w:b/>
                <w:bCs/>
                <w:kern w:val="0"/>
                <w:sz w:val="16"/>
                <w:szCs w:val="16"/>
                <w14:ligatures w14:val="none"/>
              </w:rPr>
            </w:pPr>
          </w:p>
        </w:tc>
      </w:tr>
      <w:tr w:rsidR="005432DE" w:rsidRPr="005432DE" w:rsidTr="005432DE">
        <w:trPr>
          <w:trHeight w:val="130"/>
          <w:jc w:val="center"/>
        </w:trPr>
        <w:tc>
          <w:tcPr>
            <w:tcW w:w="1551"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DCA-3S</w:t>
            </w:r>
          </w:p>
        </w:tc>
        <w:tc>
          <w:tcPr>
            <w:tcW w:w="717"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2.102</w:t>
            </w:r>
          </w:p>
        </w:tc>
        <w:tc>
          <w:tcPr>
            <w:tcW w:w="849"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ind w:leftChars="-10" w:left="-8" w:hangingChars="10" w:hanging="16"/>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1.551</w:t>
            </w:r>
          </w:p>
        </w:tc>
        <w:tc>
          <w:tcPr>
            <w:tcW w:w="147" w:type="dxa"/>
            <w:tcBorders>
              <w:top w:val="single" w:sz="4" w:space="0" w:color="auto"/>
            </w:tcBorders>
            <w:shd w:val="clear" w:color="000000" w:fill="auto"/>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hint="eastAsia"/>
                <w:color w:val="000000"/>
                <w:kern w:val="0"/>
                <w:sz w:val="16"/>
                <w:szCs w:val="16"/>
                <w14:ligatures w14:val="none"/>
              </w:rPr>
              <w:t>-</w:t>
            </w:r>
          </w:p>
        </w:tc>
        <w:tc>
          <w:tcPr>
            <w:tcW w:w="705"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2.850</w:t>
            </w:r>
          </w:p>
        </w:tc>
        <w:tc>
          <w:tcPr>
            <w:tcW w:w="708"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5.953</w:t>
            </w:r>
          </w:p>
        </w:tc>
        <w:tc>
          <w:tcPr>
            <w:tcW w:w="709"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2.867</w:t>
            </w:r>
          </w:p>
        </w:tc>
        <w:tc>
          <w:tcPr>
            <w:tcW w:w="183" w:type="dxa"/>
            <w:tcBorders>
              <w:top w:val="single" w:sz="4" w:space="0" w:color="auto"/>
            </w:tcBorders>
            <w:shd w:val="clear" w:color="000000" w:fill="auto"/>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hint="eastAsia"/>
                <w:color w:val="000000"/>
                <w:kern w:val="0"/>
                <w:sz w:val="16"/>
                <w:szCs w:val="16"/>
                <w14:ligatures w14:val="none"/>
              </w:rPr>
              <w:t>-</w:t>
            </w:r>
          </w:p>
        </w:tc>
        <w:tc>
          <w:tcPr>
            <w:tcW w:w="952"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12.361</w:t>
            </w:r>
          </w:p>
        </w:tc>
        <w:tc>
          <w:tcPr>
            <w:tcW w:w="708"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2.107</w:t>
            </w:r>
          </w:p>
        </w:tc>
        <w:tc>
          <w:tcPr>
            <w:tcW w:w="709"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1.537</w:t>
            </w:r>
          </w:p>
        </w:tc>
        <w:tc>
          <w:tcPr>
            <w:tcW w:w="208" w:type="dxa"/>
            <w:tcBorders>
              <w:top w:val="single" w:sz="4" w:space="0" w:color="auto"/>
            </w:tcBorders>
            <w:shd w:val="clear" w:color="000000" w:fill="auto"/>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hint="eastAsia"/>
                <w:color w:val="000000"/>
                <w:kern w:val="0"/>
                <w:sz w:val="16"/>
                <w:szCs w:val="16"/>
                <w14:ligatures w14:val="none"/>
              </w:rPr>
              <w:t>-</w:t>
            </w:r>
          </w:p>
        </w:tc>
        <w:tc>
          <w:tcPr>
            <w:tcW w:w="642"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2.888</w:t>
            </w:r>
          </w:p>
        </w:tc>
        <w:tc>
          <w:tcPr>
            <w:tcW w:w="709"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tcBorders>
              <w:top w:val="single" w:sz="4" w:space="0" w:color="auto"/>
            </w:tcBorders>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TCDCA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12.535</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4.151</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37.855</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5.927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2.723</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12.900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11.973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3.996</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35.873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GCDCA-3S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26.960</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5.894</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123.319</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10.096</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3.473</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29.346</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26.495</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5.706</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123.024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GLCA-3S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25.205</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5.650</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112.434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56.887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8.746</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370.020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28.675</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5.892</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139.549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TCDCA-3S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48.787</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7.907</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301.009</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16.838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4.490</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63.141</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47.787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7.715</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296.008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GCDCA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11.760</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3.665</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37.738</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5.402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2.432</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11.997</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11.379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3.526</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36.718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TLCA-3S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86.977</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10.018</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755.117</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23.042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5.048</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105.183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88.985</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9.882</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801.262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1.486</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1.220</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1.811</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3.583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1.897</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6.769</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1.477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1.211</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23.862</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4.660</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122.184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4.104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1.984</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8.489</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25.402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4.776</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135.102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GUDCA-3S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33.601</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5.408</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208.766</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2733.043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44.716</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167045.033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33.914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5.333</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215.647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TUDCA-3S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11.847</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3.241</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43.310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933.086</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25.856</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33673.258</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12.052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3.177</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45.719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CDCA-3S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11.872</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3.225</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43.713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3.628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1.840</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7.153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11.353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3.038</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42.436</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&lt;0.001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7.671</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2.383</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24.694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3.260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1.655</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6.422</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7.344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2.274</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23.723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0.003</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GHDCA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10.191</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2.334</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44.501</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7.613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2.098</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27.626</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0.002</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9.461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2.072</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43.212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0.004</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0.009</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11.408</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2.192</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59.375</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2.438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1.333</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4.460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0.004</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12.598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2.335</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67.963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0.003</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0.015</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4.034</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1.475</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11.037</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2.199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1.245</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3.881</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0.007</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3.900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1.411</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10.783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0.009</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0.025</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TUDCA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2.549</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1.255</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5.177</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4.203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1.417</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12.473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0.010</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2.352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1.136</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4.869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0.033</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UDCA-3S</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1.442</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1.092</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1.904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2.044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1.188</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3.518</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0.010</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1.440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1.080</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1.918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0.013</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0.033</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1.328</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1.042</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1.694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1.710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1.081</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2.707</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0.022</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1.423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1.089</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1.861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0.010</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0.069</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5.153</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1.244</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21.336</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0.024</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1.878</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1.088</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3.244</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0.024</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4.943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1.153</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21.187</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0.031</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0.071</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TDHCA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1.242</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1.022</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1.510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0.029</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1.661</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1.053</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2.620</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0.029</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1.243</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1.019</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1.516</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0.032</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0.083</w:t>
            </w:r>
          </w:p>
        </w:tc>
      </w:tr>
      <w:tr w:rsidR="005432DE" w:rsidRPr="005432DE" w:rsidTr="005432DE">
        <w:trPr>
          <w:trHeight w:val="130"/>
          <w:jc w:val="center"/>
        </w:trPr>
        <w:tc>
          <w:tcPr>
            <w:tcW w:w="1551" w:type="dxa"/>
            <w:shd w:val="clear" w:color="000000"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TDCA</w:t>
            </w:r>
          </w:p>
        </w:tc>
        <w:tc>
          <w:tcPr>
            <w:tcW w:w="717"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1.245</w:t>
            </w:r>
          </w:p>
        </w:tc>
        <w:tc>
          <w:tcPr>
            <w:tcW w:w="84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1.010</w:t>
            </w:r>
          </w:p>
        </w:tc>
        <w:tc>
          <w:tcPr>
            <w:tcW w:w="147"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1.533</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0.040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1.620</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1.023</w:t>
            </w:r>
          </w:p>
        </w:tc>
        <w:tc>
          <w:tcPr>
            <w:tcW w:w="183"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2.566</w:t>
            </w:r>
          </w:p>
        </w:tc>
        <w:tc>
          <w:tcPr>
            <w:tcW w:w="708"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0.040</w:t>
            </w:r>
          </w:p>
        </w:tc>
        <w:tc>
          <w:tcPr>
            <w:tcW w:w="851"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1.286</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1.033</w:t>
            </w:r>
          </w:p>
        </w:tc>
        <w:tc>
          <w:tcPr>
            <w:tcW w:w="208" w:type="dxa"/>
            <w:shd w:val="clear" w:color="000000" w:fill="auto"/>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000000"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1.602</w:t>
            </w:r>
          </w:p>
        </w:tc>
        <w:tc>
          <w:tcPr>
            <w:tcW w:w="709"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0.024</w:t>
            </w:r>
          </w:p>
        </w:tc>
        <w:tc>
          <w:tcPr>
            <w:tcW w:w="992" w:type="dxa"/>
            <w:shd w:val="clear" w:color="000000"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0.986</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1.735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1.534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0.977</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2.409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0.063</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0.982</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1.746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0.066</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0.163</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GHCA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2.519</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6.730</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1.721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0.966</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3.067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0.065</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2.246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0.804</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6.272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0.163</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TDCA-3S</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0.975</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1.473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1.487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0.945</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2.340</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0.086</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0.969</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1.473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0.097</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0.200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TαMCA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0.880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0.759</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1.019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0.418</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1.062</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0.088</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0.742</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1.008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0.062</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0.200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0.486</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0.211</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0.090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0.364</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1.076</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0.090</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0.204</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0.095</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0.200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THDCA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0.836</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0.674</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1.036</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0.686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0.436</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0.102</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0.683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0.142</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0.215</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βMCA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0.874</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0.406</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0.104</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0.746</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1.035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0.215</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Δ5-cholen-3β-ol</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0.874</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1.032</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0.656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0.112</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0.707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1.007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0.059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0.223</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UDCA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1.323</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1.902</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0.131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1.434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0.899</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2.288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0.131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1.311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0.897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1.917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0.161</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0.253</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GUDCA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1.160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1.411</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0.139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1.558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0.866</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2.803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0.139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0.924</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1.381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0.235</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0.260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THCA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1.778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4.003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1.475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0.853</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2.551</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0.164</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1.757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4.154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0.199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0.297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1.271</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0.904</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1.787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1.367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0.876</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2.134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0.168</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1.269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0.897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1.797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0.178</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0.297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1.122</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0.917</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1.374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1.314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0.814</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2.121</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0.264</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1.093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0.888</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1.346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0.401</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0.452</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7-ketoHDCA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0.789</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1.071</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0.468</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0.282</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0.788</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0.285</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0.470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DHCA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0.929</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0.319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0.472</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1.277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0.319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0.789</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0.251</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UrsCholA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0.347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0.373</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0.347</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0.350</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3-ketoCA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0.913</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1.125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0.455</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1.362</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0.392</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0.895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0.304</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MuroCA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0.796</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1.773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0.773</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1.902</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0.400</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1.254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1.902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0.286</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7-ketoLCA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1.088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0.893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1.325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1.224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0.763</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1.964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0.872</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0.529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0.587</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0.736</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1.987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0.762</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1.839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0.452</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0.687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1.881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0.618</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0.632</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GDHCA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1.211</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0.727</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2.018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1.833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0.724</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2.040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0.460</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0.632</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HCA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0.798</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1.359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0.464</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1.097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0.377</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0.632</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lastRenderedPageBreak/>
              <w:t> αMCA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0.943</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0.801</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1.110</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0.507</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1.377</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0.480</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0.939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0.796</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0.458</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0.640</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3-dehydroCA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1.948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0.539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0.512</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0.539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2.004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0.564</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0.691</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LCA-3S</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1.057</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0.884</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1.264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1.175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0.700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1.973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0.855</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1.237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0.767</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0.691</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HDCA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0.669</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1.264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0.497</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1.505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0.606</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0.667</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1.268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0.758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Δ9(11)-12-oxo-BA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0.809</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0.518</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1.480</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0.620</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0.792</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0.492</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0.759</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UrsoCA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1.040</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0.682</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1.818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1.041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0.869</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0.660</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0.803</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CDCA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1.023</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0.859</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1.218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1.784</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0.996</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1.192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0.968</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TUrsCholA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1.022</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1.239</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1.748</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0.827</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1.240</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0.840</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7α-OH-3-oxo-Δ5-BA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1.028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0.797</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1.325</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1.055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0.643</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1.733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1.073</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0.823</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0.601</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3α-OH-6,7-diK-CA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0.793</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1.206</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0.567</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1.581</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0.835</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1.209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0.831</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0.928</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isoLCA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0.986</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0.738</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1.316</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0.921</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0.581</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1.633</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0.921</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0.711</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1.288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0.772</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isoDCA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0.035</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0.035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12-ketoLCA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0.014</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0.005</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0.014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epiDCA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111.098</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11.164</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103.448</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r w:rsidR="005432DE" w:rsidRPr="005432DE" w:rsidTr="005432DE">
        <w:trPr>
          <w:trHeight w:val="130"/>
          <w:jc w:val="center"/>
        </w:trPr>
        <w:tc>
          <w:tcPr>
            <w:tcW w:w="1551" w:type="dxa"/>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allo-6-oxo-CA</w:t>
            </w:r>
          </w:p>
        </w:tc>
        <w:tc>
          <w:tcPr>
            <w:tcW w:w="717"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0.027</w:t>
            </w:r>
          </w:p>
        </w:tc>
        <w:tc>
          <w:tcPr>
            <w:tcW w:w="84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47"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0.002</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83"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851"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0.027</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208" w:type="dxa"/>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9"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992" w:type="dxa"/>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r w:rsidR="005432DE" w:rsidRPr="005432DE" w:rsidTr="005432DE">
        <w:trPr>
          <w:trHeight w:val="130"/>
          <w:jc w:val="center"/>
        </w:trPr>
        <w:tc>
          <w:tcPr>
            <w:tcW w:w="1551" w:type="dxa"/>
            <w:tcBorders>
              <w:bottom w:val="single" w:sz="4" w:space="0" w:color="auto"/>
            </w:tcBorders>
            <w:shd w:val="clear" w:color="auto" w:fill="auto"/>
            <w:noWrap/>
            <w:hideMark/>
          </w:tcPr>
          <w:p w:rsidR="00357BE3" w:rsidRPr="005432DE" w:rsidRDefault="00357BE3" w:rsidP="005432DE">
            <w:pPr>
              <w:adjustRightInd w:val="0"/>
              <w:snapToGrid w:val="0"/>
              <w:spacing w:after="0" w:line="0" w:lineRule="atLeast"/>
              <w:jc w:val="both"/>
              <w:rPr>
                <w:rFonts w:ascii="Times New Roman" w:hAnsi="Times New Roman" w:cs="Times New Roman"/>
                <w:color w:val="000000"/>
                <w:sz w:val="16"/>
                <w:szCs w:val="16"/>
              </w:rPr>
            </w:pPr>
            <w:r w:rsidRPr="005432DE">
              <w:rPr>
                <w:rFonts w:ascii="Times New Roman" w:hAnsi="Times New Roman" w:cs="Times New Roman"/>
                <w:color w:val="000000"/>
                <w:sz w:val="16"/>
                <w:szCs w:val="16"/>
              </w:rPr>
              <w:t> 3,7-diK-CA</w:t>
            </w:r>
          </w:p>
        </w:tc>
        <w:tc>
          <w:tcPr>
            <w:tcW w:w="717"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0.006</w:t>
            </w:r>
          </w:p>
        </w:tc>
        <w:tc>
          <w:tcPr>
            <w:tcW w:w="849"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47" w:type="dxa"/>
            <w:tcBorders>
              <w:bottom w:val="single" w:sz="4" w:space="0" w:color="auto"/>
            </w:tcBorders>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705"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709"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0.115</w:t>
            </w:r>
          </w:p>
        </w:tc>
        <w:tc>
          <w:tcPr>
            <w:tcW w:w="709"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183" w:type="dxa"/>
            <w:tcBorders>
              <w:bottom w:val="single" w:sz="4" w:space="0" w:color="auto"/>
            </w:tcBorders>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952"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8"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851"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0.005</w:t>
            </w:r>
          </w:p>
        </w:tc>
        <w:tc>
          <w:tcPr>
            <w:tcW w:w="709"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righ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0.000</w:t>
            </w:r>
          </w:p>
        </w:tc>
        <w:tc>
          <w:tcPr>
            <w:tcW w:w="208" w:type="dxa"/>
            <w:tcBorders>
              <w:bottom w:val="single" w:sz="4" w:space="0" w:color="auto"/>
            </w:tcBorders>
          </w:tcPr>
          <w:p w:rsidR="00357BE3" w:rsidRPr="005432DE" w:rsidRDefault="00357BE3" w:rsidP="005432DE">
            <w:pPr>
              <w:adjustRightInd w:val="0"/>
              <w:snapToGrid w:val="0"/>
              <w:spacing w:after="0" w:line="0" w:lineRule="atLeast"/>
              <w:jc w:val="center"/>
              <w:rPr>
                <w:sz w:val="16"/>
                <w:szCs w:val="16"/>
              </w:rPr>
            </w:pPr>
            <w:r w:rsidRPr="005432DE">
              <w:rPr>
                <w:rFonts w:ascii="Times New Roman" w:eastAsia="新細明體" w:hAnsi="Times New Roman" w:cs="Times New Roman" w:hint="eastAsia"/>
                <w:color w:val="000000"/>
                <w:kern w:val="0"/>
                <w:sz w:val="16"/>
                <w:szCs w:val="16"/>
                <w14:ligatures w14:val="none"/>
              </w:rPr>
              <w:t>-</w:t>
            </w:r>
          </w:p>
        </w:tc>
        <w:tc>
          <w:tcPr>
            <w:tcW w:w="642"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inf</w:t>
            </w:r>
          </w:p>
        </w:tc>
        <w:tc>
          <w:tcPr>
            <w:tcW w:w="709"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c>
          <w:tcPr>
            <w:tcW w:w="992" w:type="dxa"/>
            <w:tcBorders>
              <w:bottom w:val="single" w:sz="4" w:space="0" w:color="auto"/>
            </w:tcBorders>
            <w:shd w:val="clear" w:color="auto" w:fill="auto"/>
            <w:noWrap/>
            <w:hideMark/>
          </w:tcPr>
          <w:p w:rsidR="00357BE3" w:rsidRPr="005432DE" w:rsidRDefault="00357BE3"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0.999</w:t>
            </w:r>
          </w:p>
        </w:tc>
      </w:tr>
    </w:tbl>
    <w:p w:rsidR="00357BE3" w:rsidRPr="005432DE" w:rsidRDefault="00357BE3" w:rsidP="00357BE3">
      <w:pPr>
        <w:adjustRightInd w:val="0"/>
        <w:snapToGrid w:val="0"/>
        <w:spacing w:after="0" w:line="240" w:lineRule="auto"/>
        <w:jc w:val="both"/>
        <w:rPr>
          <w:rFonts w:ascii="Times New Roman" w:hAnsi="Times New Roman" w:cs="Times New Roman"/>
          <w:sz w:val="16"/>
          <w:szCs w:val="16"/>
        </w:rPr>
      </w:pPr>
      <w:r w:rsidRPr="005432DE">
        <w:rPr>
          <w:rFonts w:ascii="Times New Roman" w:hAnsi="Times New Roman" w:cs="Times New Roman"/>
          <w:color w:val="000000"/>
          <w:sz w:val="16"/>
          <w:szCs w:val="16"/>
        </w:rPr>
        <w:t>Odds ratios (ORs) and 95% confidence intervals (CIs) were estimated using logistic regression with PNAC onset as the outcome. “Per log increase” indicates OR per 1-unit increase in log-transformed bile acid concentration; “Per SD increase” indicates OR per 1-standard deviation (SD) increase in the log-transformed concentration. Sex-adjusted models additionally included infant sex as a covariate and are reported per SD increase. False discovery rate (FDR) q values were calculated using the Benjamini-Hochberg procedure across all bile acids based on the P values from the per SD models.</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Boldface values indicate P (or q) &lt; 0.05.</w:t>
      </w:r>
      <w:r w:rsidRPr="005432DE">
        <w:rPr>
          <w:rStyle w:val="apple-converted-space"/>
          <w:rFonts w:ascii="Times New Roman" w:hAnsi="Times New Roman" w:cs="Times New Roman"/>
          <w:color w:val="000000"/>
          <w:sz w:val="16"/>
          <w:szCs w:val="16"/>
        </w:rPr>
        <w:t> </w:t>
      </w:r>
      <w:r w:rsidRPr="005432DE">
        <w:rPr>
          <w:rFonts w:ascii="Times New Roman" w:hAnsi="Times New Roman" w:cs="Times New Roman"/>
          <w:color w:val="000000"/>
          <w:sz w:val="16"/>
          <w:szCs w:val="16"/>
        </w:rPr>
        <w:t>Abbreviations: PNAC, parenteral nutrition-associated cholestasis; OR, odds ratio; CI, confidence interval; SD, standard deviation; FDR, false discovery rate. Bile acid abbreviations follow standard nomenclature: CA, cholic acid; CDCA, chenodeoxycholic acid; DCA, deoxycholic acid; LCA, lithocholic acid; UDCA, ursodeoxycholic acid;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G-</w:t>
      </w:r>
      <w:r w:rsidRPr="005432DE">
        <w:rPr>
          <w:rFonts w:ascii="Times New Roman" w:hAnsi="Times New Roman" w:cs="Times New Roman"/>
          <w:color w:val="000000"/>
          <w:sz w:val="16"/>
          <w:szCs w:val="16"/>
        </w:rPr>
        <w:t>, glycine-conjugated;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T-</w:t>
      </w:r>
      <w:r w:rsidRPr="005432DE">
        <w:rPr>
          <w:rFonts w:ascii="Times New Roman" w:hAnsi="Times New Roman" w:cs="Times New Roman"/>
          <w:color w:val="000000"/>
          <w:sz w:val="16"/>
          <w:szCs w:val="16"/>
        </w:rPr>
        <w:t>, taurine-conjugated; suffix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-3S</w:t>
      </w:r>
      <w:r w:rsidRPr="005432DE">
        <w:rPr>
          <w:rFonts w:ascii="Times New Roman" w:hAnsi="Times New Roman" w:cs="Times New Roman"/>
          <w:color w:val="000000"/>
          <w:sz w:val="16"/>
          <w:szCs w:val="16"/>
        </w:rPr>
        <w:t>, 3-sulfate</w:t>
      </w:r>
    </w:p>
    <w:p w:rsidR="00357BE3" w:rsidRDefault="00357BE3" w:rsidP="004B47E9">
      <w:pPr>
        <w:jc w:val="center"/>
        <w:rPr>
          <w:rFonts w:ascii="Times New Roman" w:hAnsi="Times New Roman" w:cs="Times New Roman"/>
          <w:b/>
          <w:bCs/>
        </w:rPr>
      </w:pPr>
    </w:p>
    <w:p w:rsidR="00357BE3" w:rsidRDefault="00357BE3" w:rsidP="004B47E9">
      <w:pPr>
        <w:jc w:val="center"/>
        <w:rPr>
          <w:rFonts w:ascii="Times New Roman" w:hAnsi="Times New Roman" w:cs="Times New Roman"/>
          <w:b/>
          <w:bCs/>
        </w:rPr>
        <w:sectPr w:rsidR="00357BE3" w:rsidSect="00375AA4">
          <w:pgSz w:w="16840" w:h="11900" w:orient="landscape"/>
          <w:pgMar w:top="1440" w:right="1080" w:bottom="1440" w:left="1080" w:header="720" w:footer="720" w:gutter="0"/>
          <w:cols w:space="720"/>
          <w:docGrid w:linePitch="360"/>
        </w:sectPr>
      </w:pPr>
    </w:p>
    <w:tbl>
      <w:tblPr>
        <w:tblW w:w="13750" w:type="dxa"/>
        <w:jc w:val="center"/>
        <w:tblLayout w:type="fixed"/>
        <w:tblCellMar>
          <w:left w:w="28" w:type="dxa"/>
          <w:right w:w="28" w:type="dxa"/>
        </w:tblCellMar>
        <w:tblLook w:val="04A0" w:firstRow="1" w:lastRow="0" w:firstColumn="1" w:lastColumn="0" w:noHBand="0" w:noVBand="1"/>
      </w:tblPr>
      <w:tblGrid>
        <w:gridCol w:w="2693"/>
        <w:gridCol w:w="851"/>
        <w:gridCol w:w="1559"/>
        <w:gridCol w:w="709"/>
        <w:gridCol w:w="850"/>
        <w:gridCol w:w="1843"/>
        <w:gridCol w:w="563"/>
        <w:gridCol w:w="146"/>
        <w:gridCol w:w="850"/>
        <w:gridCol w:w="1418"/>
        <w:gridCol w:w="1134"/>
        <w:gridCol w:w="1134"/>
      </w:tblGrid>
      <w:tr w:rsidR="00357BE3" w:rsidRPr="005432DE" w:rsidTr="002C109C">
        <w:trPr>
          <w:trHeight w:val="280"/>
          <w:jc w:val="center"/>
        </w:trPr>
        <w:tc>
          <w:tcPr>
            <w:tcW w:w="13750" w:type="dxa"/>
            <w:gridSpan w:val="12"/>
            <w:tcBorders>
              <w:bottom w:val="single" w:sz="4" w:space="0" w:color="auto"/>
            </w:tcBorders>
          </w:tcPr>
          <w:p w:rsidR="00357BE3" w:rsidRPr="005432DE" w:rsidRDefault="00357BE3" w:rsidP="002C109C">
            <w:pPr>
              <w:adjustRightInd w:val="0"/>
              <w:snapToGrid w:val="0"/>
              <w:spacing w:after="0" w:line="240" w:lineRule="auto"/>
              <w:rPr>
                <w:rFonts w:ascii="Times New Roman" w:eastAsia="新細明體" w:hAnsi="Times New Roman" w:cs="Times New Roman"/>
                <w:b/>
                <w:bCs/>
                <w:kern w:val="0"/>
                <w:sz w:val="16"/>
                <w:szCs w:val="16"/>
                <w14:ligatures w14:val="none"/>
              </w:rPr>
            </w:pPr>
            <w:r w:rsidRPr="005432DE">
              <w:rPr>
                <w:rFonts w:ascii="Times New Roman" w:eastAsia="新細明體" w:hAnsi="Times New Roman" w:cs="Times New Roman"/>
                <w:b/>
                <w:bCs/>
                <w:kern w:val="0"/>
                <w:sz w:val="16"/>
                <w:szCs w:val="16"/>
                <w14:ligatures w14:val="none"/>
              </w:rPr>
              <w:lastRenderedPageBreak/>
              <w:t>Table S</w:t>
            </w:r>
            <w:r w:rsidR="009C1CB9">
              <w:rPr>
                <w:rFonts w:ascii="Times New Roman" w:eastAsia="新細明體" w:hAnsi="Times New Roman" w:cs="Times New Roman"/>
                <w:b/>
                <w:bCs/>
                <w:kern w:val="0"/>
                <w:sz w:val="16"/>
                <w:szCs w:val="16"/>
                <w14:ligatures w14:val="none"/>
              </w:rPr>
              <w:t>3</w:t>
            </w:r>
            <w:r w:rsidRPr="005432DE">
              <w:rPr>
                <w:rFonts w:ascii="Times New Roman" w:eastAsia="新細明體" w:hAnsi="Times New Roman" w:cs="Times New Roman"/>
                <w:b/>
                <w:bCs/>
                <w:kern w:val="0"/>
                <w:sz w:val="16"/>
                <w:szCs w:val="16"/>
                <w14:ligatures w14:val="none"/>
              </w:rPr>
              <w:t xml:space="preserve">. </w:t>
            </w:r>
            <w:r w:rsidRPr="005432DE">
              <w:rPr>
                <w:rFonts w:ascii="Times New Roman" w:hAnsi="Times New Roman" w:cs="Times New Roman"/>
                <w:color w:val="000000"/>
                <w:sz w:val="16"/>
                <w:szCs w:val="16"/>
              </w:rPr>
              <w:t>Logistic regression analysis of fecal bile acids associated with PNAC onset</w:t>
            </w:r>
            <w:r w:rsidRPr="005432DE">
              <w:rPr>
                <w:rFonts w:ascii="Times New Roman" w:eastAsia="新細明體" w:hAnsi="Times New Roman" w:cs="Times New Roman"/>
                <w:kern w:val="0"/>
                <w:sz w:val="16"/>
                <w:szCs w:val="16"/>
                <w14:ligatures w14:val="none"/>
              </w:rPr>
              <w:t>.</w:t>
            </w:r>
          </w:p>
        </w:tc>
      </w:tr>
      <w:tr w:rsidR="00357BE3" w:rsidRPr="005432DE" w:rsidTr="002C109C">
        <w:trPr>
          <w:jc w:val="center"/>
        </w:trPr>
        <w:tc>
          <w:tcPr>
            <w:tcW w:w="2693" w:type="dxa"/>
            <w:vMerge w:val="restart"/>
            <w:tcBorders>
              <w:bottom w:val="single" w:sz="4" w:space="0" w:color="auto"/>
            </w:tcBorders>
            <w:vAlign w:val="center"/>
          </w:tcPr>
          <w:p w:rsidR="00357BE3" w:rsidRPr="005432DE" w:rsidRDefault="00357BE3" w:rsidP="002C109C">
            <w:pPr>
              <w:adjustRightInd w:val="0"/>
              <w:snapToGrid w:val="0"/>
              <w:spacing w:after="0" w:line="240" w:lineRule="auto"/>
              <w:jc w:val="both"/>
              <w:rPr>
                <w:rFonts w:ascii="Times New Roman" w:hAnsi="Times New Roman" w:cs="Times New Roman"/>
                <w:sz w:val="16"/>
                <w:szCs w:val="16"/>
              </w:rPr>
            </w:pPr>
            <w:r w:rsidRPr="005432DE">
              <w:rPr>
                <w:rFonts w:ascii="Times New Roman" w:eastAsia="新細明體" w:hAnsi="Times New Roman" w:cs="Times New Roman"/>
                <w:kern w:val="0"/>
                <w:sz w:val="16"/>
                <w:szCs w:val="16"/>
                <w14:ligatures w14:val="none"/>
              </w:rPr>
              <w:t>Fecal bile acid</w:t>
            </w:r>
          </w:p>
        </w:tc>
        <w:tc>
          <w:tcPr>
            <w:tcW w:w="3119" w:type="dxa"/>
            <w:gridSpan w:val="3"/>
            <w:tcBorders>
              <w:bottom w:val="single" w:sz="4" w:space="0" w:color="auto"/>
            </w:tcBorders>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Per log increase</w:t>
            </w:r>
          </w:p>
        </w:tc>
        <w:tc>
          <w:tcPr>
            <w:tcW w:w="3256" w:type="dxa"/>
            <w:gridSpan w:val="3"/>
            <w:tcBorders>
              <w:bottom w:val="single" w:sz="4" w:space="0" w:color="auto"/>
            </w:tcBorders>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Per SD increase</w:t>
            </w:r>
          </w:p>
        </w:tc>
        <w:tc>
          <w:tcPr>
            <w:tcW w:w="3548" w:type="dxa"/>
            <w:gridSpan w:val="4"/>
            <w:tcBorders>
              <w:bottom w:val="single" w:sz="4" w:space="0" w:color="auto"/>
            </w:tcBorders>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Sex-adjusted per SD increase</w:t>
            </w:r>
          </w:p>
        </w:tc>
        <w:tc>
          <w:tcPr>
            <w:tcW w:w="1134" w:type="dxa"/>
            <w:vMerge w:val="restart"/>
            <w:vAlign w:val="center"/>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FDR q</w:t>
            </w:r>
          </w:p>
        </w:tc>
      </w:tr>
      <w:tr w:rsidR="00357BE3" w:rsidRPr="005432DE" w:rsidTr="002C109C">
        <w:trPr>
          <w:jc w:val="center"/>
        </w:trPr>
        <w:tc>
          <w:tcPr>
            <w:tcW w:w="2693" w:type="dxa"/>
            <w:vMerge/>
            <w:tcBorders>
              <w:top w:val="single" w:sz="4" w:space="0" w:color="auto"/>
              <w:bottom w:val="single" w:sz="4" w:space="0" w:color="auto"/>
            </w:tcBorders>
          </w:tcPr>
          <w:p w:rsidR="00357BE3" w:rsidRPr="005432DE" w:rsidRDefault="00357BE3" w:rsidP="002C109C">
            <w:pPr>
              <w:rPr>
                <w:rFonts w:ascii="Times New Roman" w:hAnsi="Times New Roman" w:cs="Times New Roman"/>
                <w:sz w:val="16"/>
                <w:szCs w:val="16"/>
              </w:rPr>
            </w:pPr>
          </w:p>
        </w:tc>
        <w:tc>
          <w:tcPr>
            <w:tcW w:w="851" w:type="dxa"/>
            <w:tcBorders>
              <w:top w:val="single" w:sz="4" w:space="0" w:color="auto"/>
              <w:bottom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559" w:type="dxa"/>
            <w:tcBorders>
              <w:top w:val="single" w:sz="4" w:space="0" w:color="auto"/>
              <w:bottom w:val="single" w:sz="4" w:space="0" w:color="auto"/>
            </w:tcBorders>
            <w:vAlign w:val="center"/>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709" w:type="dxa"/>
            <w:tcBorders>
              <w:top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850" w:type="dxa"/>
            <w:tcBorders>
              <w:top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843" w:type="dxa"/>
            <w:tcBorders>
              <w:top w:val="single" w:sz="4" w:space="0" w:color="auto"/>
            </w:tcBorders>
            <w:vAlign w:val="center"/>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709" w:type="dxa"/>
            <w:gridSpan w:val="2"/>
            <w:tcBorders>
              <w:top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850" w:type="dxa"/>
            <w:tcBorders>
              <w:top w:val="single" w:sz="4" w:space="0" w:color="auto"/>
              <w:bottom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418" w:type="dxa"/>
            <w:tcBorders>
              <w:top w:val="single" w:sz="4" w:space="0" w:color="auto"/>
              <w:bottom w:val="single" w:sz="4" w:space="0" w:color="auto"/>
            </w:tcBorders>
            <w:vAlign w:val="center"/>
          </w:tcPr>
          <w:p w:rsidR="00357BE3" w:rsidRPr="005432DE" w:rsidRDefault="00357BE3" w:rsidP="002C109C">
            <w:pPr>
              <w:widowControl/>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1134" w:type="dxa"/>
            <w:tcBorders>
              <w:top w:val="single" w:sz="4" w:space="0" w:color="auto"/>
              <w:bottom w:val="single" w:sz="4" w:space="0" w:color="auto"/>
            </w:tcBorders>
            <w:vAlign w:val="center"/>
          </w:tcPr>
          <w:p w:rsidR="00357BE3" w:rsidRPr="005432DE" w:rsidRDefault="00357BE3" w:rsidP="002C109C">
            <w:pPr>
              <w:adjustRightInd w:val="0"/>
              <w:snapToGrid w:val="0"/>
              <w:spacing w:after="0" w:line="240" w:lineRule="auto"/>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1134" w:type="dxa"/>
            <w:vMerge/>
            <w:tcBorders>
              <w:bottom w:val="single" w:sz="4" w:space="0" w:color="auto"/>
            </w:tcBorders>
          </w:tcPr>
          <w:p w:rsidR="00357BE3" w:rsidRPr="005432DE" w:rsidRDefault="00357BE3" w:rsidP="002C109C">
            <w:pPr>
              <w:rPr>
                <w:rFonts w:ascii="Times New Roman" w:hAnsi="Times New Roman" w:cs="Times New Roman"/>
                <w:sz w:val="16"/>
                <w:szCs w:val="16"/>
              </w:rPr>
            </w:pPr>
          </w:p>
        </w:tc>
      </w:tr>
      <w:tr w:rsidR="00357BE3" w:rsidRPr="005432DE" w:rsidTr="002C109C">
        <w:trPr>
          <w:jc w:val="center"/>
        </w:trPr>
        <w:tc>
          <w:tcPr>
            <w:tcW w:w="2693" w:type="dxa"/>
            <w:tcBorders>
              <w:top w:val="single" w:sz="4" w:space="0" w:color="auto"/>
            </w:tcBorders>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UDCA</w:t>
            </w:r>
          </w:p>
        </w:tc>
        <w:tc>
          <w:tcPr>
            <w:tcW w:w="851"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0.784</w:t>
            </w:r>
          </w:p>
        </w:tc>
        <w:tc>
          <w:tcPr>
            <w:tcW w:w="1559"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0.669 – 0.918</w:t>
            </w:r>
          </w:p>
        </w:tc>
        <w:tc>
          <w:tcPr>
            <w:tcW w:w="709"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0.003</w:t>
            </w:r>
          </w:p>
        </w:tc>
        <w:tc>
          <w:tcPr>
            <w:tcW w:w="850"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0.447</w:t>
            </w:r>
          </w:p>
        </w:tc>
        <w:tc>
          <w:tcPr>
            <w:tcW w:w="1843"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0.265 – 0.753</w:t>
            </w:r>
          </w:p>
        </w:tc>
        <w:tc>
          <w:tcPr>
            <w:tcW w:w="709" w:type="dxa"/>
            <w:gridSpan w:val="2"/>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0.003</w:t>
            </w:r>
          </w:p>
        </w:tc>
        <w:tc>
          <w:tcPr>
            <w:tcW w:w="850"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0.785</w:t>
            </w:r>
          </w:p>
        </w:tc>
        <w:tc>
          <w:tcPr>
            <w:tcW w:w="1418"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0.669 – 0.920</w:t>
            </w:r>
          </w:p>
        </w:tc>
        <w:tc>
          <w:tcPr>
            <w:tcW w:w="1134"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0.003</w:t>
            </w:r>
          </w:p>
        </w:tc>
        <w:tc>
          <w:tcPr>
            <w:tcW w:w="1134" w:type="dxa"/>
            <w:tcBorders>
              <w:top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0.073</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0.341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0.169 – 0.686</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0.406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0.226 – 0.729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0.329</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0.162 – 0.667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0.073</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7-KetoHDCA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0.805</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0.692 – 0.935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0.485</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0.294 – 0.800</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0.693 – 0.938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0.078</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0.365</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0.179 – 0.743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0.455</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0.261 – 0.793</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0.375</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0.183 – 0.769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0.078</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HDCA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0.688 – 0.949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0.538</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0.337 – 0.858</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0.009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0.809</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0.688 – 0.952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0.011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0.106</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1.329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1.049 – 1.683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0.018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1.746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1.099 – 2.776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0.018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1.336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1.051 – 1.698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0.018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0.175</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3,7,12-DehydroCA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1.249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1.032 – 1.513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1.701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1.077 – 2.685</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1.260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1.035 – 1.533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0.185</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7-KetoLCA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0.839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0.717 – 0.981</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0.593</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0.372 – 0.944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0.700 – 0.969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0.020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0.197</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HCA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0.454 – 0.984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0.041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0.517</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0.274 – 0.975</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0.041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0.453 – 0.996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b/>
                <w:bCs/>
                <w:sz w:val="16"/>
                <w:szCs w:val="16"/>
              </w:rPr>
            </w:pPr>
            <w:r w:rsidRPr="005432DE">
              <w:rPr>
                <w:rFonts w:ascii="Times New Roman" w:hAnsi="Times New Roman" w:cs="Times New Roman"/>
                <w:b/>
                <w:bCs/>
                <w:sz w:val="16"/>
                <w:szCs w:val="16"/>
              </w:rPr>
              <w:t>0.048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0.262</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1.804</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0.963 – 3.378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0.065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4.676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0.907 – 24.109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0.065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2.126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0.947 – 4.774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0.068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0.372</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TUDCA-3S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1.146</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0.982 – 1.336</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1.592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0.941 – 2.692</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1.148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0.982 – 1.341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0.411</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0.811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0.639 – 1.030</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0.087</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0.426 – 1.059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0.087</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0.805</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0.631 – 1.028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0.082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0.411</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0.750</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0.534 – 1.053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0.096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0.481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0.203 – 1.139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0.096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0.731</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0.519 – 1.030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0.073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0.422</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6-KetoCA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0.839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0.664 – 1.059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0.140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0.610</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0.316 – 1.176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0.140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0.676 – 1.090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0.210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0.569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3-DehydroCA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0.824</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0.624 – 1.088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0.730</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0.464 – 1.148</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0.620 – 1.091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0.867</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0.705 – 1.065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0.383 – 1.189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0.695 – 1.055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0.144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1.124</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0.948 – 1.333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1.463</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0.840 – 2.546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0.179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1.118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0.941 – 1.328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0.206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0.743</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0.467 – 1.184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0.211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0.721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0.432 – 1.204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0.211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0.785</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0.491 – 1.257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0.314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TCDCA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1.247</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0.859 – 1.809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0.246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1.428</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0.782 – 2.607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0.246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1.242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0.847 – 1.819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0.267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0.738</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norDCA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1.073</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0.929 – 1.239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0.338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1.282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0.771 – 2.130</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0.338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1.057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0.913 – 1.225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0.456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0.963</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Cholen-3β-ol</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1.284</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0.749 – 2.201</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1.533</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0.609 – 3.855</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1.257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0.759 – 2.081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0.975</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GCDCA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1.091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0.899 – 1.325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1.287</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0.736 – 2.249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0.376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1.096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0.905 – 1.329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0.349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0.975</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1.183</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0.783 – 1.787</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0.425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1.196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0.770 – 1.858</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0.425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1.257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0.824 – 1.919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0.288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1.079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0.886 – 1.315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0.449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1.244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0.708 – 2.186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0.449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1.086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0.889 – 1.327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0.421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Cholen-3α-ol-12-one</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0.737 – 1.149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0.465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0.452 – 1.437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0.465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0.941</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0.750 – 1.181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0.602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βMCA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0.927</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0.748 – 1.148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0.485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0.471 – 1.429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0.485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0.749 – 1.154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0.509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LCA-3S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1.249</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0.641 – 2.432</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0.513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1.263</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0.627 – 2.546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0.513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1.357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0.671 – 2.744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0.396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0.912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0.677 – 1.229</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0.545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0.543 – 1.380</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0.545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0.898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0.663 – 1.218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0.490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GLCA-3S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0.956</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0.825 – 1.108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0.858</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0.519 – 1.419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0.953</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0.821 – 1.107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0.532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GUDCA-3S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1.053</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0.884 – 1.254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0.562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1.158</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0.705 – 1.902</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0.562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1.040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0.871 – 1.243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1.078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0.814 – 1.428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1.132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0.713 – 1.797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1.027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0.767 – 1.374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THCA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1.056</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0.855 – 1.304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1.152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0.666 – 1.991</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1.061</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0.858 – 1.314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0.583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GHCA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0.826 – 1.121</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0.621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0.879</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0.526 – 1.467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0.621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0.819 – 1.117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0.575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TLCA-3S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1.036</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0.889 – 1.208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0.647</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1.130</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0.669 – 1.909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0.647</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0.881 – 1.204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0.710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1.036</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0.883 – 1.216</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1.121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0.668 – 1.880</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0.880 – 1.215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1.034</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0.880 – 1.214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1.111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0.667 – 1.850</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0.685</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1.034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0.878 – 1.216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0.692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GHDCA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0.783 – 1.182</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0.712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0.906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0.536 – 1.531</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0.712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0.767 – 1.169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0.611</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0.977</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0.856 – 1.115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0.728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0.914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0.552 – 1.514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0.728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0.867 – 1.140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0.634 – 1.397</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0.930</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0.578 – 1.494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0.763</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0.657 – 1.468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0.977</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0.841 – 1.136</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0.925</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0.554 – 1.543</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0.983</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0.844 – 1.144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1.028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0.854 – 1.236</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0.772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1.079</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0.645 – 1.805</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0.772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1.018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0.843 – 1.228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0.855</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TαMCA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0.784 – 1.204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0.551 – 1.574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0.790</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0.981</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0.790 – 1.220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Cholen-7α-ol-3-one</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0.841 – 1.144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0.939</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0.568 – 1.551</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0.806</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0.822 – 1.129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0.648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12-KetoLCA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0.668 – 1.384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0.832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0.552 – 1.613</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0.832</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0.993</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0.686 – 1.436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αMCA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0.980</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0.798 – 1.205</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0.567 – 1.598</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0.797 – 1.209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lastRenderedPageBreak/>
              <w:t>TDCA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1.021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0.790 – 1.318</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1.041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0.635 – 1.704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1.005</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0.775 – 1.303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0.970</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TCDCA-3S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0.867 – 1.133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0.894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0.585 – 1.597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0.894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0.866 – 1.136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0.903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GCDCA-3S</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0.866 – 1.173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1.026</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0.617 – 1.706</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0.921</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1.007</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0.863 – 1.174</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0.932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THDCA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1.005</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0.848 – 1.191</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1.015</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0.610 – 1.687</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0.954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1.016</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0.856 – 1.207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GUDCA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1.005</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0.800 – 1.263</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1.012</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0.612 – 1.674</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0.964</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0.992</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0.787 – 1.252</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0.948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CA-3β,12α-diol</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0.857 – 1.172</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1.007</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0.608 – 1.669</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0.978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0.985</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0.839 – 1.156</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0.853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isoLCA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1.001</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0.862 – 1.162</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0.605 – 1.665</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0.988</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0.860 – 1.163</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0.997</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UChA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0.800 – 1.254</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1.004</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0.606 – 1.662</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0.989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1.018</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0.810 – 1.279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0.878</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3,7-DiketoCA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0.048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0.009</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0.050</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3-KetoCA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0.038</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0.001</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0.039</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UChA</w:t>
            </w:r>
          </w:p>
        </w:tc>
        <w:tc>
          <w:tcPr>
            <w:tcW w:w="851"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0.052</w:t>
            </w:r>
          </w:p>
        </w:tc>
        <w:tc>
          <w:tcPr>
            <w:tcW w:w="155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0.018</w:t>
            </w:r>
          </w:p>
        </w:tc>
        <w:tc>
          <w:tcPr>
            <w:tcW w:w="1843"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gridSpan w:val="2"/>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0.054</w:t>
            </w:r>
          </w:p>
        </w:tc>
        <w:tc>
          <w:tcPr>
            <w:tcW w:w="1418"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1134" w:type="dxa"/>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r w:rsidR="00357BE3" w:rsidRPr="005432DE" w:rsidTr="002C109C">
        <w:trPr>
          <w:jc w:val="center"/>
        </w:trPr>
        <w:tc>
          <w:tcPr>
            <w:tcW w:w="2693" w:type="dxa"/>
            <w:tcBorders>
              <w:bottom w:val="single" w:sz="4" w:space="0" w:color="auto"/>
            </w:tcBorders>
          </w:tcPr>
          <w:p w:rsidR="00357BE3" w:rsidRPr="005432DE" w:rsidRDefault="00357BE3" w:rsidP="002C109C">
            <w:pPr>
              <w:adjustRightInd w:val="0"/>
              <w:snapToGrid w:val="0"/>
              <w:spacing w:after="0" w:line="240" w:lineRule="auto"/>
              <w:rPr>
                <w:rFonts w:ascii="Times New Roman" w:hAnsi="Times New Roman" w:cs="Times New Roman"/>
                <w:sz w:val="16"/>
                <w:szCs w:val="16"/>
              </w:rPr>
            </w:pPr>
            <w:r w:rsidRPr="005432DE">
              <w:rPr>
                <w:rFonts w:ascii="Times New Roman" w:hAnsi="Times New Roman" w:cs="Times New Roman"/>
                <w:sz w:val="16"/>
                <w:szCs w:val="16"/>
              </w:rPr>
              <w:t>6,7-DiketoCA</w:t>
            </w:r>
          </w:p>
        </w:tc>
        <w:tc>
          <w:tcPr>
            <w:tcW w:w="851"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0.051</w:t>
            </w:r>
          </w:p>
        </w:tc>
        <w:tc>
          <w:tcPr>
            <w:tcW w:w="1559"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0.115</w:t>
            </w:r>
          </w:p>
        </w:tc>
        <w:tc>
          <w:tcPr>
            <w:tcW w:w="1843"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709" w:type="dxa"/>
            <w:gridSpan w:val="2"/>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850"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0.054</w:t>
            </w:r>
          </w:p>
        </w:tc>
        <w:tc>
          <w:tcPr>
            <w:tcW w:w="1418"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0.000 – inf</w:t>
            </w:r>
          </w:p>
        </w:tc>
        <w:tc>
          <w:tcPr>
            <w:tcW w:w="1134"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c>
          <w:tcPr>
            <w:tcW w:w="1134" w:type="dxa"/>
            <w:tcBorders>
              <w:bottom w:val="single" w:sz="4" w:space="0" w:color="auto"/>
            </w:tcBorders>
          </w:tcPr>
          <w:p w:rsidR="00357BE3" w:rsidRPr="005432DE" w:rsidRDefault="00357BE3" w:rsidP="002C109C">
            <w:pPr>
              <w:adjustRightInd w:val="0"/>
              <w:snapToGrid w:val="0"/>
              <w:spacing w:after="0" w:line="240" w:lineRule="auto"/>
              <w:jc w:val="center"/>
              <w:rPr>
                <w:rFonts w:ascii="Times New Roman" w:hAnsi="Times New Roman" w:cs="Times New Roman"/>
                <w:sz w:val="16"/>
                <w:szCs w:val="16"/>
              </w:rPr>
            </w:pPr>
            <w:r w:rsidRPr="005432DE">
              <w:rPr>
                <w:rFonts w:ascii="Times New Roman" w:hAnsi="Times New Roman" w:cs="Times New Roman"/>
                <w:sz w:val="16"/>
                <w:szCs w:val="16"/>
              </w:rPr>
              <w:t>0.999</w:t>
            </w:r>
          </w:p>
        </w:tc>
      </w:tr>
    </w:tbl>
    <w:p w:rsidR="00357BE3" w:rsidRPr="005432DE" w:rsidRDefault="00357BE3" w:rsidP="00357BE3">
      <w:pPr>
        <w:adjustRightInd w:val="0"/>
        <w:snapToGrid w:val="0"/>
        <w:spacing w:after="0" w:line="240" w:lineRule="auto"/>
        <w:jc w:val="both"/>
        <w:rPr>
          <w:rFonts w:ascii="Times New Roman" w:hAnsi="Times New Roman" w:cs="Times New Roman"/>
          <w:sz w:val="16"/>
          <w:szCs w:val="16"/>
        </w:rPr>
      </w:pPr>
      <w:r w:rsidRPr="005432DE">
        <w:rPr>
          <w:rFonts w:ascii="Times New Roman" w:hAnsi="Times New Roman" w:cs="Times New Roman"/>
          <w:color w:val="000000"/>
          <w:sz w:val="16"/>
          <w:szCs w:val="16"/>
        </w:rPr>
        <w:t>Odds ratios (ORs) and 95% confidence intervals (CIs) were estimated using logistic regression with PNAC onset as the outcome. “Per log increase” indicates OR per 1-unit increase in log-transformed bile acid concentration; “Per SD increase” indicates OR per 1-standard deviation (SD) increase in the log-transformed concentration. Sex-adjusted models additionally included infant sex as a covariate and are reported per SD increase. False discovery rate (FDR) q values were calculated using the Benjamini-Hochberg procedure across all bile acids based on the P values from the per SD models.</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Boldface values indicate P (or q) &lt; 0.05.</w:t>
      </w:r>
      <w:r w:rsidRPr="005432DE">
        <w:rPr>
          <w:rStyle w:val="apple-converted-space"/>
          <w:rFonts w:ascii="Times New Roman" w:hAnsi="Times New Roman" w:cs="Times New Roman"/>
          <w:color w:val="000000"/>
          <w:sz w:val="16"/>
          <w:szCs w:val="16"/>
        </w:rPr>
        <w:t> </w:t>
      </w:r>
      <w:r w:rsidRPr="005432DE">
        <w:rPr>
          <w:rFonts w:ascii="Times New Roman" w:hAnsi="Times New Roman" w:cs="Times New Roman"/>
          <w:color w:val="000000"/>
          <w:sz w:val="16"/>
          <w:szCs w:val="16"/>
        </w:rPr>
        <w:t>Abbreviations: PNAC, parenteral nutrition-associated cholestasis; OR, odds ratio; CI, confidence interval; SD, standard deviation; FDR, false discovery rate. Bile acid abbreviations follow standard nomenclature: CA, cholic acid; CDCA, chenodeoxycholic acid; DCA, deoxycholic acid; LCA, lithocholic acid; UDCA, ursodeoxycholic acid;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G-</w:t>
      </w:r>
      <w:r w:rsidRPr="005432DE">
        <w:rPr>
          <w:rFonts w:ascii="Times New Roman" w:hAnsi="Times New Roman" w:cs="Times New Roman"/>
          <w:color w:val="000000"/>
          <w:sz w:val="16"/>
          <w:szCs w:val="16"/>
        </w:rPr>
        <w:t>, glycine-conjugated;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T-</w:t>
      </w:r>
      <w:r w:rsidRPr="005432DE">
        <w:rPr>
          <w:rFonts w:ascii="Times New Roman" w:hAnsi="Times New Roman" w:cs="Times New Roman"/>
          <w:color w:val="000000"/>
          <w:sz w:val="16"/>
          <w:szCs w:val="16"/>
        </w:rPr>
        <w:t>, taurine-conjugated; suffix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-3S</w:t>
      </w:r>
      <w:r w:rsidRPr="005432DE">
        <w:rPr>
          <w:rFonts w:ascii="Times New Roman" w:hAnsi="Times New Roman" w:cs="Times New Roman"/>
          <w:color w:val="000000"/>
          <w:sz w:val="16"/>
          <w:szCs w:val="16"/>
        </w:rPr>
        <w:t>, 3-sulfate</w:t>
      </w:r>
    </w:p>
    <w:p w:rsidR="00A40C64" w:rsidRPr="005432DE" w:rsidRDefault="00A40C64" w:rsidP="004B47E9">
      <w:pPr>
        <w:jc w:val="center"/>
        <w:rPr>
          <w:rFonts w:ascii="Times New Roman" w:hAnsi="Times New Roman" w:cs="Times New Roman"/>
          <w:b/>
          <w:bCs/>
          <w:sz w:val="16"/>
          <w:szCs w:val="16"/>
        </w:rPr>
        <w:sectPr w:rsidR="00A40C64" w:rsidRPr="005432DE" w:rsidSect="008613F8">
          <w:pgSz w:w="16840" w:h="11900" w:orient="landscape"/>
          <w:pgMar w:top="1440" w:right="1080" w:bottom="1440" w:left="1080" w:header="851" w:footer="992" w:gutter="0"/>
          <w:cols w:space="425"/>
          <w:docGrid w:type="lines" w:linePitch="360"/>
        </w:sectPr>
      </w:pPr>
    </w:p>
    <w:tbl>
      <w:tblPr>
        <w:tblW w:w="14318" w:type="dxa"/>
        <w:tblLayout w:type="fixed"/>
        <w:tblCellMar>
          <w:left w:w="28" w:type="dxa"/>
          <w:right w:w="28" w:type="dxa"/>
        </w:tblCellMar>
        <w:tblLook w:val="04A0" w:firstRow="1" w:lastRow="0" w:firstColumn="1" w:lastColumn="0" w:noHBand="0" w:noVBand="1"/>
      </w:tblPr>
      <w:tblGrid>
        <w:gridCol w:w="3261"/>
        <w:gridCol w:w="851"/>
        <w:gridCol w:w="1559"/>
        <w:gridCol w:w="709"/>
        <w:gridCol w:w="850"/>
        <w:gridCol w:w="1843"/>
        <w:gridCol w:w="563"/>
        <w:gridCol w:w="146"/>
        <w:gridCol w:w="850"/>
        <w:gridCol w:w="1418"/>
        <w:gridCol w:w="1134"/>
        <w:gridCol w:w="1127"/>
        <w:gridCol w:w="7"/>
      </w:tblGrid>
      <w:tr w:rsidR="00A40C64" w:rsidRPr="005432DE" w:rsidTr="005432DE">
        <w:trPr>
          <w:gridAfter w:val="1"/>
          <w:wAfter w:w="7" w:type="dxa"/>
          <w:trHeight w:val="130"/>
        </w:trPr>
        <w:tc>
          <w:tcPr>
            <w:tcW w:w="14311" w:type="dxa"/>
            <w:gridSpan w:val="12"/>
            <w:tcBorders>
              <w:bottom w:val="single" w:sz="4" w:space="0" w:color="auto"/>
            </w:tcBorders>
          </w:tcPr>
          <w:p w:rsidR="00A40C64" w:rsidRPr="005432DE" w:rsidRDefault="00A40C64" w:rsidP="005432DE">
            <w:pPr>
              <w:adjustRightInd w:val="0"/>
              <w:snapToGrid w:val="0"/>
              <w:spacing w:after="0" w:line="0" w:lineRule="atLeast"/>
              <w:rPr>
                <w:rFonts w:ascii="Times New Roman" w:eastAsia="新細明體" w:hAnsi="Times New Roman" w:cs="Times New Roman"/>
                <w:b/>
                <w:bCs/>
                <w:kern w:val="0"/>
                <w:sz w:val="16"/>
                <w:szCs w:val="16"/>
                <w14:ligatures w14:val="none"/>
              </w:rPr>
            </w:pPr>
            <w:r w:rsidRPr="005432DE">
              <w:rPr>
                <w:rFonts w:ascii="Times New Roman" w:eastAsia="新細明體" w:hAnsi="Times New Roman" w:cs="Times New Roman"/>
                <w:b/>
                <w:bCs/>
                <w:kern w:val="0"/>
                <w:sz w:val="16"/>
                <w:szCs w:val="16"/>
                <w14:ligatures w14:val="none"/>
              </w:rPr>
              <w:lastRenderedPageBreak/>
              <w:t>Table S</w:t>
            </w:r>
            <w:r w:rsidR="009C1CB9">
              <w:rPr>
                <w:rFonts w:ascii="Times New Roman" w:eastAsia="新細明體" w:hAnsi="Times New Roman" w:cs="Times New Roman"/>
                <w:b/>
                <w:bCs/>
                <w:kern w:val="0"/>
                <w:sz w:val="16"/>
                <w:szCs w:val="16"/>
                <w14:ligatures w14:val="none"/>
              </w:rPr>
              <w:t>4</w:t>
            </w:r>
            <w:r w:rsidRPr="005432DE">
              <w:rPr>
                <w:rFonts w:ascii="Times New Roman" w:eastAsia="新細明體" w:hAnsi="Times New Roman" w:cs="Times New Roman"/>
                <w:b/>
                <w:bCs/>
                <w:kern w:val="0"/>
                <w:sz w:val="16"/>
                <w:szCs w:val="16"/>
                <w14:ligatures w14:val="none"/>
              </w:rPr>
              <w:t xml:space="preserve">. </w:t>
            </w:r>
            <w:r w:rsidRPr="005432DE">
              <w:rPr>
                <w:rFonts w:ascii="Times New Roman" w:hAnsi="Times New Roman" w:cs="Times New Roman"/>
                <w:color w:val="000000"/>
                <w:sz w:val="16"/>
                <w:szCs w:val="16"/>
              </w:rPr>
              <w:t>Logistic regression analysis of fecal bacteria associated with PNAC onset</w:t>
            </w:r>
            <w:r w:rsidRPr="005432DE">
              <w:rPr>
                <w:rFonts w:ascii="Times New Roman" w:eastAsia="新細明體" w:hAnsi="Times New Roman" w:cs="Times New Roman"/>
                <w:kern w:val="0"/>
                <w:sz w:val="16"/>
                <w:szCs w:val="16"/>
                <w14:ligatures w14:val="none"/>
              </w:rPr>
              <w:t>.</w:t>
            </w:r>
          </w:p>
        </w:tc>
      </w:tr>
      <w:tr w:rsidR="00A40C64" w:rsidRPr="005432DE" w:rsidTr="005432DE">
        <w:trPr>
          <w:trHeight w:val="130"/>
        </w:trPr>
        <w:tc>
          <w:tcPr>
            <w:tcW w:w="3261" w:type="dxa"/>
            <w:vMerge w:val="restart"/>
            <w:tcBorders>
              <w:bottom w:val="single" w:sz="4" w:space="0" w:color="auto"/>
            </w:tcBorders>
          </w:tcPr>
          <w:p w:rsidR="00A40C64" w:rsidRPr="005432DE" w:rsidRDefault="00A40C64" w:rsidP="005432DE">
            <w:pPr>
              <w:adjustRightInd w:val="0"/>
              <w:snapToGrid w:val="0"/>
              <w:spacing w:after="0" w:line="0" w:lineRule="atLeast"/>
              <w:jc w:val="both"/>
              <w:rPr>
                <w:rFonts w:ascii="Times New Roman" w:hAnsi="Times New Roman" w:cs="Times New Roman"/>
                <w:sz w:val="16"/>
                <w:szCs w:val="16"/>
              </w:rPr>
            </w:pPr>
            <w:r w:rsidRPr="005432DE">
              <w:rPr>
                <w:rFonts w:ascii="Times New Roman" w:eastAsia="新細明體" w:hAnsi="Times New Roman" w:cs="Times New Roman"/>
                <w:kern w:val="0"/>
                <w:sz w:val="16"/>
                <w:szCs w:val="16"/>
                <w14:ligatures w14:val="none"/>
              </w:rPr>
              <w:t>Taxon</w:t>
            </w:r>
          </w:p>
        </w:tc>
        <w:tc>
          <w:tcPr>
            <w:tcW w:w="3119" w:type="dxa"/>
            <w:gridSpan w:val="3"/>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Per log increase</w:t>
            </w:r>
          </w:p>
        </w:tc>
        <w:tc>
          <w:tcPr>
            <w:tcW w:w="3256" w:type="dxa"/>
            <w:gridSpan w:val="3"/>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Per SD increase</w:t>
            </w:r>
          </w:p>
        </w:tc>
        <w:tc>
          <w:tcPr>
            <w:tcW w:w="3548" w:type="dxa"/>
            <w:gridSpan w:val="4"/>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Sex-adjusted per SD increase</w:t>
            </w:r>
          </w:p>
        </w:tc>
        <w:tc>
          <w:tcPr>
            <w:tcW w:w="1134" w:type="dxa"/>
            <w:gridSpan w:val="2"/>
            <w:vMerge w:val="restart"/>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FDR q</w:t>
            </w:r>
          </w:p>
        </w:tc>
      </w:tr>
      <w:tr w:rsidR="00A40C64" w:rsidRPr="005432DE" w:rsidTr="005432DE">
        <w:trPr>
          <w:trHeight w:val="130"/>
        </w:trPr>
        <w:tc>
          <w:tcPr>
            <w:tcW w:w="3261" w:type="dxa"/>
            <w:vMerge/>
            <w:tcBorders>
              <w:top w:val="single" w:sz="4" w:space="0" w:color="auto"/>
              <w:bottom w:val="single" w:sz="4" w:space="0" w:color="auto"/>
            </w:tcBorders>
          </w:tcPr>
          <w:p w:rsidR="00A40C64" w:rsidRPr="005432DE" w:rsidRDefault="00A40C64" w:rsidP="005432DE">
            <w:pPr>
              <w:adjustRightInd w:val="0"/>
              <w:snapToGrid w:val="0"/>
              <w:spacing w:after="0" w:line="0" w:lineRule="atLeast"/>
              <w:rPr>
                <w:rFonts w:ascii="Times New Roman" w:hAnsi="Times New Roman" w:cs="Times New Roman"/>
                <w:sz w:val="16"/>
                <w:szCs w:val="16"/>
              </w:rPr>
            </w:pPr>
          </w:p>
        </w:tc>
        <w:tc>
          <w:tcPr>
            <w:tcW w:w="851" w:type="dxa"/>
            <w:tcBorders>
              <w:top w:val="single" w:sz="4" w:space="0" w:color="auto"/>
              <w:bottom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559" w:type="dxa"/>
            <w:tcBorders>
              <w:top w:val="single" w:sz="4" w:space="0" w:color="auto"/>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709" w:type="dxa"/>
            <w:tcBorders>
              <w:top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850" w:type="dxa"/>
            <w:tcBorders>
              <w:top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843"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709" w:type="dxa"/>
            <w:gridSpan w:val="2"/>
            <w:tcBorders>
              <w:top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850" w:type="dxa"/>
            <w:tcBorders>
              <w:top w:val="single" w:sz="4" w:space="0" w:color="auto"/>
              <w:bottom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OR</w:t>
            </w:r>
          </w:p>
        </w:tc>
        <w:tc>
          <w:tcPr>
            <w:tcW w:w="1418" w:type="dxa"/>
            <w:tcBorders>
              <w:top w:val="single" w:sz="4" w:space="0" w:color="auto"/>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95% CI</w:t>
            </w:r>
          </w:p>
        </w:tc>
        <w:tc>
          <w:tcPr>
            <w:tcW w:w="1134" w:type="dxa"/>
            <w:tcBorders>
              <w:top w:val="single" w:sz="4" w:space="0" w:color="auto"/>
              <w:bottom w:val="single" w:sz="4" w:space="0" w:color="auto"/>
            </w:tcBorders>
          </w:tcPr>
          <w:p w:rsidR="00A40C64" w:rsidRPr="005432DE" w:rsidRDefault="00A40C64" w:rsidP="005432DE">
            <w:pPr>
              <w:adjustRightInd w:val="0"/>
              <w:snapToGrid w:val="0"/>
              <w:spacing w:after="0" w:line="0" w:lineRule="atLeast"/>
              <w:jc w:val="center"/>
              <w:rPr>
                <w:rFonts w:ascii="Times New Roman" w:eastAsia="新細明體" w:hAnsi="Times New Roman" w:cs="Times New Roman"/>
                <w:kern w:val="0"/>
                <w:sz w:val="16"/>
                <w:szCs w:val="16"/>
                <w14:ligatures w14:val="none"/>
              </w:rPr>
            </w:pPr>
            <w:r w:rsidRPr="005432DE">
              <w:rPr>
                <w:rFonts w:ascii="Times New Roman" w:eastAsia="新細明體" w:hAnsi="Times New Roman" w:cs="Times New Roman"/>
                <w:kern w:val="0"/>
                <w:sz w:val="16"/>
                <w:szCs w:val="16"/>
                <w14:ligatures w14:val="none"/>
              </w:rPr>
              <w:t>P</w:t>
            </w:r>
          </w:p>
        </w:tc>
        <w:tc>
          <w:tcPr>
            <w:tcW w:w="1134" w:type="dxa"/>
            <w:gridSpan w:val="2"/>
            <w:vMerge/>
            <w:tcBorders>
              <w:bottom w:val="single" w:sz="4" w:space="0" w:color="auto"/>
            </w:tcBorders>
          </w:tcPr>
          <w:p w:rsidR="00A40C64" w:rsidRPr="005432DE" w:rsidRDefault="00A40C64" w:rsidP="005432DE">
            <w:pPr>
              <w:adjustRightInd w:val="0"/>
              <w:snapToGrid w:val="0"/>
              <w:spacing w:after="0" w:line="0" w:lineRule="atLeast"/>
              <w:rPr>
                <w:rFonts w:ascii="Times New Roman" w:hAnsi="Times New Roman" w:cs="Times New Roman"/>
                <w:sz w:val="16"/>
                <w:szCs w:val="16"/>
              </w:rPr>
            </w:pPr>
          </w:p>
        </w:tc>
      </w:tr>
      <w:tr w:rsidR="00A40C64" w:rsidRPr="005432DE" w:rsidTr="005432DE">
        <w:trPr>
          <w:trHeight w:val="130"/>
        </w:trPr>
        <w:tc>
          <w:tcPr>
            <w:tcW w:w="3261" w:type="dxa"/>
            <w:tcBorders>
              <w:top w:val="single" w:sz="4" w:space="0" w:color="auto"/>
            </w:tcBorders>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f__Enterobacteriaceae.1</w:t>
            </w:r>
          </w:p>
        </w:tc>
        <w:tc>
          <w:tcPr>
            <w:tcW w:w="851"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0.589</w:t>
            </w:r>
          </w:p>
        </w:tc>
        <w:tc>
          <w:tcPr>
            <w:tcW w:w="1559"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0.400 - 0.869</w:t>
            </w:r>
          </w:p>
        </w:tc>
        <w:tc>
          <w:tcPr>
            <w:tcW w:w="709"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0.008</w:t>
            </w:r>
          </w:p>
        </w:tc>
        <w:tc>
          <w:tcPr>
            <w:tcW w:w="850"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0.351</w:t>
            </w:r>
          </w:p>
        </w:tc>
        <w:tc>
          <w:tcPr>
            <w:tcW w:w="1843"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0.163 - 0.756</w:t>
            </w:r>
          </w:p>
        </w:tc>
        <w:tc>
          <w:tcPr>
            <w:tcW w:w="709" w:type="dxa"/>
            <w:gridSpan w:val="2"/>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0.008</w:t>
            </w:r>
          </w:p>
        </w:tc>
        <w:tc>
          <w:tcPr>
            <w:tcW w:w="850"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0.349</w:t>
            </w:r>
          </w:p>
        </w:tc>
        <w:tc>
          <w:tcPr>
            <w:tcW w:w="1418"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0.160 - 0.758</w:t>
            </w:r>
          </w:p>
        </w:tc>
        <w:tc>
          <w:tcPr>
            <w:tcW w:w="1134" w:type="dxa"/>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0.008</w:t>
            </w:r>
          </w:p>
        </w:tc>
        <w:tc>
          <w:tcPr>
            <w:tcW w:w="1134" w:type="dxa"/>
            <w:gridSpan w:val="2"/>
            <w:tcBorders>
              <w:top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g__Lactobacillus</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0.653</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0.468 - 0.912</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0.439</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0.230 - 0.836</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0.450</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0.233 - 0.868</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g__Bacteroides.2</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1.730</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1.126 - 2.656</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1.883</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1.147 - 3.091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1.875</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1.136 - 3.093</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0.014</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g__Lachnoclostridium</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1.622</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1.096 - 2.401</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1.844</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1.123 - 3.026</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1.840</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1.114 - 3.041</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g__Enterococcus.3</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1.545</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1.074 - 2.224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1.812</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1.102 - 2.981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1.763</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1.065 - 2.920</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0.027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0.123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g__Enterococcus</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0.706</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0.510 - 0.977</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0.596</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0.368 - 0.965</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0.592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0.362 - 0.969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0.037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0.189</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s__Bifidobacterium_bifidum</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0.740</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0.554 - 0.988</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0.041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0.558</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0.319 - 0.977</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0.041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0.565</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0.320 - 0.998</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b/>
                <w:bCs/>
                <w:color w:val="000000"/>
                <w:kern w:val="0"/>
                <w:sz w:val="16"/>
                <w:szCs w:val="16"/>
                <w14:ligatures w14:val="none"/>
              </w:rPr>
            </w:pPr>
            <w:r w:rsidRPr="005432DE">
              <w:rPr>
                <w:rFonts w:ascii="Times New Roman" w:eastAsia="新細明體" w:hAnsi="Times New Roman" w:cs="Times New Roman"/>
                <w:b/>
                <w:bCs/>
                <w:color w:val="000000"/>
                <w:kern w:val="0"/>
                <w:sz w:val="16"/>
                <w:szCs w:val="16"/>
                <w14:ligatures w14:val="none"/>
              </w:rPr>
              <w:t>0.049</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0.189</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g__Bacteroides.1</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1.438</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0.972 - 2.128</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1.606</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0.963 - 2.677</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1.597</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0.952 - 2.679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0.076</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0.238</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s__uncultured_bacterium</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1.410</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0.973 - 2.042</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1.592</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0.964 - 2.631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0.069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1.589</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0.955 - 2.644</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0.075</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0.238</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g__Staphylococcus</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1.307</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0.974 - 1.754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0.074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1.553</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0.958 - 2.518</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0.074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1.846</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1.077 - 3.164</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0.026</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0.238</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g__Enterobacter</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0.779</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0.585 - 1.038</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0.595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0.328 - 1.081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0.088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0.289 - 1.019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0.057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0.257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g__Bacteroides</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1.358</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0.941 - 1.960</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1.522</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0.920 - 2.517</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1.506</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0.906 - 2.503</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0.114</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0.272</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g__Klebsiella.1</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0.794</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0.594 - 1.061</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0.626</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0.348 - 1.129</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0.610</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0.337 - 1.105</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0.103</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s__Bifidobacterium_breve</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0.768</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0.550 - 1.071</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0.590</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0.304 - 1.146</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0.612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0.316 - 1.186</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0.146</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0.819</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0.625 - 1.073</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0.148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0.644</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0.354 - 1.170</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0.148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0.615</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0.335 - 1.129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0.117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0.316</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g__Klebsiella</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0.835</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0.628 - 1.109</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0.213</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0.392 - 1.232</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0.213</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0.644</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0.355 - 1.169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0.148</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s__uncultured_organism</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1.284</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0.863 - 1.912</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1.355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0.836 - 2.198</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0.218</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1.355</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0.831 - 2.209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0.223</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s__Parabacteroides_goldsteinii</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1.304</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0.852 - 1.995</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0.222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1.361</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0.830 - 2.231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0.222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1.307</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0.788 - 2.167</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0.299</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0.394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g__Pseudomonas.1</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1.208</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0.860 - 1.697</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1.302</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0.811 - 2.091</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1.286</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0.795 - 2.082</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0.305</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0.463</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f__Enterobacteriaceae.6</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0.855</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0.637 - 1.147</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0.295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0.413 - 1.308</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0.295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0.725</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0.406 - 1.295</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0.277</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f__Enterobacteriaceae.2</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0.844</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0.611 - 1.167</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0.304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0.730</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0.401 - 1.330</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0.304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0.738</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0.401 - 1.359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0.330</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f__Enterobacteriaceae.3</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0.857</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0.633 - 1.162</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0.322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0.746</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0.417 - 1.333</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0.322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0.768</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0.425 - 1.389</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0.383</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0.468</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g__Klebsiella.2</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0.871</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0.644 - 1.179</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0.371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0.444 - 1.354</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0.371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0.769</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0.438 - 1.351</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0.361</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g__Staphylococcus.3</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1.107</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0.815 - 1.504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1.183</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0.714 - 1.959</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0.515</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1.262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0.751 - 2.121</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0.379</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f__Enterobacteriaceae.4</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0.917</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0.694 - 1.211</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0.494 - 1.448</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0.541</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0.829</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0.483 - 1.420</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0.494</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g__Enterobacter.1</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0.911</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0.672 - 1.234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0.489 - 1.460</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0.809</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0.464 - 1.410</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0.454</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f__Enterobacteriaceae.7</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0.904</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0.652 - 1.254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0.844</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0.487 - 1.463</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0.546</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0.494 - 1.506</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0.603</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0.647</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g__Escherichia-Shigella</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0.959</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0.775 - 1.187</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0.905</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0.546 - 1.502</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0.850</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0.160 - 0.758</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0.538</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g__Staphylococcus.4</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0.946</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0.698 - 1.282</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0.909</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0.542 - 1.527</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0.719</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0.869</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0.233 - 0.868</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0.601</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0.794</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f__Enterobacteriaceae.10</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0.971</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0.709 - 1.330</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0.953</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0.568 - 1.598</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0.854</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0.982</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1.136 - 3.093</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0.948</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0.901</w:t>
            </w:r>
          </w:p>
        </w:tc>
      </w:tr>
      <w:tr w:rsidR="00A40C64" w:rsidRPr="005432DE" w:rsidTr="005432DE">
        <w:trPr>
          <w:trHeight w:val="130"/>
        </w:trPr>
        <w:tc>
          <w:tcPr>
            <w:tcW w:w="3261" w:type="dxa"/>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s__Corynebacterium_striatum</w:t>
            </w:r>
          </w:p>
        </w:tc>
        <w:tc>
          <w:tcPr>
            <w:tcW w:w="851"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0.972</w:t>
            </w:r>
          </w:p>
        </w:tc>
        <w:tc>
          <w:tcPr>
            <w:tcW w:w="155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0.663 - 1.424</w:t>
            </w:r>
          </w:p>
        </w:tc>
        <w:tc>
          <w:tcPr>
            <w:tcW w:w="709"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0.882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0.962</w:t>
            </w:r>
          </w:p>
        </w:tc>
        <w:tc>
          <w:tcPr>
            <w:tcW w:w="1843"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0.576 - 1.606</w:t>
            </w:r>
          </w:p>
        </w:tc>
        <w:tc>
          <w:tcPr>
            <w:tcW w:w="709"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0.882</w:t>
            </w:r>
          </w:p>
        </w:tc>
        <w:tc>
          <w:tcPr>
            <w:tcW w:w="850"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1.064</w:t>
            </w:r>
          </w:p>
        </w:tc>
        <w:tc>
          <w:tcPr>
            <w:tcW w:w="1418"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1.114 - 3.041</w:t>
            </w:r>
          </w:p>
        </w:tc>
        <w:tc>
          <w:tcPr>
            <w:tcW w:w="1134" w:type="dxa"/>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0.822</w:t>
            </w:r>
          </w:p>
        </w:tc>
        <w:tc>
          <w:tcPr>
            <w:tcW w:w="1134" w:type="dxa"/>
            <w:gridSpan w:val="2"/>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0.901</w:t>
            </w:r>
          </w:p>
        </w:tc>
      </w:tr>
      <w:tr w:rsidR="00A40C64" w:rsidRPr="005432DE" w:rsidTr="005432DE">
        <w:trPr>
          <w:trHeight w:val="130"/>
        </w:trPr>
        <w:tc>
          <w:tcPr>
            <w:tcW w:w="3261" w:type="dxa"/>
            <w:tcBorders>
              <w:bottom w:val="single" w:sz="4" w:space="0" w:color="auto"/>
            </w:tcBorders>
          </w:tcPr>
          <w:p w:rsidR="00A40C64" w:rsidRPr="005432DE" w:rsidRDefault="00A40C64" w:rsidP="005432DE">
            <w:pPr>
              <w:widowControl/>
              <w:adjustRightInd w:val="0"/>
              <w:snapToGrid w:val="0"/>
              <w:spacing w:after="0" w:line="0" w:lineRule="atLeast"/>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g__Enterobacter.3</w:t>
            </w:r>
          </w:p>
        </w:tc>
        <w:tc>
          <w:tcPr>
            <w:tcW w:w="851"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0.981</w:t>
            </w:r>
          </w:p>
        </w:tc>
        <w:tc>
          <w:tcPr>
            <w:tcW w:w="1559"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0.727 - 1.324</w:t>
            </w:r>
          </w:p>
        </w:tc>
        <w:tc>
          <w:tcPr>
            <w:tcW w:w="709"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0.901</w:t>
            </w:r>
          </w:p>
        </w:tc>
        <w:tc>
          <w:tcPr>
            <w:tcW w:w="850"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0.968</w:t>
            </w:r>
          </w:p>
        </w:tc>
        <w:tc>
          <w:tcPr>
            <w:tcW w:w="1843"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0.581 - 1.614</w:t>
            </w:r>
          </w:p>
        </w:tc>
        <w:tc>
          <w:tcPr>
            <w:tcW w:w="709" w:type="dxa"/>
            <w:gridSpan w:val="2"/>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0.901</w:t>
            </w:r>
          </w:p>
        </w:tc>
        <w:tc>
          <w:tcPr>
            <w:tcW w:w="850"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0.937</w:t>
            </w:r>
          </w:p>
        </w:tc>
        <w:tc>
          <w:tcPr>
            <w:tcW w:w="1418"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1.065 - 2.920</w:t>
            </w:r>
          </w:p>
        </w:tc>
        <w:tc>
          <w:tcPr>
            <w:tcW w:w="1134" w:type="dxa"/>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0.804</w:t>
            </w:r>
          </w:p>
        </w:tc>
        <w:tc>
          <w:tcPr>
            <w:tcW w:w="1134" w:type="dxa"/>
            <w:gridSpan w:val="2"/>
            <w:tcBorders>
              <w:bottom w:val="single" w:sz="4" w:space="0" w:color="auto"/>
            </w:tcBorders>
          </w:tcPr>
          <w:p w:rsidR="00A40C64" w:rsidRPr="005432DE" w:rsidRDefault="00A40C64" w:rsidP="005432DE">
            <w:pPr>
              <w:widowControl/>
              <w:adjustRightInd w:val="0"/>
              <w:snapToGrid w:val="0"/>
              <w:spacing w:after="0" w:line="0" w:lineRule="atLeast"/>
              <w:jc w:val="center"/>
              <w:rPr>
                <w:rFonts w:ascii="Times New Roman" w:eastAsia="新細明體" w:hAnsi="Times New Roman" w:cs="Times New Roman"/>
                <w:color w:val="000000"/>
                <w:kern w:val="0"/>
                <w:sz w:val="16"/>
                <w:szCs w:val="16"/>
                <w14:ligatures w14:val="none"/>
              </w:rPr>
            </w:pPr>
            <w:r w:rsidRPr="005432DE">
              <w:rPr>
                <w:rFonts w:ascii="Times New Roman" w:eastAsia="新細明體" w:hAnsi="Times New Roman" w:cs="Times New Roman"/>
                <w:color w:val="000000"/>
                <w:kern w:val="0"/>
                <w:sz w:val="16"/>
                <w:szCs w:val="16"/>
                <w14:ligatures w14:val="none"/>
              </w:rPr>
              <w:t>0.901</w:t>
            </w:r>
          </w:p>
        </w:tc>
      </w:tr>
    </w:tbl>
    <w:p w:rsidR="007558C3" w:rsidRDefault="00A40C64" w:rsidP="00A40C64">
      <w:pPr>
        <w:adjustRightInd w:val="0"/>
        <w:snapToGrid w:val="0"/>
        <w:spacing w:after="0" w:line="240" w:lineRule="auto"/>
        <w:jc w:val="both"/>
        <w:rPr>
          <w:rFonts w:ascii="Times New Roman" w:hAnsi="Times New Roman" w:cs="Times New Roman"/>
          <w:color w:val="000000"/>
          <w:sz w:val="16"/>
          <w:szCs w:val="16"/>
        </w:rPr>
        <w:sectPr w:rsidR="007558C3" w:rsidSect="008613F8">
          <w:pgSz w:w="16840" w:h="11900" w:orient="landscape"/>
          <w:pgMar w:top="1440" w:right="1080" w:bottom="1440" w:left="1080" w:header="851" w:footer="992" w:gutter="0"/>
          <w:cols w:space="425"/>
          <w:docGrid w:type="lines" w:linePitch="360"/>
        </w:sectPr>
      </w:pPr>
      <w:r w:rsidRPr="005432DE">
        <w:rPr>
          <w:rFonts w:ascii="Times New Roman" w:hAnsi="Times New Roman" w:cs="Times New Roman"/>
          <w:color w:val="000000"/>
          <w:sz w:val="16"/>
          <w:szCs w:val="16"/>
        </w:rPr>
        <w:t>Odds ratios (ORs) and 95% confidence intervals (CIs) were estimated using logistic regression with PNAC onset as the outcome. “Per log increase” indicates OR per 1-unit increase in log-transformed bile acid concentration; “Per SD increase” indicates OR per 1-standard deviation (SD) increase in the log-transformed concentration. Sex-adjusted models additionally included infant sex as a covariate and are reported per SD increase. False discovery rate (FDR) q values were calculated using the Benjamini-Hochberg procedure across all bile acids based on the P values from the per SD models.</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b w:val="0"/>
          <w:bCs w:val="0"/>
          <w:color w:val="000000"/>
          <w:sz w:val="16"/>
          <w:szCs w:val="16"/>
        </w:rPr>
        <w:t>Boldface values indicate P (or q) &lt; 0.05.</w:t>
      </w:r>
      <w:r w:rsidRPr="005432DE">
        <w:rPr>
          <w:rStyle w:val="apple-converted-space"/>
          <w:rFonts w:ascii="Times New Roman" w:hAnsi="Times New Roman" w:cs="Times New Roman"/>
          <w:color w:val="000000"/>
          <w:sz w:val="16"/>
          <w:szCs w:val="16"/>
        </w:rPr>
        <w:t> </w:t>
      </w:r>
      <w:r w:rsidRPr="005432DE">
        <w:rPr>
          <w:rFonts w:ascii="Times New Roman" w:hAnsi="Times New Roman" w:cs="Times New Roman"/>
          <w:color w:val="000000"/>
          <w:sz w:val="16"/>
          <w:szCs w:val="16"/>
        </w:rPr>
        <w:t>Abbreviations: PNAC, parenteral nutrition-associated cholestasis; OR, odds ratio; CI, confidence interval; SD, standard deviation; FDR, false discovery rate. Bile acid abbreviations follow standard nomenclature: CA, cholic acid; CDCA, chenodeoxycholic acid; DCA, deoxycholic acid; LCA, lithocholic acid; UDCA, ursodeoxycholic acid;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color w:val="000000"/>
          <w:sz w:val="16"/>
          <w:szCs w:val="16"/>
        </w:rPr>
        <w:t>G-</w:t>
      </w:r>
      <w:r w:rsidRPr="005432DE">
        <w:rPr>
          <w:rFonts w:ascii="Times New Roman" w:hAnsi="Times New Roman" w:cs="Times New Roman"/>
          <w:color w:val="000000"/>
          <w:sz w:val="16"/>
          <w:szCs w:val="16"/>
        </w:rPr>
        <w:t>, glycine-conjugated; prefix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color w:val="000000"/>
          <w:sz w:val="16"/>
          <w:szCs w:val="16"/>
        </w:rPr>
        <w:t>T-</w:t>
      </w:r>
      <w:r w:rsidRPr="005432DE">
        <w:rPr>
          <w:rFonts w:ascii="Times New Roman" w:hAnsi="Times New Roman" w:cs="Times New Roman"/>
          <w:color w:val="000000"/>
          <w:sz w:val="16"/>
          <w:szCs w:val="16"/>
        </w:rPr>
        <w:t>, taurine-conjugated; suffix</w:t>
      </w:r>
      <w:r w:rsidRPr="005432DE">
        <w:rPr>
          <w:rStyle w:val="apple-converted-space"/>
          <w:rFonts w:ascii="Times New Roman" w:hAnsi="Times New Roman" w:cs="Times New Roman"/>
          <w:color w:val="000000"/>
          <w:sz w:val="16"/>
          <w:szCs w:val="16"/>
        </w:rPr>
        <w:t xml:space="preserve"> </w:t>
      </w:r>
      <w:r w:rsidRPr="005432DE">
        <w:rPr>
          <w:rStyle w:val="afd"/>
          <w:rFonts w:ascii="Times New Roman" w:hAnsi="Times New Roman" w:cs="Times New Roman"/>
          <w:color w:val="000000"/>
          <w:sz w:val="16"/>
          <w:szCs w:val="16"/>
        </w:rPr>
        <w:t>-3S</w:t>
      </w:r>
      <w:r w:rsidRPr="005432DE">
        <w:rPr>
          <w:rFonts w:ascii="Times New Roman" w:hAnsi="Times New Roman" w:cs="Times New Roman"/>
          <w:color w:val="000000"/>
          <w:sz w:val="16"/>
          <w:szCs w:val="16"/>
        </w:rPr>
        <w:t>, 3-sulfate</w:t>
      </w:r>
    </w:p>
    <w:tbl>
      <w:tblPr>
        <w:tblW w:w="10348" w:type="dxa"/>
        <w:jc w:val="center"/>
        <w:tblLayout w:type="fixed"/>
        <w:tblCellMar>
          <w:left w:w="28" w:type="dxa"/>
          <w:right w:w="28" w:type="dxa"/>
        </w:tblCellMar>
        <w:tblLook w:val="04A0" w:firstRow="1" w:lastRow="0" w:firstColumn="1" w:lastColumn="0" w:noHBand="0" w:noVBand="1"/>
      </w:tblPr>
      <w:tblGrid>
        <w:gridCol w:w="1418"/>
        <w:gridCol w:w="2268"/>
        <w:gridCol w:w="850"/>
        <w:gridCol w:w="709"/>
        <w:gridCol w:w="992"/>
        <w:gridCol w:w="567"/>
        <w:gridCol w:w="142"/>
        <w:gridCol w:w="851"/>
        <w:gridCol w:w="850"/>
        <w:gridCol w:w="992"/>
        <w:gridCol w:w="709"/>
      </w:tblGrid>
      <w:tr w:rsidR="007558C3" w:rsidRPr="009E52A3" w:rsidTr="008810B5">
        <w:trPr>
          <w:trHeight w:val="277"/>
          <w:jc w:val="center"/>
        </w:trPr>
        <w:tc>
          <w:tcPr>
            <w:tcW w:w="10348" w:type="dxa"/>
            <w:gridSpan w:val="11"/>
            <w:tcBorders>
              <w:bottom w:val="single" w:sz="4" w:space="0" w:color="000000" w:themeColor="text1"/>
            </w:tcBorders>
            <w:vAlign w:val="center"/>
          </w:tcPr>
          <w:p w:rsidR="007558C3" w:rsidRPr="009E52A3" w:rsidRDefault="007558C3" w:rsidP="008810B5">
            <w:pPr>
              <w:adjustRightInd w:val="0"/>
              <w:snapToGrid w:val="0"/>
              <w:spacing w:after="0" w:line="240" w:lineRule="auto"/>
              <w:jc w:val="both"/>
              <w:rPr>
                <w:rFonts w:ascii="Times New Roman" w:eastAsia="新細明體" w:hAnsi="Times New Roman" w:cs="Times New Roman"/>
                <w:b/>
                <w:bCs/>
                <w:color w:val="000000" w:themeColor="text1"/>
                <w:kern w:val="0"/>
                <w:sz w:val="18"/>
                <w:szCs w:val="18"/>
                <w14:ligatures w14:val="none"/>
              </w:rPr>
            </w:pPr>
            <w:r w:rsidRPr="009E52A3">
              <w:rPr>
                <w:rFonts w:ascii="Times New Roman" w:eastAsia="新細明體" w:hAnsi="Times New Roman" w:cs="Times New Roman" w:hint="eastAsia"/>
                <w:b/>
                <w:bCs/>
                <w:color w:val="000000" w:themeColor="text1"/>
                <w:kern w:val="0"/>
                <w:sz w:val="18"/>
                <w:szCs w:val="18"/>
                <w14:ligatures w14:val="none"/>
              </w:rPr>
              <w:lastRenderedPageBreak/>
              <w:t>T</w:t>
            </w:r>
            <w:r w:rsidRPr="009E52A3">
              <w:rPr>
                <w:rFonts w:ascii="Times New Roman" w:eastAsia="新細明體" w:hAnsi="Times New Roman" w:cs="Times New Roman"/>
                <w:b/>
                <w:bCs/>
                <w:color w:val="000000" w:themeColor="text1"/>
                <w:kern w:val="0"/>
                <w:sz w:val="18"/>
                <w:szCs w:val="18"/>
                <w14:ligatures w14:val="none"/>
              </w:rPr>
              <w:t xml:space="preserve">able S5. </w:t>
            </w:r>
            <w:r w:rsidRPr="006770CF">
              <w:rPr>
                <w:rFonts w:ascii="Times New Roman" w:hAnsi="Times New Roman" w:cs="Times New Roman"/>
                <w:sz w:val="18"/>
                <w:szCs w:val="18"/>
              </w:rPr>
              <w:t>Comparison of conventional and Firth penalized logistic regression analyses for omics features associated with PNAC.</w:t>
            </w:r>
          </w:p>
        </w:tc>
      </w:tr>
      <w:tr w:rsidR="007558C3" w:rsidRPr="009E52A3" w:rsidTr="008810B5">
        <w:trPr>
          <w:trHeight w:val="147"/>
          <w:jc w:val="center"/>
        </w:trPr>
        <w:tc>
          <w:tcPr>
            <w:tcW w:w="1418" w:type="dxa"/>
            <w:vMerge w:val="restart"/>
            <w:tcBorders>
              <w:top w:val="single" w:sz="4" w:space="0" w:color="000000" w:themeColor="text1"/>
              <w:bottom w:val="single" w:sz="4" w:space="0" w:color="000000" w:themeColor="text1"/>
            </w:tcBorders>
            <w:shd w:val="clear" w:color="auto" w:fill="auto"/>
            <w:vAlign w:val="center"/>
          </w:tcPr>
          <w:p w:rsidR="007558C3" w:rsidRPr="009E52A3" w:rsidRDefault="007558C3" w:rsidP="008810B5">
            <w:pPr>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Omic</w:t>
            </w:r>
            <w:r>
              <w:rPr>
                <w:rFonts w:ascii="Times New Roman" w:eastAsia="新細明體" w:hAnsi="Times New Roman" w:cs="Times New Roman"/>
                <w:color w:val="000000" w:themeColor="text1"/>
                <w:kern w:val="0"/>
                <w:sz w:val="18"/>
                <w:szCs w:val="18"/>
                <w14:ligatures w14:val="none"/>
              </w:rPr>
              <w:t>s</w:t>
            </w:r>
            <w:r w:rsidRPr="00EE1710">
              <w:rPr>
                <w:rFonts w:ascii="Times New Roman" w:eastAsia="新細明體" w:hAnsi="Times New Roman" w:cs="Times New Roman"/>
                <w:color w:val="000000" w:themeColor="text1"/>
                <w:kern w:val="0"/>
                <w:sz w:val="18"/>
                <w:szCs w:val="18"/>
                <w14:ligatures w14:val="none"/>
              </w:rPr>
              <w:t xml:space="preserve"> layer</w:t>
            </w:r>
          </w:p>
        </w:tc>
        <w:tc>
          <w:tcPr>
            <w:tcW w:w="2268" w:type="dxa"/>
            <w:vMerge w:val="restart"/>
            <w:tcBorders>
              <w:top w:val="single" w:sz="4" w:space="0" w:color="000000" w:themeColor="text1"/>
              <w:bottom w:val="single" w:sz="4" w:space="0" w:color="000000" w:themeColor="text1"/>
            </w:tcBorders>
            <w:shd w:val="clear" w:color="auto" w:fill="auto"/>
            <w:vAlign w:val="center"/>
          </w:tcPr>
          <w:p w:rsidR="007558C3" w:rsidRPr="009E52A3" w:rsidRDefault="007558C3" w:rsidP="008810B5">
            <w:pPr>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Feature</w:t>
            </w:r>
          </w:p>
        </w:tc>
        <w:tc>
          <w:tcPr>
            <w:tcW w:w="3118" w:type="dxa"/>
            <w:gridSpan w:val="4"/>
            <w:tcBorders>
              <w:top w:val="single" w:sz="4" w:space="0" w:color="000000" w:themeColor="text1"/>
              <w:bottom w:val="single" w:sz="4" w:space="0" w:color="000000" w:themeColor="text1"/>
            </w:tcBorders>
            <w:shd w:val="clear" w:color="auto" w:fill="auto"/>
            <w:vAlign w:val="center"/>
          </w:tcPr>
          <w:p w:rsidR="007558C3" w:rsidRPr="009E52A3"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Pr>
                <w:rFonts w:ascii="Times New Roman" w:eastAsia="新細明體" w:hAnsi="Times New Roman" w:cs="Times New Roman"/>
                <w:color w:val="000000" w:themeColor="text1"/>
                <w:kern w:val="0"/>
                <w:sz w:val="18"/>
                <w:szCs w:val="18"/>
                <w14:ligatures w14:val="none"/>
              </w:rPr>
              <w:t>Conventional</w:t>
            </w:r>
            <w:r w:rsidRPr="009E52A3">
              <w:rPr>
                <w:rFonts w:ascii="Times New Roman" w:eastAsia="新細明體" w:hAnsi="Times New Roman" w:cs="Times New Roman"/>
                <w:color w:val="000000" w:themeColor="text1"/>
                <w:kern w:val="0"/>
                <w:sz w:val="18"/>
                <w:szCs w:val="18"/>
                <w14:ligatures w14:val="none"/>
              </w:rPr>
              <w:t xml:space="preserve"> logistic regression </w:t>
            </w:r>
          </w:p>
        </w:tc>
        <w:tc>
          <w:tcPr>
            <w:tcW w:w="142" w:type="dxa"/>
            <w:tcBorders>
              <w:top w:val="single" w:sz="4" w:space="0" w:color="000000" w:themeColor="text1"/>
            </w:tcBorders>
            <w:vAlign w:val="center"/>
          </w:tcPr>
          <w:p w:rsidR="007558C3" w:rsidRPr="009E52A3" w:rsidRDefault="007558C3" w:rsidP="008810B5">
            <w:pPr>
              <w:widowControl/>
              <w:adjustRightInd w:val="0"/>
              <w:snapToGrid w:val="0"/>
              <w:spacing w:after="0" w:line="240" w:lineRule="auto"/>
              <w:ind w:rightChars="1" w:right="2"/>
              <w:jc w:val="both"/>
              <w:rPr>
                <w:rFonts w:ascii="Times New Roman" w:eastAsia="新細明體" w:hAnsi="Times New Roman" w:cs="Times New Roman"/>
                <w:color w:val="000000" w:themeColor="text1"/>
                <w:kern w:val="0"/>
                <w:sz w:val="18"/>
                <w:szCs w:val="18"/>
                <w14:ligatures w14:val="none"/>
              </w:rPr>
            </w:pPr>
          </w:p>
        </w:tc>
        <w:tc>
          <w:tcPr>
            <w:tcW w:w="3402" w:type="dxa"/>
            <w:gridSpan w:val="4"/>
            <w:tcBorders>
              <w:top w:val="single" w:sz="4" w:space="0" w:color="000000" w:themeColor="text1"/>
              <w:bottom w:val="single" w:sz="4" w:space="0" w:color="000000" w:themeColor="text1"/>
            </w:tcBorders>
            <w:shd w:val="clear" w:color="auto" w:fill="auto"/>
            <w:vAlign w:val="center"/>
          </w:tcPr>
          <w:p w:rsidR="007558C3" w:rsidRPr="009E52A3" w:rsidRDefault="007558C3" w:rsidP="008810B5">
            <w:pPr>
              <w:widowControl/>
              <w:adjustRightInd w:val="0"/>
              <w:snapToGrid w:val="0"/>
              <w:spacing w:after="0" w:line="240" w:lineRule="auto"/>
              <w:ind w:rightChars="1" w:right="2"/>
              <w:jc w:val="center"/>
              <w:rPr>
                <w:rFonts w:ascii="Times New Roman" w:eastAsia="新細明體" w:hAnsi="Times New Roman" w:cs="Times New Roman"/>
                <w:color w:val="000000" w:themeColor="text1"/>
                <w:kern w:val="0"/>
                <w:sz w:val="18"/>
                <w:szCs w:val="18"/>
                <w14:ligatures w14:val="none"/>
              </w:rPr>
            </w:pPr>
            <w:r w:rsidRPr="009E52A3">
              <w:rPr>
                <w:rFonts w:ascii="Times New Roman" w:hAnsi="Times New Roman" w:cs="Times New Roman"/>
                <w:sz w:val="18"/>
                <w:szCs w:val="18"/>
              </w:rPr>
              <w:t>Firth penalized logistic regression</w:t>
            </w:r>
          </w:p>
        </w:tc>
      </w:tr>
      <w:tr w:rsidR="007558C3" w:rsidRPr="009E52A3" w:rsidTr="008810B5">
        <w:trPr>
          <w:trHeight w:val="89"/>
          <w:jc w:val="center"/>
        </w:trPr>
        <w:tc>
          <w:tcPr>
            <w:tcW w:w="1418" w:type="dxa"/>
            <w:vMerge/>
            <w:tcBorders>
              <w:bottom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b/>
                <w:bCs/>
                <w:color w:val="000000" w:themeColor="text1"/>
                <w:kern w:val="0"/>
                <w:sz w:val="18"/>
                <w:szCs w:val="18"/>
                <w14:ligatures w14:val="none"/>
              </w:rPr>
            </w:pPr>
          </w:p>
        </w:tc>
        <w:tc>
          <w:tcPr>
            <w:tcW w:w="2268" w:type="dxa"/>
            <w:vMerge/>
            <w:tcBorders>
              <w:bottom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b/>
                <w:bCs/>
                <w:color w:val="000000" w:themeColor="text1"/>
                <w:kern w:val="0"/>
                <w:sz w:val="18"/>
                <w:szCs w:val="18"/>
                <w14:ligatures w14:val="none"/>
              </w:rPr>
            </w:pPr>
          </w:p>
        </w:tc>
        <w:tc>
          <w:tcPr>
            <w:tcW w:w="850" w:type="dxa"/>
            <w:tcBorders>
              <w:top w:val="single" w:sz="4" w:space="0" w:color="000000" w:themeColor="text1"/>
              <w:bottom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OR</w:t>
            </w:r>
          </w:p>
        </w:tc>
        <w:tc>
          <w:tcPr>
            <w:tcW w:w="709" w:type="dxa"/>
            <w:tcBorders>
              <w:top w:val="single" w:sz="4" w:space="0" w:color="000000" w:themeColor="text1"/>
              <w:bottom w:val="single" w:sz="4" w:space="0" w:color="000000" w:themeColor="text1"/>
            </w:tcBorders>
            <w:shd w:val="clear" w:color="auto" w:fill="auto"/>
            <w:vAlign w:val="center"/>
            <w:hideMark/>
          </w:tcPr>
          <w:p w:rsidR="007558C3"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Pr>
                <w:rFonts w:ascii="Times New Roman" w:eastAsia="新細明體" w:hAnsi="Times New Roman" w:cs="Times New Roman"/>
                <w:color w:val="000000" w:themeColor="text1"/>
                <w:kern w:val="0"/>
                <w:sz w:val="18"/>
                <w:szCs w:val="18"/>
                <w14:ligatures w14:val="none"/>
              </w:rPr>
              <w:t xml:space="preserve">95% </w:t>
            </w:r>
            <w:r w:rsidRPr="00EE1710">
              <w:rPr>
                <w:rFonts w:ascii="Times New Roman" w:eastAsia="新細明體" w:hAnsi="Times New Roman" w:cs="Times New Roman"/>
                <w:color w:val="000000" w:themeColor="text1"/>
                <w:kern w:val="0"/>
                <w:sz w:val="18"/>
                <w:szCs w:val="18"/>
                <w14:ligatures w14:val="none"/>
              </w:rPr>
              <w:t>CI</w:t>
            </w:r>
          </w:p>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low</w:t>
            </w:r>
          </w:p>
        </w:tc>
        <w:tc>
          <w:tcPr>
            <w:tcW w:w="992" w:type="dxa"/>
            <w:tcBorders>
              <w:top w:val="single" w:sz="4" w:space="0" w:color="000000" w:themeColor="text1"/>
            </w:tcBorders>
            <w:shd w:val="clear" w:color="auto" w:fill="auto"/>
            <w:vAlign w:val="center"/>
            <w:hideMark/>
          </w:tcPr>
          <w:p w:rsidR="007558C3"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Pr>
                <w:rFonts w:ascii="Times New Roman" w:eastAsia="新細明體" w:hAnsi="Times New Roman" w:cs="Times New Roman"/>
                <w:color w:val="000000" w:themeColor="text1"/>
                <w:kern w:val="0"/>
                <w:sz w:val="18"/>
                <w:szCs w:val="18"/>
                <w14:ligatures w14:val="none"/>
              </w:rPr>
              <w:t xml:space="preserve">95% </w:t>
            </w:r>
            <w:r w:rsidRPr="00EE1710">
              <w:rPr>
                <w:rFonts w:ascii="Times New Roman" w:eastAsia="新細明體" w:hAnsi="Times New Roman" w:cs="Times New Roman"/>
                <w:color w:val="000000" w:themeColor="text1"/>
                <w:kern w:val="0"/>
                <w:sz w:val="18"/>
                <w:szCs w:val="18"/>
                <w14:ligatures w14:val="none"/>
              </w:rPr>
              <w:t>CI</w:t>
            </w:r>
          </w:p>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high</w:t>
            </w:r>
          </w:p>
        </w:tc>
        <w:tc>
          <w:tcPr>
            <w:tcW w:w="567" w:type="dxa"/>
            <w:tcBorders>
              <w:top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P</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tcBorders>
              <w:top w:val="single" w:sz="4" w:space="0" w:color="000000" w:themeColor="text1"/>
              <w:bottom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OR</w:t>
            </w:r>
          </w:p>
        </w:tc>
        <w:tc>
          <w:tcPr>
            <w:tcW w:w="850" w:type="dxa"/>
            <w:tcBorders>
              <w:top w:val="single" w:sz="4" w:space="0" w:color="000000" w:themeColor="text1"/>
              <w:bottom w:val="single" w:sz="4" w:space="0" w:color="000000" w:themeColor="text1"/>
            </w:tcBorders>
            <w:shd w:val="clear" w:color="auto" w:fill="auto"/>
            <w:vAlign w:val="center"/>
            <w:hideMark/>
          </w:tcPr>
          <w:p w:rsidR="007558C3"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Pr>
                <w:rFonts w:ascii="Times New Roman" w:eastAsia="新細明體" w:hAnsi="Times New Roman" w:cs="Times New Roman"/>
                <w:color w:val="000000" w:themeColor="text1"/>
                <w:kern w:val="0"/>
                <w:sz w:val="18"/>
                <w:szCs w:val="18"/>
                <w14:ligatures w14:val="none"/>
              </w:rPr>
              <w:t xml:space="preserve">95% </w:t>
            </w:r>
            <w:r w:rsidRPr="00EE1710">
              <w:rPr>
                <w:rFonts w:ascii="Times New Roman" w:eastAsia="新細明體" w:hAnsi="Times New Roman" w:cs="Times New Roman"/>
                <w:color w:val="000000" w:themeColor="text1"/>
                <w:kern w:val="0"/>
                <w:sz w:val="18"/>
                <w:szCs w:val="18"/>
                <w14:ligatures w14:val="none"/>
              </w:rPr>
              <w:t>CI</w:t>
            </w:r>
          </w:p>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low</w:t>
            </w:r>
          </w:p>
        </w:tc>
        <w:tc>
          <w:tcPr>
            <w:tcW w:w="992" w:type="dxa"/>
            <w:tcBorders>
              <w:top w:val="single" w:sz="4" w:space="0" w:color="000000" w:themeColor="text1"/>
              <w:bottom w:val="single" w:sz="4" w:space="0" w:color="000000" w:themeColor="text1"/>
            </w:tcBorders>
            <w:shd w:val="clear" w:color="auto" w:fill="auto"/>
            <w:vAlign w:val="center"/>
            <w:hideMark/>
          </w:tcPr>
          <w:p w:rsidR="007558C3"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Pr>
                <w:rFonts w:ascii="Times New Roman" w:eastAsia="新細明體" w:hAnsi="Times New Roman" w:cs="Times New Roman"/>
                <w:color w:val="000000" w:themeColor="text1"/>
                <w:kern w:val="0"/>
                <w:sz w:val="18"/>
                <w:szCs w:val="18"/>
                <w14:ligatures w14:val="none"/>
              </w:rPr>
              <w:t xml:space="preserve">95% </w:t>
            </w:r>
            <w:r w:rsidRPr="00EE1710">
              <w:rPr>
                <w:rFonts w:ascii="Times New Roman" w:eastAsia="新細明體" w:hAnsi="Times New Roman" w:cs="Times New Roman"/>
                <w:color w:val="000000" w:themeColor="text1"/>
                <w:kern w:val="0"/>
                <w:sz w:val="18"/>
                <w:szCs w:val="18"/>
                <w14:ligatures w14:val="none"/>
              </w:rPr>
              <w:t>CI</w:t>
            </w:r>
          </w:p>
          <w:p w:rsidR="007558C3" w:rsidRPr="00EE1710"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high</w:t>
            </w:r>
          </w:p>
        </w:tc>
        <w:tc>
          <w:tcPr>
            <w:tcW w:w="709" w:type="dxa"/>
            <w:tcBorders>
              <w:top w:val="single" w:sz="4" w:space="0" w:color="000000" w:themeColor="text1"/>
              <w:bottom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ind w:rightChars="1" w:right="2"/>
              <w:jc w:val="center"/>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P (PLR)</w:t>
            </w:r>
          </w:p>
        </w:tc>
      </w:tr>
      <w:tr w:rsidR="007558C3" w:rsidRPr="009E52A3" w:rsidTr="008810B5">
        <w:trPr>
          <w:trHeight w:val="150"/>
          <w:jc w:val="center"/>
        </w:trPr>
        <w:tc>
          <w:tcPr>
            <w:tcW w:w="1418" w:type="dxa"/>
            <w:tcBorders>
              <w:top w:val="single" w:sz="4" w:space="0" w:color="000000" w:themeColor="text1"/>
            </w:tcBorders>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tcBorders>
              <w:top w:val="single" w:sz="4" w:space="0" w:color="000000" w:themeColor="text1"/>
            </w:tcBorders>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D-Gluconic acid</w:t>
            </w:r>
          </w:p>
        </w:tc>
        <w:tc>
          <w:tcPr>
            <w:tcW w:w="850" w:type="dxa"/>
            <w:tcBorders>
              <w:top w:val="single" w:sz="4" w:space="0" w:color="000000" w:themeColor="text1"/>
            </w:tcBorders>
            <w:shd w:val="clear" w:color="auto" w:fill="auto"/>
            <w:noWrap/>
            <w:vAlign w:val="center"/>
            <w:hideMark/>
          </w:tcPr>
          <w:p w:rsidR="007558C3" w:rsidRPr="00D434D6" w:rsidRDefault="007558C3" w:rsidP="008810B5">
            <w:pPr>
              <w:widowControl/>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6.553</w:t>
            </w:r>
          </w:p>
        </w:tc>
        <w:tc>
          <w:tcPr>
            <w:tcW w:w="709"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2.864</w:t>
            </w:r>
          </w:p>
        </w:tc>
        <w:tc>
          <w:tcPr>
            <w:tcW w:w="992"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14.991</w:t>
            </w:r>
          </w:p>
        </w:tc>
        <w:tc>
          <w:tcPr>
            <w:tcW w:w="567"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tcBorders>
              <w:top w:val="single" w:sz="4" w:space="0" w:color="000000" w:themeColor="text1"/>
            </w:tcBorders>
            <w:shd w:val="clear" w:color="auto" w:fill="auto"/>
            <w:noWrap/>
            <w:vAlign w:val="center"/>
            <w:hideMark/>
          </w:tcPr>
          <w:p w:rsidR="007558C3" w:rsidRPr="00D434D6" w:rsidRDefault="007558C3" w:rsidP="008810B5">
            <w:pPr>
              <w:widowControl/>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5.849</w:t>
            </w:r>
          </w:p>
        </w:tc>
        <w:tc>
          <w:tcPr>
            <w:tcW w:w="850"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2.897</w:t>
            </w:r>
          </w:p>
        </w:tc>
        <w:tc>
          <w:tcPr>
            <w:tcW w:w="992"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14.317</w:t>
            </w:r>
          </w:p>
        </w:tc>
        <w:tc>
          <w:tcPr>
            <w:tcW w:w="709" w:type="dxa"/>
            <w:tcBorders>
              <w:top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1-Methylguanidine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10.093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3.643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27.966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8.413</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3.764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25.859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Guanidinoacetic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4.404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2.196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8.832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4.047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2.215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8.554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N-Acetyltyrosine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7.585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2.929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19.642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6.498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3.021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18.717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3-Methylglutaconic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4.157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2.024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8.538</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3.812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2.055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8.327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Proline betaine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3.036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1.594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5.784</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2.859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1.611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5.684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Xanthurenic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2.491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1.428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4.343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2.386</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1.438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4.277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L-Tryptophan</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7.361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2.165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25.020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6.492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2.213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24.299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Phenylalanine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2.544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1.433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4.516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2.426</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1.446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4.450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Glycine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2.779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1.394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5.540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0.004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2.562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1.427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5.462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Methanol</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2.705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1.295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5.650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0.008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2.413</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1.366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5.618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L-Citramalic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1.968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1.183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3.274</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0.009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1.907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1.191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3.232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0.007</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Oxaloacetic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1.897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1.155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3.115</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1.849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1.161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3.077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0.010</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N-Acetylaspartic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1.916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3.199</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0.013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1.839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1.165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3.166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0.009</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Sarcosine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1.871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1.132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3.092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0.014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1.821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3.054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0.012</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4-Hydroxyphenylpyruvic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1.883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1.132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3.133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0.015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1.816</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3.103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0.010</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Leucine</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1.864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1.107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3.139</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0.019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1.806</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1.117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3.106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0.016</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3-Methyl-2-oxovaleric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2.064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1.122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3.798</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1.951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1.151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3.764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0.010</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Propionic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0.261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0.084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0.812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0.301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0.085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0.778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0.008</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3-Hydroxybutyric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1.825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1.098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3.033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1.769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1.110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3.003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0.016</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metabolite</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Succinic acid</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0.071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0.007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0.702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0.024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0.097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0.007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0.698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0.016</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5.953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2.867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12.361</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5.278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2.908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11.468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TCDCA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5.927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2.723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12.900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5.359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2.747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12.356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GCDCA-3S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10.096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3.473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29.346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8.647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3.561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27.711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GLCA-3S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56.887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8.746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370.020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42.669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9.205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332.451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TCDCA-3S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16.838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4.490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63.141</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13.260</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4.764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57.609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GCDCA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5.402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2.432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11.997</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4.919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2.459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11.586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TLCA-3S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23.042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5.048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105.183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17.291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5.448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94.269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3.583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1.897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6.769</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3.368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1.914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6.594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4.104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1.984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8.489</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3.790</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2.011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8.273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GUDCA-3S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2733.043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44.716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167045.047</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1465.945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51.273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138799.371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TUDCA-3S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933.086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25.856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33673.260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528.598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29.881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28167.047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CDCA-3S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3.628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1.840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7.153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3.375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1.863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6.995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3.260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1.655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6.422</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3.061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1.672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6.296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GHDCA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7.613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2.098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27.626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0.002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6.762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2.140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26.780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&lt;0.001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2.438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1.333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4.460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0.004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2.300</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1.356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4.412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2.199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1.245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3.881</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0.007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2.118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1.253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3.827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TUDCA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4.203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1.417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12.473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3.787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1.419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12.268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UDCA-3S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2.044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1.188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3.518</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1.921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1.221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3.417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1.710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1.081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2.707</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0.022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1.675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1.087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2.661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0.020</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1.878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1.088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3.244</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0.024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1.827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1.093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3.206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0.021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TDHCA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1.661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1.053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2.620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0.029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1.643</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1.054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2.580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0.029</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Urinary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TDCA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1.620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1.023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2.566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0.040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1.605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1.024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2.529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0.039</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UDCA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0.447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0.265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0.753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0.003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0.458</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0.269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0.754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0.002</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CDCA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0.406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0.226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0.729</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0.003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0.427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0.229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0.721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0.001</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7-KetoHDCA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0.485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0.294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0.800</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0.005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0.495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0.299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0.800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0.455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0.261</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0.793</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0.005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0.472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0.265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0.789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HDCA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0.538</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0.337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0.858</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0.009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0.546</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0.342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0.859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0.009</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GDCA-3S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1.746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1.099</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2.776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0.018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1.702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1.108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2.723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0.016</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3,7,12-DehydroCA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1.701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1.077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2.685</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0.023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1.675</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1.080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2.643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0.022</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7-KetoLCA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0.593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0.372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0.944</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0.028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0.600</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0.378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0.943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0.027</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Fecal</w:t>
            </w:r>
            <w:r w:rsidRPr="009E52A3">
              <w:rPr>
                <w:rFonts w:ascii="Times New Roman" w:eastAsia="新細明體" w:hAnsi="Times New Roman" w:cs="Times New Roman"/>
                <w:color w:val="000000" w:themeColor="text1"/>
                <w:kern w:val="0"/>
                <w:sz w:val="18"/>
                <w:szCs w:val="18"/>
                <w14:ligatures w14:val="none"/>
              </w:rPr>
              <w:t xml:space="preserve"> bile acid</w:t>
            </w:r>
          </w:p>
        </w:tc>
        <w:tc>
          <w:tcPr>
            <w:tcW w:w="2268" w:type="dxa"/>
            <w:shd w:val="clear" w:color="auto" w:fill="auto"/>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EE1710">
              <w:rPr>
                <w:rFonts w:ascii="Times New Roman" w:eastAsia="新細明體" w:hAnsi="Times New Roman" w:cs="Times New Roman"/>
                <w:color w:val="000000" w:themeColor="text1"/>
                <w:kern w:val="0"/>
                <w:sz w:val="18"/>
                <w:szCs w:val="18"/>
                <w14:ligatures w14:val="none"/>
              </w:rPr>
              <w:t>HCA</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0.517</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0.274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0.975</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0.041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0.579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0.277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0.899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0.014</w:t>
            </w:r>
          </w:p>
        </w:tc>
      </w:tr>
      <w:tr w:rsidR="007558C3" w:rsidRPr="009E52A3" w:rsidTr="008810B5">
        <w:trPr>
          <w:trHeight w:val="147"/>
          <w:jc w:val="center"/>
        </w:trPr>
        <w:tc>
          <w:tcPr>
            <w:tcW w:w="1418" w:type="dxa"/>
            <w:shd w:val="clear" w:color="auto" w:fill="auto"/>
            <w:noWrap/>
            <w:vAlign w:val="center"/>
            <w:hideMark/>
          </w:tcPr>
          <w:p w:rsidR="007558C3" w:rsidRPr="00EE1710"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f__Enterobacteriaceae.1</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0.351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0.163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0.756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0.008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0.384</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0.166</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0.729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0.002</w:t>
            </w:r>
          </w:p>
        </w:tc>
      </w:tr>
      <w:tr w:rsidR="007558C3" w:rsidRPr="009E52A3" w:rsidTr="008810B5">
        <w:trPr>
          <w:trHeight w:val="147"/>
          <w:jc w:val="center"/>
        </w:trPr>
        <w:tc>
          <w:tcPr>
            <w:tcW w:w="1418" w:type="dxa"/>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g__Lactobacillus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0.439</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0.230</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0.836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0.012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0.464</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0.233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0.821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0.007</w:t>
            </w:r>
          </w:p>
        </w:tc>
      </w:tr>
      <w:tr w:rsidR="007558C3" w:rsidRPr="009E52A3" w:rsidTr="008810B5">
        <w:trPr>
          <w:trHeight w:val="147"/>
          <w:jc w:val="center"/>
        </w:trPr>
        <w:tc>
          <w:tcPr>
            <w:tcW w:w="1418" w:type="dxa"/>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g__Bacteroides.2</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1.883</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1.147</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3.091</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0.012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1.850</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1.148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3.050</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0.012</w:t>
            </w:r>
          </w:p>
        </w:tc>
      </w:tr>
      <w:tr w:rsidR="007558C3" w:rsidRPr="009E52A3" w:rsidTr="008810B5">
        <w:trPr>
          <w:trHeight w:val="147"/>
          <w:jc w:val="center"/>
        </w:trPr>
        <w:tc>
          <w:tcPr>
            <w:tcW w:w="1418" w:type="dxa"/>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g__Lachnoclostridium</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1.844</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1.123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3.026</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0.016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1.813</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1.124</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2.986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0.015</w:t>
            </w:r>
          </w:p>
        </w:tc>
      </w:tr>
      <w:tr w:rsidR="007558C3" w:rsidRPr="009E52A3" w:rsidTr="008810B5">
        <w:trPr>
          <w:trHeight w:val="147"/>
          <w:jc w:val="center"/>
        </w:trPr>
        <w:tc>
          <w:tcPr>
            <w:tcW w:w="1418" w:type="dxa"/>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g__Enterococcus.3</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1.812</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1.102</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2.981</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0.019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1.779</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1.105</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2.945</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0.018</w:t>
            </w:r>
          </w:p>
        </w:tc>
      </w:tr>
      <w:tr w:rsidR="007558C3" w:rsidRPr="009E52A3" w:rsidTr="008810B5">
        <w:trPr>
          <w:trHeight w:val="147"/>
          <w:jc w:val="center"/>
        </w:trPr>
        <w:tc>
          <w:tcPr>
            <w:tcW w:w="1418" w:type="dxa"/>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g__Enterococcus</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0.596</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0.368</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0.965</w:t>
            </w:r>
          </w:p>
        </w:tc>
        <w:tc>
          <w:tcPr>
            <w:tcW w:w="567"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0.035 </w:t>
            </w:r>
          </w:p>
        </w:tc>
        <w:tc>
          <w:tcPr>
            <w:tcW w:w="142" w:type="dxa"/>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0.607</w:t>
            </w:r>
          </w:p>
        </w:tc>
        <w:tc>
          <w:tcPr>
            <w:tcW w:w="850"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0.373</w:t>
            </w:r>
          </w:p>
        </w:tc>
        <w:tc>
          <w:tcPr>
            <w:tcW w:w="992"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0.961</w:t>
            </w:r>
          </w:p>
        </w:tc>
        <w:tc>
          <w:tcPr>
            <w:tcW w:w="709" w:type="dxa"/>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0.033</w:t>
            </w:r>
          </w:p>
        </w:tc>
      </w:tr>
      <w:tr w:rsidR="007558C3" w:rsidRPr="009E52A3" w:rsidTr="008810B5">
        <w:trPr>
          <w:trHeight w:val="147"/>
          <w:jc w:val="center"/>
        </w:trPr>
        <w:tc>
          <w:tcPr>
            <w:tcW w:w="1418" w:type="dxa"/>
            <w:tcBorders>
              <w:bottom w:val="single" w:sz="4" w:space="0" w:color="000000" w:themeColor="text1"/>
            </w:tcBorders>
            <w:shd w:val="clear" w:color="auto" w:fill="auto"/>
            <w:noWrap/>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eastAsia="新細明體" w:hAnsi="Times New Roman" w:cs="Times New Roman"/>
                <w:color w:val="000000" w:themeColor="text1"/>
                <w:kern w:val="0"/>
                <w:sz w:val="18"/>
                <w:szCs w:val="18"/>
                <w14:ligatures w14:val="none"/>
              </w:rPr>
              <w:t>Stool microbiome</w:t>
            </w:r>
          </w:p>
        </w:tc>
        <w:tc>
          <w:tcPr>
            <w:tcW w:w="2268" w:type="dxa"/>
            <w:tcBorders>
              <w:bottom w:val="single" w:sz="4" w:space="0" w:color="000000" w:themeColor="text1"/>
            </w:tcBorders>
            <w:shd w:val="clear" w:color="auto" w:fill="auto"/>
            <w:vAlign w:val="center"/>
            <w:hideMark/>
          </w:tcPr>
          <w:p w:rsidR="007558C3" w:rsidRPr="009E52A3" w:rsidRDefault="007558C3" w:rsidP="008810B5">
            <w:pPr>
              <w:adjustRightInd w:val="0"/>
              <w:snapToGrid w:val="0"/>
              <w:spacing w:after="0" w:line="240" w:lineRule="auto"/>
              <w:rPr>
                <w:rFonts w:ascii="Times New Roman" w:hAnsi="Times New Roman" w:cs="Times New Roman"/>
                <w:color w:val="000000"/>
                <w:sz w:val="18"/>
                <w:szCs w:val="18"/>
              </w:rPr>
            </w:pPr>
            <w:r w:rsidRPr="009E52A3">
              <w:rPr>
                <w:rFonts w:ascii="Times New Roman" w:hAnsi="Times New Roman" w:cs="Times New Roman"/>
                <w:color w:val="000000"/>
                <w:sz w:val="18"/>
                <w:szCs w:val="18"/>
              </w:rPr>
              <w:t>s__Bifidobacterium_bifidum</w:t>
            </w:r>
          </w:p>
        </w:tc>
        <w:tc>
          <w:tcPr>
            <w:tcW w:w="850"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0.558</w:t>
            </w:r>
          </w:p>
        </w:tc>
        <w:tc>
          <w:tcPr>
            <w:tcW w:w="709"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0.319</w:t>
            </w:r>
          </w:p>
        </w:tc>
        <w:tc>
          <w:tcPr>
            <w:tcW w:w="992"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0.977</w:t>
            </w:r>
          </w:p>
        </w:tc>
        <w:tc>
          <w:tcPr>
            <w:tcW w:w="567"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 xml:space="preserve">0.041 </w:t>
            </w:r>
          </w:p>
        </w:tc>
        <w:tc>
          <w:tcPr>
            <w:tcW w:w="142" w:type="dxa"/>
            <w:tcBorders>
              <w:bottom w:val="single" w:sz="4" w:space="0" w:color="000000" w:themeColor="text1"/>
            </w:tcBorders>
            <w:vAlign w:val="center"/>
          </w:tcPr>
          <w:p w:rsidR="007558C3" w:rsidRPr="009E52A3" w:rsidRDefault="007558C3" w:rsidP="008810B5">
            <w:pPr>
              <w:widowControl/>
              <w:adjustRightInd w:val="0"/>
              <w:snapToGrid w:val="0"/>
              <w:spacing w:after="0" w:line="240" w:lineRule="auto"/>
              <w:jc w:val="both"/>
              <w:rPr>
                <w:rFonts w:ascii="Times New Roman" w:eastAsia="新細明體" w:hAnsi="Times New Roman" w:cs="Times New Roman"/>
                <w:color w:val="000000" w:themeColor="text1"/>
                <w:kern w:val="0"/>
                <w:sz w:val="18"/>
                <w:szCs w:val="18"/>
                <w14:ligatures w14:val="none"/>
              </w:rPr>
            </w:pPr>
          </w:p>
        </w:tc>
        <w:tc>
          <w:tcPr>
            <w:tcW w:w="851"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0.575</w:t>
            </w:r>
          </w:p>
        </w:tc>
        <w:tc>
          <w:tcPr>
            <w:tcW w:w="850"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0.322</w:t>
            </w:r>
          </w:p>
        </w:tc>
        <w:tc>
          <w:tcPr>
            <w:tcW w:w="992"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color w:val="000000"/>
                <w:sz w:val="18"/>
                <w:szCs w:val="18"/>
              </w:rPr>
            </w:pPr>
            <w:r w:rsidRPr="00D434D6">
              <w:rPr>
                <w:rFonts w:ascii="Times New Roman" w:hAnsi="Times New Roman" w:cs="Times New Roman"/>
                <w:color w:val="000000"/>
                <w:sz w:val="18"/>
                <w:szCs w:val="18"/>
              </w:rPr>
              <w:t>0.970</w:t>
            </w:r>
          </w:p>
        </w:tc>
        <w:tc>
          <w:tcPr>
            <w:tcW w:w="709" w:type="dxa"/>
            <w:tcBorders>
              <w:bottom w:val="single" w:sz="4" w:space="0" w:color="000000" w:themeColor="text1"/>
            </w:tcBorders>
            <w:shd w:val="clear" w:color="auto" w:fill="auto"/>
            <w:noWrap/>
            <w:vAlign w:val="center"/>
            <w:hideMark/>
          </w:tcPr>
          <w:p w:rsidR="007558C3" w:rsidRPr="00D434D6" w:rsidRDefault="007558C3" w:rsidP="008810B5">
            <w:pPr>
              <w:adjustRightInd w:val="0"/>
              <w:snapToGrid w:val="0"/>
              <w:spacing w:after="0" w:line="240" w:lineRule="auto"/>
              <w:jc w:val="center"/>
              <w:rPr>
                <w:rFonts w:ascii="Times New Roman" w:hAnsi="Times New Roman" w:cs="Times New Roman"/>
                <w:b/>
                <w:bCs/>
                <w:color w:val="000000"/>
                <w:sz w:val="18"/>
                <w:szCs w:val="18"/>
              </w:rPr>
            </w:pPr>
            <w:r w:rsidRPr="00D434D6">
              <w:rPr>
                <w:rFonts w:ascii="Times New Roman" w:hAnsi="Times New Roman" w:cs="Times New Roman"/>
                <w:b/>
                <w:bCs/>
                <w:color w:val="000000"/>
                <w:sz w:val="18"/>
                <w:szCs w:val="18"/>
              </w:rPr>
              <w:t>0.038</w:t>
            </w:r>
          </w:p>
        </w:tc>
      </w:tr>
    </w:tbl>
    <w:p w:rsidR="007558C3" w:rsidRPr="00672F1B" w:rsidRDefault="007558C3" w:rsidP="007558C3">
      <w:pPr>
        <w:adjustRightInd w:val="0"/>
        <w:snapToGrid w:val="0"/>
        <w:spacing w:after="0" w:line="240" w:lineRule="auto"/>
        <w:ind w:rightChars="46" w:right="110"/>
        <w:jc w:val="both"/>
        <w:rPr>
          <w:rFonts w:ascii="Times New Roman" w:hAnsi="Times New Roman" w:cs="Times New Roman"/>
          <w:sz w:val="18"/>
          <w:szCs w:val="18"/>
        </w:rPr>
      </w:pPr>
      <w:r w:rsidRPr="00672F1B">
        <w:rPr>
          <w:rFonts w:ascii="Times New Roman" w:hAnsi="Times New Roman" w:cs="Times New Roman"/>
          <w:sz w:val="18"/>
          <w:szCs w:val="18"/>
        </w:rPr>
        <w:t>Only features significantly associated with PNAC in the original conventional logistic regression analyses (P&lt;0.05) are presented. Odds ratios (ORs) were estimated per 1-standard deviation increase in the corresponding transformed feature value. Conventional logistic regression results are presented with Wald 95% confidence intervals (CIs). Firth penalized logistic regression was applied to reduce small-sample and separation bias. Firth ORs and 95% CIs were estimated using profile penalized likelihood. P values were derived from penalized likelihood-ratio tests comparing the fitted model with the corresponding regression coefficient constrained to zero. All listed features remained statistically significant after Firth penalization. Abbreviations: PNAC, parenteral nutrition-associated cholestasis; OR, odds ratio; CI, confidence interval; PLR, penalized likelihood-ratio.</w:t>
      </w:r>
    </w:p>
    <w:p w:rsidR="007558C3" w:rsidRPr="009E52A3" w:rsidRDefault="007558C3" w:rsidP="007558C3">
      <w:pPr>
        <w:adjustRightInd w:val="0"/>
        <w:snapToGrid w:val="0"/>
        <w:spacing w:after="0" w:line="240" w:lineRule="auto"/>
        <w:ind w:leftChars="116" w:left="278" w:rightChars="105" w:right="252"/>
        <w:jc w:val="both"/>
        <w:rPr>
          <w:rFonts w:ascii="Times New Roman" w:hAnsi="Times New Roman" w:cs="Times New Roman"/>
          <w:sz w:val="18"/>
          <w:szCs w:val="18"/>
        </w:rPr>
      </w:pPr>
    </w:p>
    <w:p w:rsidR="007558C3" w:rsidRDefault="007558C3" w:rsidP="00A40C64">
      <w:pPr>
        <w:adjustRightInd w:val="0"/>
        <w:snapToGrid w:val="0"/>
        <w:spacing w:after="0" w:line="240" w:lineRule="auto"/>
        <w:jc w:val="both"/>
        <w:rPr>
          <w:rFonts w:ascii="Times New Roman" w:hAnsi="Times New Roman" w:cs="Times New Roman"/>
          <w:sz w:val="16"/>
          <w:szCs w:val="16"/>
        </w:rPr>
        <w:sectPr w:rsidR="007558C3" w:rsidSect="007558C3">
          <w:pgSz w:w="11900" w:h="16840"/>
          <w:pgMar w:top="720" w:right="720" w:bottom="720" w:left="720" w:header="851" w:footer="992" w:gutter="0"/>
          <w:cols w:space="425"/>
          <w:docGrid w:type="lines" w:linePitch="360"/>
        </w:sectPr>
      </w:pPr>
    </w:p>
    <w:tbl>
      <w:tblPr>
        <w:tblW w:w="10490" w:type="dxa"/>
        <w:jc w:val="center"/>
        <w:tblCellMar>
          <w:top w:w="15" w:type="dxa"/>
          <w:left w:w="28" w:type="dxa"/>
          <w:right w:w="28" w:type="dxa"/>
        </w:tblCellMar>
        <w:tblLook w:val="04A0" w:firstRow="1" w:lastRow="0" w:firstColumn="1" w:lastColumn="0" w:noHBand="0" w:noVBand="1"/>
      </w:tblPr>
      <w:tblGrid>
        <w:gridCol w:w="2410"/>
        <w:gridCol w:w="2552"/>
        <w:gridCol w:w="1984"/>
        <w:gridCol w:w="2268"/>
        <w:gridCol w:w="1276"/>
      </w:tblGrid>
      <w:tr w:rsidR="007558C3" w:rsidRPr="00B6785D" w:rsidTr="008810B5">
        <w:trPr>
          <w:trHeight w:val="546"/>
          <w:jc w:val="center"/>
        </w:trPr>
        <w:tc>
          <w:tcPr>
            <w:tcW w:w="10490" w:type="dxa"/>
            <w:gridSpan w:val="5"/>
            <w:shd w:val="clear" w:color="auto" w:fill="auto"/>
            <w:vAlign w:val="center"/>
            <w:hideMark/>
          </w:tcPr>
          <w:p w:rsidR="007558C3" w:rsidRPr="00B6785D" w:rsidRDefault="007558C3" w:rsidP="008810B5">
            <w:pPr>
              <w:widowControl/>
              <w:adjustRightInd w:val="0"/>
              <w:snapToGrid w:val="0"/>
              <w:spacing w:after="0" w:line="240" w:lineRule="auto"/>
              <w:jc w:val="both"/>
              <w:rPr>
                <w:rFonts w:ascii="Times New Roman" w:eastAsia="新細明體" w:hAnsi="Times New Roman" w:cs="Times New Roman"/>
                <w:b/>
                <w:bCs/>
                <w:color w:val="000000" w:themeColor="text1"/>
                <w:kern w:val="0"/>
                <w:sz w:val="20"/>
                <w:szCs w:val="20"/>
                <w14:ligatures w14:val="none"/>
              </w:rPr>
            </w:pPr>
            <w:r w:rsidRPr="00B6785D">
              <w:rPr>
                <w:rFonts w:ascii="Times New Roman" w:eastAsia="新細明體" w:hAnsi="Times New Roman" w:cs="Times New Roman"/>
                <w:b/>
                <w:bCs/>
                <w:color w:val="000000" w:themeColor="text1"/>
                <w:kern w:val="0"/>
                <w:sz w:val="20"/>
                <w:szCs w:val="20"/>
                <w14:ligatures w14:val="none"/>
              </w:rPr>
              <w:lastRenderedPageBreak/>
              <w:t>Table S</w:t>
            </w:r>
            <w:r>
              <w:rPr>
                <w:rFonts w:ascii="Times New Roman" w:eastAsia="新細明體" w:hAnsi="Times New Roman" w:cs="Times New Roman"/>
                <w:b/>
                <w:bCs/>
                <w:color w:val="000000" w:themeColor="text1"/>
                <w:kern w:val="0"/>
                <w:sz w:val="20"/>
                <w:szCs w:val="20"/>
                <w14:ligatures w14:val="none"/>
              </w:rPr>
              <w:t>6</w:t>
            </w:r>
            <w:r w:rsidRPr="00B6785D">
              <w:rPr>
                <w:rFonts w:ascii="Times New Roman" w:eastAsia="新細明體" w:hAnsi="Times New Roman" w:cs="Times New Roman"/>
                <w:b/>
                <w:bCs/>
                <w:color w:val="000000" w:themeColor="text1"/>
                <w:kern w:val="0"/>
                <w:sz w:val="20"/>
                <w:szCs w:val="20"/>
                <w14:ligatures w14:val="none"/>
              </w:rPr>
              <w:t xml:space="preserve">. </w:t>
            </w:r>
            <w:r w:rsidRPr="00E830E7">
              <w:rPr>
                <w:rFonts w:ascii="Times New Roman" w:hAnsi="Times New Roman" w:cs="Times New Roman"/>
                <w:sz w:val="20"/>
                <w:szCs w:val="20"/>
              </w:rPr>
              <w:t>Multivariable Firth logistic regression analyses of principal urinary bile acid biomarkers associated with PNAC after adjustment for clinical covariates</w:t>
            </w:r>
            <w:r w:rsidRPr="00E830E7">
              <w:rPr>
                <w:rFonts w:ascii="Times New Roman" w:eastAsia="新細明體" w:hAnsi="Times New Roman" w:cs="Times New Roman"/>
                <w:color w:val="000000" w:themeColor="text1"/>
                <w:kern w:val="0"/>
                <w:sz w:val="20"/>
                <w:szCs w:val="20"/>
                <w14:ligatures w14:val="none"/>
              </w:rPr>
              <w:t>.</w:t>
            </w:r>
          </w:p>
        </w:tc>
      </w:tr>
      <w:tr w:rsidR="007558C3" w:rsidRPr="00B6785D" w:rsidTr="008810B5">
        <w:trPr>
          <w:trHeight w:val="554"/>
          <w:jc w:val="center"/>
        </w:trPr>
        <w:tc>
          <w:tcPr>
            <w:tcW w:w="2410" w:type="dxa"/>
            <w:shd w:val="clear" w:color="auto" w:fill="auto"/>
            <w:vAlign w:val="center"/>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Biomarker</w:t>
            </w:r>
          </w:p>
        </w:tc>
        <w:tc>
          <w:tcPr>
            <w:tcW w:w="2552" w:type="dxa"/>
            <w:shd w:val="clear" w:color="auto" w:fill="auto"/>
            <w:vAlign w:val="center"/>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Model</w:t>
            </w:r>
          </w:p>
        </w:tc>
        <w:tc>
          <w:tcPr>
            <w:tcW w:w="1984" w:type="dxa"/>
            <w:shd w:val="clear" w:color="auto" w:fill="auto"/>
            <w:vAlign w:val="center"/>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OR per 1-SD increase</w:t>
            </w:r>
          </w:p>
        </w:tc>
        <w:tc>
          <w:tcPr>
            <w:tcW w:w="2268" w:type="dxa"/>
            <w:shd w:val="clear" w:color="auto" w:fill="auto"/>
            <w:vAlign w:val="center"/>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95% profile-likelihood CI</w:t>
            </w:r>
          </w:p>
        </w:tc>
        <w:tc>
          <w:tcPr>
            <w:tcW w:w="1276" w:type="dxa"/>
            <w:shd w:val="clear" w:color="auto" w:fill="auto"/>
            <w:vAlign w:val="center"/>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PLR P value</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TLCA-3S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Crude</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17.460</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5.504–94.534</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TLCA-3S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Core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13.983</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4.157–91.479</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TLCA-3S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12.058</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3.709–72.252</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TLCA-3S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 infection proxy</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30.131</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5.499–759.598</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TCDCA-3S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Crude</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13.346</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4.805–57.529</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TCDCA-3S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Core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11.993</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3.992–61.934</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TCDCA-3S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10.738</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3.716–52.949</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TCDCA-3S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 infection proxy</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25.306</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5.035–774.968</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GUDCA-3S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Crude</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1514.551</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53.108–141655.965</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GUDCA-3S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Core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440.303</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10.758–68970.274</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GUDCA-3S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356.080</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8.650–53892.858</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GUDCA-3S</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 infection proxy</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293.807</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8.520–36588.987</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UBA top-three composite</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Crude</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26.054</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6.911–190.312</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UBA top-three composite</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Core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24.238</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5.292–248.939</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UBA top-three composite</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adjusted</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20.735</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4.733–200.571</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r w:rsidR="007558C3" w:rsidRPr="00B6785D" w:rsidTr="008810B5">
        <w:trPr>
          <w:trHeight w:val="300"/>
          <w:jc w:val="center"/>
        </w:trPr>
        <w:tc>
          <w:tcPr>
            <w:tcW w:w="2410"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UBA top-three composite</w:t>
            </w:r>
          </w:p>
        </w:tc>
        <w:tc>
          <w:tcPr>
            <w:tcW w:w="2552" w:type="dxa"/>
            <w:shd w:val="clear" w:color="auto" w:fill="auto"/>
            <w:vAlign w:val="bottom"/>
            <w:hideMark/>
          </w:tcPr>
          <w:p w:rsidR="007558C3" w:rsidRPr="00B6785D"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Extended + infection proxy</w:t>
            </w:r>
          </w:p>
        </w:tc>
        <w:tc>
          <w:tcPr>
            <w:tcW w:w="1984"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47.552</w:t>
            </w:r>
          </w:p>
        </w:tc>
        <w:tc>
          <w:tcPr>
            <w:tcW w:w="2268"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6.665–1867.976</w:t>
            </w:r>
          </w:p>
        </w:tc>
        <w:tc>
          <w:tcPr>
            <w:tcW w:w="1276" w:type="dxa"/>
            <w:shd w:val="clear" w:color="auto" w:fill="auto"/>
            <w:vAlign w:val="bottom"/>
            <w:hideMark/>
          </w:tcPr>
          <w:p w:rsidR="007558C3" w:rsidRPr="00B6785D"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B6785D">
              <w:rPr>
                <w:rFonts w:ascii="Times New Roman" w:eastAsia="新細明體" w:hAnsi="Times New Roman" w:cs="Times New Roman"/>
                <w:color w:val="000000" w:themeColor="text1"/>
                <w:kern w:val="0"/>
                <w:sz w:val="20"/>
                <w:szCs w:val="20"/>
                <w14:ligatures w14:val="none"/>
              </w:rPr>
              <w:t>&lt;0.001</w:t>
            </w:r>
          </w:p>
        </w:tc>
      </w:tr>
    </w:tbl>
    <w:p w:rsidR="007558C3" w:rsidRDefault="007558C3" w:rsidP="007558C3">
      <w:pPr>
        <w:adjustRightInd w:val="0"/>
        <w:snapToGrid w:val="0"/>
        <w:spacing w:after="0" w:line="240" w:lineRule="auto"/>
        <w:jc w:val="both"/>
      </w:pPr>
      <w:r w:rsidRPr="00B6785D">
        <w:rPr>
          <w:rFonts w:ascii="Times New Roman" w:eastAsia="新細明體" w:hAnsi="Times New Roman" w:cs="Times New Roman"/>
          <w:color w:val="000000" w:themeColor="text1"/>
          <w:kern w:val="0"/>
          <w:sz w:val="20"/>
          <w:szCs w:val="20"/>
          <w14:ligatures w14:val="none"/>
        </w:rPr>
        <w:t>ORs were estimated using Firth penalized logistic regression and are reported per 1-standard deviation increase in each urinary bile acid biomarker or composite score. Crude models included the biomarker only. Core adjusted models included gestational age and PN duration. Extended adjusted models additionally included age at initiation of enteral feeding and number of antibiotic courses. The infection-proxy sensitivity models additionally included the number of blood culture examinations, which was treated as a proxy for infectious evaluation burden rather than confirmed sepsis episodes. Each biomarker was analyzed in a separate model. Continuous covariates were z-score standardized. PLR P values and 95% CIs were derived from penalized profile likelihood.</w:t>
      </w:r>
    </w:p>
    <w:p w:rsidR="007558C3" w:rsidRDefault="007558C3" w:rsidP="00A40C64">
      <w:pPr>
        <w:adjustRightInd w:val="0"/>
        <w:snapToGrid w:val="0"/>
        <w:spacing w:after="0" w:line="240" w:lineRule="auto"/>
        <w:jc w:val="both"/>
        <w:rPr>
          <w:rFonts w:ascii="Times New Roman" w:hAnsi="Times New Roman" w:cs="Times New Roman"/>
          <w:sz w:val="16"/>
          <w:szCs w:val="16"/>
        </w:rPr>
        <w:sectPr w:rsidR="007558C3" w:rsidSect="007558C3">
          <w:pgSz w:w="11900" w:h="16840"/>
          <w:pgMar w:top="720" w:right="720" w:bottom="720" w:left="720" w:header="851" w:footer="992" w:gutter="0"/>
          <w:cols w:space="425"/>
          <w:docGrid w:type="lines" w:linePitch="360"/>
        </w:sectPr>
      </w:pPr>
    </w:p>
    <w:tbl>
      <w:tblPr>
        <w:tblW w:w="13041" w:type="dxa"/>
        <w:jc w:val="center"/>
        <w:tblCellMar>
          <w:left w:w="28" w:type="dxa"/>
          <w:right w:w="28" w:type="dxa"/>
        </w:tblCellMar>
        <w:tblLook w:val="04A0" w:firstRow="1" w:lastRow="0" w:firstColumn="1" w:lastColumn="0" w:noHBand="0" w:noVBand="1"/>
      </w:tblPr>
      <w:tblGrid>
        <w:gridCol w:w="13041"/>
      </w:tblGrid>
      <w:tr w:rsidR="007558C3" w:rsidRPr="00AC089B" w:rsidTr="008810B5">
        <w:trPr>
          <w:trHeight w:val="280"/>
          <w:jc w:val="center"/>
        </w:trPr>
        <w:tc>
          <w:tcPr>
            <w:tcW w:w="13041" w:type="dxa"/>
            <w:tcBorders>
              <w:top w:val="nil"/>
              <w:left w:val="nil"/>
              <w:bottom w:val="single" w:sz="4" w:space="0" w:color="auto"/>
              <w:right w:val="nil"/>
            </w:tcBorders>
            <w:shd w:val="clear" w:color="auto" w:fill="auto"/>
            <w:noWrap/>
            <w:vAlign w:val="bottom"/>
            <w:hideMark/>
          </w:tcPr>
          <w:p w:rsidR="007558C3" w:rsidRPr="007774AD" w:rsidRDefault="007558C3" w:rsidP="008810B5">
            <w:pPr>
              <w:widowControl/>
              <w:spacing w:after="0" w:line="240" w:lineRule="auto"/>
              <w:rPr>
                <w:rFonts w:ascii="Times New Roman" w:eastAsia="新細明體" w:hAnsi="Times New Roman" w:cs="Times New Roman"/>
                <w:b/>
                <w:bCs/>
                <w:color w:val="000000"/>
                <w:kern w:val="0"/>
                <w:sz w:val="22"/>
                <w:szCs w:val="22"/>
                <w14:ligatures w14:val="none"/>
              </w:rPr>
            </w:pPr>
            <w:r w:rsidRPr="00AC089B">
              <w:rPr>
                <w:rFonts w:ascii="Times New Roman" w:eastAsia="新細明體" w:hAnsi="Times New Roman" w:cs="Times New Roman"/>
                <w:b/>
                <w:bCs/>
                <w:color w:val="000000"/>
                <w:kern w:val="0"/>
                <w:sz w:val="22"/>
                <w:szCs w:val="22"/>
                <w14:ligatures w14:val="none"/>
              </w:rPr>
              <w:lastRenderedPageBreak/>
              <w:t>Table S</w:t>
            </w:r>
            <w:r>
              <w:rPr>
                <w:rFonts w:ascii="Times New Roman" w:eastAsia="新細明體" w:hAnsi="Times New Roman" w:cs="Times New Roman"/>
                <w:b/>
                <w:bCs/>
                <w:color w:val="000000"/>
                <w:kern w:val="0"/>
                <w:sz w:val="22"/>
                <w:szCs w:val="22"/>
                <w14:ligatures w14:val="none"/>
              </w:rPr>
              <w:t>7</w:t>
            </w:r>
            <w:r w:rsidRPr="00AC089B">
              <w:rPr>
                <w:rFonts w:ascii="Times New Roman" w:eastAsia="新細明體" w:hAnsi="Times New Roman" w:cs="Times New Roman"/>
                <w:b/>
                <w:bCs/>
                <w:color w:val="000000"/>
                <w:kern w:val="0"/>
                <w:sz w:val="22"/>
                <w:szCs w:val="22"/>
                <w14:ligatures w14:val="none"/>
              </w:rPr>
              <w:t>.</w:t>
            </w:r>
            <w:r w:rsidRPr="00AC089B">
              <w:rPr>
                <w:rFonts w:ascii="Times New Roman" w:eastAsia="新細明體" w:hAnsi="Times New Roman" w:cs="Times New Roman"/>
                <w:color w:val="000000"/>
                <w:kern w:val="0"/>
                <w:sz w:val="22"/>
                <w:szCs w:val="22"/>
                <w14:ligatures w14:val="none"/>
              </w:rPr>
              <w:t xml:space="preserve"> Discriminative performance of individual microbiome-, bile acid–, and metabolite-based factors for prediction of PNAC.</w:t>
            </w:r>
          </w:p>
        </w:tc>
      </w:tr>
      <w:tr w:rsidR="007558C3" w:rsidRPr="00AC089B" w:rsidTr="008810B5">
        <w:trPr>
          <w:trHeight w:val="1400"/>
          <w:jc w:val="center"/>
        </w:trPr>
        <w:tc>
          <w:tcPr>
            <w:tcW w:w="13041" w:type="dxa"/>
            <w:tcBorders>
              <w:top w:val="single" w:sz="4" w:space="0" w:color="auto"/>
              <w:left w:val="nil"/>
              <w:bottom w:val="nil"/>
              <w:right w:val="nil"/>
            </w:tcBorders>
            <w:shd w:val="clear" w:color="auto" w:fill="auto"/>
            <w:vAlign w:val="bottom"/>
            <w:hideMark/>
          </w:tcPr>
          <w:tbl>
            <w:tblPr>
              <w:tblW w:w="12979" w:type="dxa"/>
              <w:tblCellMar>
                <w:left w:w="28" w:type="dxa"/>
                <w:right w:w="28" w:type="dxa"/>
              </w:tblCellMar>
              <w:tblLook w:val="04A0" w:firstRow="1" w:lastRow="0" w:firstColumn="1" w:lastColumn="0" w:noHBand="0" w:noVBand="1"/>
            </w:tblPr>
            <w:tblGrid>
              <w:gridCol w:w="3376"/>
              <w:gridCol w:w="860"/>
              <w:gridCol w:w="740"/>
              <w:gridCol w:w="1100"/>
              <w:gridCol w:w="1100"/>
              <w:gridCol w:w="1100"/>
              <w:gridCol w:w="1100"/>
              <w:gridCol w:w="1100"/>
              <w:gridCol w:w="1100"/>
              <w:gridCol w:w="1380"/>
              <w:gridCol w:w="23"/>
            </w:tblGrid>
            <w:tr w:rsidR="007558C3" w:rsidTr="007558C3">
              <w:trPr>
                <w:gridAfter w:val="1"/>
                <w:wAfter w:w="23" w:type="dxa"/>
                <w:trHeight w:val="70"/>
              </w:trPr>
              <w:tc>
                <w:tcPr>
                  <w:tcW w:w="3376" w:type="dxa"/>
                  <w:tcBorders>
                    <w:top w:val="nil"/>
                    <w:left w:val="nil"/>
                    <w:bottom w:val="single" w:sz="4" w:space="0" w:color="auto"/>
                    <w:right w:val="nil"/>
                  </w:tcBorders>
                  <w:shd w:val="clear" w:color="auto" w:fill="auto"/>
                  <w:noWrap/>
                  <w:vAlign w:val="center"/>
                  <w:hideMark/>
                </w:tcPr>
                <w:p w:rsidR="007558C3" w:rsidRDefault="007558C3" w:rsidP="007558C3">
                  <w:pPr>
                    <w:widowControl/>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Factor</w:t>
                  </w:r>
                </w:p>
              </w:tc>
              <w:tc>
                <w:tcPr>
                  <w:tcW w:w="86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Layer</w:t>
                  </w:r>
                </w:p>
              </w:tc>
              <w:tc>
                <w:tcPr>
                  <w:tcW w:w="74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AUC</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Direction</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Sensitivity</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Specificity</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PPV</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NPV</w:t>
                  </w:r>
                </w:p>
              </w:tc>
              <w:tc>
                <w:tcPr>
                  <w:tcW w:w="110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Accuracy</w:t>
                  </w:r>
                </w:p>
              </w:tc>
              <w:tc>
                <w:tcPr>
                  <w:tcW w:w="1380" w:type="dxa"/>
                  <w:tcBorders>
                    <w:top w:val="nil"/>
                    <w:left w:val="nil"/>
                    <w:bottom w:val="single" w:sz="4" w:space="0" w:color="auto"/>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sz w:val="22"/>
                      <w:szCs w:val="22"/>
                    </w:rPr>
                  </w:pPr>
                  <w:r>
                    <w:rPr>
                      <w:rFonts w:ascii="Times New Roman" w:hAnsi="Times New Roman" w:cs="Times New Roman"/>
                      <w:sz w:val="22"/>
                      <w:szCs w:val="22"/>
                    </w:rPr>
                    <w:t>Rank in layer</w:t>
                  </w:r>
                </w:p>
              </w:tc>
            </w:tr>
            <w:tr w:rsidR="007558C3" w:rsidTr="007558C3">
              <w:trPr>
                <w:gridAfter w:val="1"/>
                <w:wAfter w:w="23" w:type="dxa"/>
                <w:trHeight w:val="60"/>
              </w:trPr>
              <w:tc>
                <w:tcPr>
                  <w:tcW w:w="12956" w:type="dxa"/>
                  <w:gridSpan w:val="10"/>
                  <w:tcBorders>
                    <w:top w:val="single" w:sz="4" w:space="0" w:color="auto"/>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Times New Roman" w:hAnsi="Times New Roman" w:cs="Times New Roman"/>
                      <w:sz w:val="20"/>
                      <w:szCs w:val="20"/>
                    </w:rPr>
                  </w:pPr>
                  <w:r>
                    <w:rPr>
                      <w:rFonts w:ascii="Times New Roman" w:hAnsi="Times New Roman" w:cs="Times New Roman"/>
                      <w:i/>
                      <w:iCs/>
                      <w:sz w:val="22"/>
                      <w:szCs w:val="22"/>
                    </w:rPr>
                    <w:t>Urinary bile acid</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新細明體" w:hAnsi="Times New Roman" w:cs="Times New Roman"/>
                      <w:color w:val="000000"/>
                      <w:sz w:val="22"/>
                      <w:szCs w:val="22"/>
                    </w:rPr>
                  </w:pPr>
                  <w:r>
                    <w:rPr>
                      <w:rFonts w:ascii="Times New Roman" w:hAnsi="Times New Roman" w:cs="Times New Roman"/>
                      <w:color w:val="000000"/>
                      <w:sz w:val="22"/>
                      <w:szCs w:val="22"/>
                    </w:rPr>
                    <w:t>UBA score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UBA_TLCA-3S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0.889</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UBA_TCDCA-3S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0.720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0.964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0.889</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UBA_GUDCA-3S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0.920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0.571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0.815</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3</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UBA_GLCA-3S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0.727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UBA_TUDCA-3S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6</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UBA_GCDCA-3S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0.964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5</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UBA_TCDCA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7</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0.753</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12</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0.926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8</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UBA_TUDCA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UBA_GCDCA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0.765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9</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0.753</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13</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UBA_CDCA-3S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0.782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0.636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14</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0.727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16</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0.574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0.381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0.630</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17</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UBA_GHDCA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0.565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0.790</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15</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18</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UBA_TDHCA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0.667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0.790</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19</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UBA_TDCA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0.813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UBA_UDCA-3S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0.250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0.984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20</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UBA_GDCA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0.598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0.250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0.984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22</w:t>
                  </w:r>
                </w:p>
              </w:tc>
            </w:tr>
            <w:tr w:rsidR="007558C3" w:rsidTr="007558C3">
              <w:trPr>
                <w:trHeight w:val="280"/>
              </w:trPr>
              <w:tc>
                <w:tcPr>
                  <w:tcW w:w="12979" w:type="dxa"/>
                  <w:gridSpan w:val="11"/>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Times New Roman" w:hAnsi="Times New Roman" w:cs="Times New Roman"/>
                      <w:sz w:val="20"/>
                      <w:szCs w:val="20"/>
                    </w:rPr>
                  </w:pPr>
                  <w:r>
                    <w:rPr>
                      <w:rFonts w:ascii="Times New Roman" w:hAnsi="Times New Roman" w:cs="Times New Roman"/>
                      <w:i/>
                      <w:iCs/>
                      <w:sz w:val="22"/>
                      <w:szCs w:val="22"/>
                    </w:rPr>
                    <w:t>Urinary metabolite</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新細明體" w:hAnsi="Times New Roman" w:cs="Times New Roman"/>
                      <w:color w:val="000000"/>
                      <w:sz w:val="22"/>
                      <w:szCs w:val="22"/>
                    </w:rPr>
                  </w:pPr>
                  <w:r>
                    <w:rPr>
                      <w:rFonts w:ascii="Times New Roman" w:hAnsi="Times New Roman" w:cs="Times New Roman"/>
                      <w:color w:val="000000"/>
                      <w:sz w:val="22"/>
                      <w:szCs w:val="22"/>
                    </w:rPr>
                    <w:t>UM_D-Gluconic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0.762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0.889</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 score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UM_1-Methylguanidine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UM_3-Methylglutaconic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0.529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0.778</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3</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UM_Guanidinoacetic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0.787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0.923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0.790</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UM_N-Acetyltyrosine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0.984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5</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UM_L-Tryptophan</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0.818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0.574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0.422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0.972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0.667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6</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UM_Proline betaine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0.447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7</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UM_Methanol</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0.742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9</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UM_Succinic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0.944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8</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UM_Glycine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0.455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UM_Xanthurenic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0.721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0.452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10</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UM_Phenylalanine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12</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UM_Propionic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0.429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0.891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13</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UM_4-Hydroxyphenylpyruvic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0.419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15</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UM_L-Citramalic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0.753</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16</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UM_Oxaloacetic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0.417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0.679</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14</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UM_N-Acetylaspartic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0.778</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17</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UM_Leucine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0.787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0.480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0.741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19</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UM_Sarcosine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UM_3-Hydroxybutyric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0.665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0.787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0.435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18</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UM_3-Methyl-2-oxovaleric acid</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UM</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0.351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20</w:t>
                  </w:r>
                </w:p>
              </w:tc>
            </w:tr>
            <w:tr w:rsidR="007558C3" w:rsidTr="007558C3">
              <w:trPr>
                <w:gridAfter w:val="1"/>
                <w:wAfter w:w="23" w:type="dxa"/>
                <w:trHeight w:val="70"/>
              </w:trPr>
              <w:tc>
                <w:tcPr>
                  <w:tcW w:w="12956" w:type="dxa"/>
                  <w:gridSpan w:val="10"/>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Times New Roman" w:hAnsi="Times New Roman" w:cs="Times New Roman"/>
                      <w:sz w:val="20"/>
                      <w:szCs w:val="20"/>
                    </w:rPr>
                  </w:pPr>
                  <w:r>
                    <w:rPr>
                      <w:rFonts w:ascii="Times New Roman" w:hAnsi="Times New Roman" w:cs="Times New Roman"/>
                      <w:i/>
                      <w:iCs/>
                      <w:sz w:val="22"/>
                      <w:szCs w:val="22"/>
                    </w:rPr>
                    <w:t>Fecal bile acid</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新細明體" w:hAnsi="Times New Roman" w:cs="Times New Roman"/>
                      <w:color w:val="000000"/>
                      <w:sz w:val="22"/>
                      <w:szCs w:val="22"/>
                    </w:rPr>
                  </w:pPr>
                  <w:r>
                    <w:rPr>
                      <w:rFonts w:ascii="Times New Roman" w:hAnsi="Times New Roman" w:cs="Times New Roman"/>
                      <w:color w:val="000000"/>
                      <w:sz w:val="22"/>
                      <w:szCs w:val="22"/>
                    </w:rPr>
                    <w:t>FBA_HCA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0.484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0.741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 score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0.734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0.483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0.741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FBA_CDCA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FBA_7-KetoLCA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0.444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0.704</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3</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FBA_UDCA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0.483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0.741</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6</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FBA_7-KetoHDCA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0.412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0.679</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5</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FBA_3,7,12-DehydroCA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0.606</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0.803</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0.778</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8</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FBA_HDCA</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0.440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0.839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0.716</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7</w:t>
                  </w:r>
                </w:p>
              </w:tc>
            </w:tr>
            <w:tr w:rsidR="007558C3" w:rsidTr="007558C3">
              <w:trPr>
                <w:gridAfter w:val="1"/>
                <w:wAfter w:w="23" w:type="dxa"/>
                <w:trHeight w:val="7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FBA_GDCA-3S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FBA</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0.250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0.951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0.625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0.795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0.778</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9</w:t>
                  </w:r>
                </w:p>
              </w:tc>
            </w:tr>
            <w:tr w:rsidR="007558C3" w:rsidTr="007558C3">
              <w:trPr>
                <w:trHeight w:val="280"/>
              </w:trPr>
              <w:tc>
                <w:tcPr>
                  <w:tcW w:w="12979" w:type="dxa"/>
                  <w:gridSpan w:val="11"/>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Times New Roman" w:hAnsi="Times New Roman" w:cs="Times New Roman"/>
                      <w:sz w:val="20"/>
                      <w:szCs w:val="20"/>
                    </w:rPr>
                  </w:pPr>
                  <w:r>
                    <w:rPr>
                      <w:rFonts w:ascii="Times New Roman" w:hAnsi="Times New Roman" w:cs="Times New Roman"/>
                      <w:i/>
                      <w:iCs/>
                      <w:sz w:val="22"/>
                      <w:szCs w:val="22"/>
                    </w:rPr>
                    <w:t>Fecal microbiome</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eastAsia="新細明體" w:hAnsi="Times New Roman" w:cs="Times New Roman"/>
                      <w:color w:val="000000"/>
                      <w:sz w:val="22"/>
                      <w:szCs w:val="22"/>
                    </w:rPr>
                  </w:pPr>
                  <w:r>
                    <w:rPr>
                      <w:rFonts w:ascii="Times New Roman" w:hAnsi="Times New Roman" w:cs="Times New Roman"/>
                      <w:color w:val="000000"/>
                      <w:sz w:val="22"/>
                      <w:szCs w:val="22"/>
                    </w:rPr>
                    <w:t>MB_f__Enterobacteriaceae.1</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0.694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0.378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0.917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1</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MB_g__Lactobacillus</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0.689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0.590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0.375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0.878</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0.630</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2</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MB_g__Enterococcus.3</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0.660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0.815</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MB_g__Bacteroides.2</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0.669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0.902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0.859</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0.815</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3</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 score</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0.750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0.607</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0.385</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0.881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0.642</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7558C3" w:rsidTr="007558C3">
              <w:trPr>
                <w:gridAfter w:val="1"/>
                <w:wAfter w:w="23" w:type="dxa"/>
                <w:trHeight w:val="280"/>
              </w:trPr>
              <w:tc>
                <w:tcPr>
                  <w:tcW w:w="3376"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MB_g__Lachnoclostridium</w:t>
                  </w:r>
                </w:p>
              </w:tc>
              <w:tc>
                <w:tcPr>
                  <w:tcW w:w="86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0.642</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positive</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0.500</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0.934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0.714</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0.851</w:t>
                  </w:r>
                </w:p>
              </w:tc>
              <w:tc>
                <w:tcPr>
                  <w:tcW w:w="110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0.827</w:t>
                  </w:r>
                </w:p>
              </w:tc>
              <w:tc>
                <w:tcPr>
                  <w:tcW w:w="1380" w:type="dxa"/>
                  <w:tcBorders>
                    <w:top w:val="nil"/>
                    <w:left w:val="nil"/>
                    <w:bottom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6</w:t>
                  </w:r>
                </w:p>
              </w:tc>
            </w:tr>
            <w:tr w:rsidR="007558C3" w:rsidTr="007558C3">
              <w:trPr>
                <w:gridAfter w:val="1"/>
                <w:wAfter w:w="23" w:type="dxa"/>
                <w:trHeight w:val="280"/>
              </w:trPr>
              <w:tc>
                <w:tcPr>
                  <w:tcW w:w="3376"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MB_g__Enterococcus</w:t>
                  </w:r>
                </w:p>
              </w:tc>
              <w:tc>
                <w:tcPr>
                  <w:tcW w:w="86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0.620</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0.590</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0.359</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0.857</w:t>
                  </w:r>
                </w:p>
              </w:tc>
              <w:tc>
                <w:tcPr>
                  <w:tcW w:w="110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0.617</w:t>
                  </w:r>
                </w:p>
              </w:tc>
              <w:tc>
                <w:tcPr>
                  <w:tcW w:w="1380" w:type="dxa"/>
                  <w:tcBorders>
                    <w:top w:val="nil"/>
                    <w:left w:val="nil"/>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7</w:t>
                  </w:r>
                </w:p>
              </w:tc>
            </w:tr>
            <w:tr w:rsidR="007558C3" w:rsidTr="007558C3">
              <w:trPr>
                <w:gridAfter w:val="1"/>
                <w:wAfter w:w="23" w:type="dxa"/>
                <w:trHeight w:val="280"/>
              </w:trPr>
              <w:tc>
                <w:tcPr>
                  <w:tcW w:w="3376" w:type="dxa"/>
                  <w:tcBorders>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MB_s__Bifidobacterium_bifidum</w:t>
                  </w:r>
                </w:p>
              </w:tc>
              <w:tc>
                <w:tcPr>
                  <w:tcW w:w="86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MB</w:t>
                  </w:r>
                </w:p>
              </w:tc>
              <w:tc>
                <w:tcPr>
                  <w:tcW w:w="74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0.643</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negative</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0.700</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0.623</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0.378</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0.864</w:t>
                  </w:r>
                </w:p>
              </w:tc>
              <w:tc>
                <w:tcPr>
                  <w:tcW w:w="1100" w:type="dxa"/>
                  <w:tcBorders>
                    <w:left w:val="nil"/>
                    <w:bottom w:val="single" w:sz="4" w:space="0" w:color="000000" w:themeColor="text1"/>
                    <w:right w:val="nil"/>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0.642</w:t>
                  </w:r>
                </w:p>
              </w:tc>
              <w:tc>
                <w:tcPr>
                  <w:tcW w:w="1380" w:type="dxa"/>
                  <w:tcBorders>
                    <w:left w:val="nil"/>
                    <w:bottom w:val="single" w:sz="4" w:space="0" w:color="000000" w:themeColor="text1"/>
                  </w:tcBorders>
                  <w:shd w:val="clear" w:color="auto" w:fill="auto"/>
                  <w:noWrap/>
                  <w:vAlign w:val="center"/>
                  <w:hideMark/>
                </w:tcPr>
                <w:p w:rsidR="007558C3" w:rsidRDefault="007558C3" w:rsidP="007558C3">
                  <w:pPr>
                    <w:adjustRightInd w:val="0"/>
                    <w:snapToGrid w:val="0"/>
                    <w:spacing w:after="0" w:line="0" w:lineRule="atLeast"/>
                    <w:jc w:val="both"/>
                    <w:rPr>
                      <w:rFonts w:ascii="Times New Roman" w:hAnsi="Times New Roman" w:cs="Times New Roman"/>
                      <w:color w:val="000000"/>
                      <w:sz w:val="22"/>
                      <w:szCs w:val="22"/>
                    </w:rPr>
                  </w:pPr>
                  <w:r>
                    <w:rPr>
                      <w:rFonts w:ascii="Times New Roman" w:hAnsi="Times New Roman" w:cs="Times New Roman"/>
                      <w:color w:val="000000"/>
                      <w:sz w:val="22"/>
                      <w:szCs w:val="22"/>
                    </w:rPr>
                    <w:t>5</w:t>
                  </w:r>
                </w:p>
              </w:tc>
            </w:tr>
          </w:tbl>
          <w:p w:rsidR="007558C3" w:rsidRPr="00AC089B" w:rsidRDefault="007558C3" w:rsidP="008810B5">
            <w:pPr>
              <w:widowControl/>
              <w:adjustRightInd w:val="0"/>
              <w:snapToGrid w:val="0"/>
              <w:spacing w:after="0" w:line="240" w:lineRule="auto"/>
              <w:jc w:val="both"/>
              <w:rPr>
                <w:rFonts w:ascii="Times New Roman" w:eastAsia="新細明體" w:hAnsi="Times New Roman" w:cs="Times New Roman"/>
                <w:color w:val="000000"/>
                <w:kern w:val="0"/>
                <w:sz w:val="22"/>
                <w:szCs w:val="22"/>
                <w14:ligatures w14:val="none"/>
              </w:rPr>
            </w:pPr>
          </w:p>
        </w:tc>
      </w:tr>
    </w:tbl>
    <w:p w:rsidR="007558C3" w:rsidRDefault="007558C3" w:rsidP="00A40C64">
      <w:pPr>
        <w:adjustRightInd w:val="0"/>
        <w:snapToGrid w:val="0"/>
        <w:spacing w:after="0" w:line="240" w:lineRule="auto"/>
        <w:jc w:val="both"/>
        <w:rPr>
          <w:rFonts w:ascii="Times New Roman" w:eastAsia="新細明體" w:hAnsi="Times New Roman" w:cs="Times New Roman"/>
          <w:color w:val="000000"/>
          <w:kern w:val="0"/>
          <w:sz w:val="22"/>
          <w:szCs w:val="22"/>
          <w14:ligatures w14:val="none"/>
        </w:rPr>
        <w:sectPr w:rsidR="007558C3" w:rsidSect="007558C3">
          <w:pgSz w:w="16840" w:h="11900" w:orient="landscape"/>
          <w:pgMar w:top="720" w:right="720" w:bottom="720" w:left="720" w:header="851" w:footer="992" w:gutter="0"/>
          <w:cols w:space="425"/>
          <w:docGrid w:type="lines" w:linePitch="360"/>
        </w:sectPr>
      </w:pPr>
      <w:r w:rsidRPr="00AC089B">
        <w:rPr>
          <w:rFonts w:ascii="Times New Roman" w:eastAsia="新細明體" w:hAnsi="Times New Roman" w:cs="Times New Roman"/>
          <w:color w:val="000000"/>
          <w:kern w:val="0"/>
          <w:sz w:val="22"/>
          <w:szCs w:val="22"/>
          <w14:ligatures w14:val="none"/>
        </w:rPr>
        <w:lastRenderedPageBreak/>
        <w:t>ROC analysis was performed for each individual factor and composite score to assess discrimination of PNAC. For urinary metabolites, urinary bile acids, and fecal bile acids, missing values were imputed using the median of the corresponding feature; microbiome relative abundances were transformed as log10(relative abundance + 1 × 10⁻⁶). Features were standardized as z-scores across the full cohort. Individual-factor ROC curves were oriented according to the direction of association with PNAC. Composite scores were constructed as unweighted sums of the three selected standardized features, with only the entire composite reversed when its raw AUC was below 0.5. Optimal cutoffs were defined by the Youden index, and the corresponding sensitivity, specificity, positive predictive value (PPV), negative predictive value (NPV), and accuracy were calculated. Abbreviations: AUC, area under the receiver operating characteristic curve; PNAC, parenteral nutrition–associated cholestasis; ROC, receiver operating characteristic; MB, stool microbiome; FBA, fecal bile acids; UBA, urinary bile acids; UM, urinary metabolites.</w:t>
      </w:r>
    </w:p>
    <w:tbl>
      <w:tblPr>
        <w:tblW w:w="10344" w:type="dxa"/>
        <w:jc w:val="center"/>
        <w:tblLayout w:type="fixed"/>
        <w:tblCellMar>
          <w:left w:w="28" w:type="dxa"/>
          <w:right w:w="28" w:type="dxa"/>
        </w:tblCellMar>
        <w:tblLook w:val="04A0" w:firstRow="1" w:lastRow="0" w:firstColumn="1" w:lastColumn="0" w:noHBand="0" w:noVBand="1"/>
      </w:tblPr>
      <w:tblGrid>
        <w:gridCol w:w="1271"/>
        <w:gridCol w:w="997"/>
        <w:gridCol w:w="856"/>
        <w:gridCol w:w="1394"/>
        <w:gridCol w:w="1281"/>
        <w:gridCol w:w="1422"/>
        <w:gridCol w:w="1417"/>
        <w:gridCol w:w="856"/>
        <w:gridCol w:w="850"/>
      </w:tblGrid>
      <w:tr w:rsidR="007558C3" w:rsidRPr="000736B8" w:rsidTr="008810B5">
        <w:trPr>
          <w:trHeight w:val="416"/>
          <w:jc w:val="center"/>
        </w:trPr>
        <w:tc>
          <w:tcPr>
            <w:tcW w:w="10344" w:type="dxa"/>
            <w:gridSpan w:val="9"/>
            <w:tcBorders>
              <w:bottom w:val="single" w:sz="4" w:space="0" w:color="000000" w:themeColor="text1"/>
            </w:tcBorders>
            <w:shd w:val="clear" w:color="auto" w:fill="auto"/>
            <w:vAlign w:val="center"/>
          </w:tcPr>
          <w:p w:rsidR="007558C3" w:rsidRPr="000736B8" w:rsidRDefault="007558C3" w:rsidP="008810B5">
            <w:pPr>
              <w:widowControl/>
              <w:adjustRightInd w:val="0"/>
              <w:snapToGrid w:val="0"/>
              <w:spacing w:after="0" w:line="240" w:lineRule="auto"/>
              <w:rPr>
                <w:rFonts w:ascii="Times New Roman" w:eastAsia="新細明體" w:hAnsi="Times New Roman" w:cs="Times New Roman"/>
                <w:color w:val="000000" w:themeColor="text1"/>
                <w:kern w:val="0"/>
                <w:sz w:val="20"/>
                <w:szCs w:val="20"/>
                <w14:ligatures w14:val="none"/>
              </w:rPr>
            </w:pPr>
            <w:r w:rsidRPr="000736B8">
              <w:rPr>
                <w:rFonts w:ascii="Times New Roman" w:hAnsi="Times New Roman" w:cs="Times New Roman"/>
                <w:b/>
                <w:bCs/>
                <w:sz w:val="20"/>
                <w:szCs w:val="20"/>
              </w:rPr>
              <w:lastRenderedPageBreak/>
              <w:t>Table S</w:t>
            </w:r>
            <w:r>
              <w:rPr>
                <w:rFonts w:ascii="Times New Roman" w:hAnsi="Times New Roman" w:cs="Times New Roman"/>
                <w:b/>
                <w:bCs/>
                <w:sz w:val="20"/>
                <w:szCs w:val="20"/>
              </w:rPr>
              <w:t>8</w:t>
            </w:r>
            <w:r w:rsidRPr="000736B8">
              <w:rPr>
                <w:rFonts w:ascii="Times New Roman" w:hAnsi="Times New Roman" w:cs="Times New Roman"/>
                <w:b/>
                <w:bCs/>
                <w:sz w:val="20"/>
                <w:szCs w:val="20"/>
              </w:rPr>
              <w:t>.</w:t>
            </w:r>
            <w:r w:rsidRPr="000736B8">
              <w:rPr>
                <w:rFonts w:ascii="Times New Roman" w:hAnsi="Times New Roman" w:cs="Times New Roman"/>
                <w:sz w:val="20"/>
                <w:szCs w:val="20"/>
              </w:rPr>
              <w:t xml:space="preserve"> Internal validation of composite-score models for prediction of PNAC.</w:t>
            </w:r>
          </w:p>
        </w:tc>
      </w:tr>
      <w:tr w:rsidR="007558C3" w:rsidRPr="000736B8" w:rsidTr="008810B5">
        <w:trPr>
          <w:trHeight w:val="416"/>
          <w:jc w:val="center"/>
        </w:trPr>
        <w:tc>
          <w:tcPr>
            <w:tcW w:w="1271"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Model specification</w:t>
            </w:r>
          </w:p>
        </w:tc>
        <w:tc>
          <w:tcPr>
            <w:tcW w:w="997"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Omics model</w:t>
            </w:r>
          </w:p>
        </w:tc>
        <w:tc>
          <w:tcPr>
            <w:tcW w:w="856"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Apparent AUC</w:t>
            </w:r>
          </w:p>
        </w:tc>
        <w:tc>
          <w:tcPr>
            <w:tcW w:w="1394"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Repeated 5-fold CV mean AUC</w:t>
            </w:r>
          </w:p>
        </w:tc>
        <w:tc>
          <w:tcPr>
            <w:tcW w:w="1281"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CV interval</w:t>
            </w:r>
          </w:p>
        </w:tc>
        <w:tc>
          <w:tcPr>
            <w:tcW w:w="1422"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Mean bootstrap optimism</w:t>
            </w:r>
          </w:p>
        </w:tc>
        <w:tc>
          <w:tcPr>
            <w:tcW w:w="1417"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Optimism-corrected AUC</w:t>
            </w:r>
          </w:p>
        </w:tc>
        <w:tc>
          <w:tcPr>
            <w:tcW w:w="856"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Valid CV repeats</w:t>
            </w:r>
          </w:p>
        </w:tc>
        <w:tc>
          <w:tcPr>
            <w:tcW w:w="850" w:type="dxa"/>
            <w:tcBorders>
              <w:top w:val="single" w:sz="4" w:space="0" w:color="000000" w:themeColor="text1"/>
              <w:bottom w:val="single" w:sz="4" w:space="0" w:color="000000" w:themeColor="text1"/>
            </w:tcBorders>
            <w:shd w:val="clear" w:color="auto" w:fill="auto"/>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themeColor="text1"/>
                <w:kern w:val="0"/>
                <w:sz w:val="20"/>
                <w:szCs w:val="20"/>
                <w14:ligatures w14:val="none"/>
              </w:rPr>
            </w:pPr>
            <w:r w:rsidRPr="000736B8">
              <w:rPr>
                <w:rFonts w:ascii="Times New Roman" w:eastAsia="新細明體" w:hAnsi="Times New Roman" w:cs="Times New Roman"/>
                <w:color w:val="000000" w:themeColor="text1"/>
                <w:kern w:val="0"/>
                <w:sz w:val="20"/>
                <w:szCs w:val="20"/>
                <w14:ligatures w14:val="none"/>
              </w:rPr>
              <w:t>Bootstrap replicates</w:t>
            </w:r>
          </w:p>
        </w:tc>
      </w:tr>
      <w:tr w:rsidR="007558C3" w:rsidRPr="000736B8" w:rsidTr="008810B5">
        <w:trPr>
          <w:trHeight w:val="280"/>
          <w:jc w:val="center"/>
        </w:trPr>
        <w:tc>
          <w:tcPr>
            <w:tcW w:w="1271"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Top 3</w:t>
            </w:r>
          </w:p>
        </w:tc>
        <w:tc>
          <w:tcPr>
            <w:tcW w:w="997"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UM</w:t>
            </w:r>
          </w:p>
        </w:tc>
        <w:tc>
          <w:tcPr>
            <w:tcW w:w="856"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0.894</w:t>
            </w:r>
          </w:p>
        </w:tc>
        <w:tc>
          <w:tcPr>
            <w:tcW w:w="1394"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0.887</w:t>
            </w:r>
          </w:p>
        </w:tc>
        <w:tc>
          <w:tcPr>
            <w:tcW w:w="1281"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0.878</w:t>
            </w:r>
            <w:r>
              <w:rPr>
                <w:rFonts w:ascii="Times New Roman" w:eastAsia="新細明體" w:hAnsi="Times New Roman" w:cs="Times New Roman" w:hint="eastAsia"/>
                <w:color w:val="000000"/>
                <w:kern w:val="0"/>
                <w:sz w:val="20"/>
                <w:szCs w:val="20"/>
                <w14:ligatures w14:val="none"/>
              </w:rPr>
              <w:t xml:space="preserve"> </w:t>
            </w:r>
            <w:r>
              <w:rPr>
                <w:rFonts w:ascii="Times New Roman" w:eastAsia="新細明體" w:hAnsi="Times New Roman" w:cs="Times New Roman"/>
                <w:color w:val="000000"/>
                <w:kern w:val="0"/>
                <w:sz w:val="20"/>
                <w:szCs w:val="20"/>
                <w14:ligatures w14:val="none"/>
              </w:rPr>
              <w:t xml:space="preserve">- </w:t>
            </w:r>
            <w:r w:rsidRPr="000736B8">
              <w:rPr>
                <w:rFonts w:ascii="Times New Roman" w:eastAsia="新細明體" w:hAnsi="Times New Roman" w:cs="Times New Roman"/>
                <w:color w:val="000000"/>
                <w:kern w:val="0"/>
                <w:sz w:val="20"/>
                <w:szCs w:val="20"/>
                <w14:ligatures w14:val="none"/>
              </w:rPr>
              <w:t>0.900</w:t>
            </w:r>
          </w:p>
        </w:tc>
        <w:tc>
          <w:tcPr>
            <w:tcW w:w="1422"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0.005</w:t>
            </w:r>
          </w:p>
        </w:tc>
        <w:tc>
          <w:tcPr>
            <w:tcW w:w="1417"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0.889</w:t>
            </w:r>
          </w:p>
        </w:tc>
        <w:tc>
          <w:tcPr>
            <w:tcW w:w="856"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w:t>
            </w:r>
          </w:p>
        </w:tc>
        <w:tc>
          <w:tcPr>
            <w:tcW w:w="850" w:type="dxa"/>
            <w:tcBorders>
              <w:top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Top 3</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UBA</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0.950</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0.924</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0.900</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0.939</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0.016</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0.934</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Top 3</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FBA</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0.734</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0.667</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0.605</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0.717</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0.054</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0.681</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Top 3</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MB</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0.641</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0.568</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0.459</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0.657</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0.059</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0.582</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Top 3</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UBA+UM</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0.956</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0.941</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0.922</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0.951</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0.010</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0.946</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All significant</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UM</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0.834</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0.804</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0.772</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0.825</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0.022</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0.812</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99</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All significant</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UBA</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0.930</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0.911</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0.897</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0.928</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0.007</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0.922</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99</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All significant</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FBA</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0.723</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0.687</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0.562</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0.742</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0.031</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0.692</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99</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All significant</w:t>
            </w:r>
          </w:p>
        </w:tc>
        <w:tc>
          <w:tcPr>
            <w:tcW w:w="99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MB</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0.538</w:t>
            </w:r>
          </w:p>
        </w:tc>
        <w:tc>
          <w:tcPr>
            <w:tcW w:w="1394"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0.483</w:t>
            </w:r>
          </w:p>
        </w:tc>
        <w:tc>
          <w:tcPr>
            <w:tcW w:w="1281"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0.397</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0.551</w:t>
            </w:r>
          </w:p>
        </w:tc>
        <w:tc>
          <w:tcPr>
            <w:tcW w:w="1422"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0.055</w:t>
            </w:r>
          </w:p>
        </w:tc>
        <w:tc>
          <w:tcPr>
            <w:tcW w:w="1417"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0.483</w:t>
            </w:r>
          </w:p>
        </w:tc>
        <w:tc>
          <w:tcPr>
            <w:tcW w:w="856"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99</w:t>
            </w:r>
          </w:p>
        </w:tc>
        <w:tc>
          <w:tcPr>
            <w:tcW w:w="850" w:type="dxa"/>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r w:rsidR="007558C3" w:rsidRPr="000736B8" w:rsidTr="008810B5">
        <w:trPr>
          <w:trHeight w:val="280"/>
          <w:jc w:val="center"/>
        </w:trPr>
        <w:tc>
          <w:tcPr>
            <w:tcW w:w="1271"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All significant</w:t>
            </w:r>
          </w:p>
        </w:tc>
        <w:tc>
          <w:tcPr>
            <w:tcW w:w="997"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UBA+UM</w:t>
            </w:r>
          </w:p>
        </w:tc>
        <w:tc>
          <w:tcPr>
            <w:tcW w:w="856"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0.907</w:t>
            </w:r>
          </w:p>
        </w:tc>
        <w:tc>
          <w:tcPr>
            <w:tcW w:w="1394"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0.885</w:t>
            </w:r>
          </w:p>
        </w:tc>
        <w:tc>
          <w:tcPr>
            <w:tcW w:w="1281"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0.858</w:t>
            </w:r>
            <w:r>
              <w:rPr>
                <w:rFonts w:ascii="Times New Roman" w:eastAsia="新細明體" w:hAnsi="Times New Roman" w:cs="Times New Roman"/>
                <w:color w:val="000000"/>
                <w:kern w:val="0"/>
                <w:sz w:val="20"/>
                <w:szCs w:val="20"/>
                <w14:ligatures w14:val="none"/>
              </w:rPr>
              <w:t xml:space="preserve"> - </w:t>
            </w:r>
            <w:r w:rsidRPr="000736B8">
              <w:rPr>
                <w:rFonts w:ascii="Times New Roman" w:eastAsia="新細明體" w:hAnsi="Times New Roman" w:cs="Times New Roman"/>
                <w:color w:val="000000"/>
                <w:kern w:val="0"/>
                <w:sz w:val="20"/>
                <w:szCs w:val="20"/>
                <w14:ligatures w14:val="none"/>
              </w:rPr>
              <w:t>0.902</w:t>
            </w:r>
          </w:p>
        </w:tc>
        <w:tc>
          <w:tcPr>
            <w:tcW w:w="1422"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0.017</w:t>
            </w:r>
          </w:p>
        </w:tc>
        <w:tc>
          <w:tcPr>
            <w:tcW w:w="1417"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0.891</w:t>
            </w:r>
          </w:p>
        </w:tc>
        <w:tc>
          <w:tcPr>
            <w:tcW w:w="856"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99</w:t>
            </w:r>
          </w:p>
        </w:tc>
        <w:tc>
          <w:tcPr>
            <w:tcW w:w="850" w:type="dxa"/>
            <w:tcBorders>
              <w:bottom w:val="single" w:sz="4" w:space="0" w:color="000000" w:themeColor="text1"/>
            </w:tcBorders>
            <w:shd w:val="clear" w:color="auto" w:fill="auto"/>
            <w:noWrap/>
            <w:vAlign w:val="center"/>
            <w:hideMark/>
          </w:tcPr>
          <w:p w:rsidR="007558C3" w:rsidRPr="000736B8" w:rsidRDefault="007558C3" w:rsidP="008810B5">
            <w:pPr>
              <w:widowControl/>
              <w:adjustRightInd w:val="0"/>
              <w:snapToGrid w:val="0"/>
              <w:spacing w:after="0" w:line="240" w:lineRule="auto"/>
              <w:jc w:val="center"/>
              <w:rPr>
                <w:rFonts w:ascii="Times New Roman" w:eastAsia="新細明體" w:hAnsi="Times New Roman" w:cs="Times New Roman"/>
                <w:color w:val="000000"/>
                <w:kern w:val="0"/>
                <w:sz w:val="20"/>
                <w:szCs w:val="20"/>
                <w14:ligatures w14:val="none"/>
              </w:rPr>
            </w:pPr>
            <w:r w:rsidRPr="000736B8">
              <w:rPr>
                <w:rFonts w:ascii="Times New Roman" w:eastAsia="新細明體" w:hAnsi="Times New Roman" w:cs="Times New Roman"/>
                <w:color w:val="000000"/>
                <w:kern w:val="0"/>
                <w:sz w:val="20"/>
                <w:szCs w:val="20"/>
                <w14:ligatures w14:val="none"/>
              </w:rPr>
              <w:t>1000</w:t>
            </w:r>
          </w:p>
        </w:tc>
      </w:tr>
    </w:tbl>
    <w:p w:rsidR="007558C3" w:rsidRPr="00B370EA" w:rsidRDefault="007558C3" w:rsidP="007558C3">
      <w:pPr>
        <w:adjustRightInd w:val="0"/>
        <w:snapToGrid w:val="0"/>
        <w:spacing w:after="0" w:line="240" w:lineRule="auto"/>
        <w:jc w:val="both"/>
        <w:rPr>
          <w:rFonts w:ascii="Times New Roman" w:hAnsi="Times New Roman" w:cs="Times New Roman"/>
          <w:sz w:val="20"/>
          <w:szCs w:val="20"/>
        </w:rPr>
      </w:pPr>
      <w:r w:rsidRPr="00B370EA">
        <w:rPr>
          <w:rFonts w:ascii="Times New Roman" w:hAnsi="Times New Roman" w:cs="Times New Roman"/>
          <w:sz w:val="20"/>
          <w:szCs w:val="20"/>
        </w:rPr>
        <w:t>Composite scores were constructed as unweighted sums of the selected z-score-standardized features. Internal validation was performed using stratified five-fold cross-validation repeated 100 times and 1,000 stratified bootstrap resamples. In each training fold or bootstrap sample, feature selection, z-score standardization, and composite-score construction were repeated de novo. Features associated with PNAC at P&lt;0.05 in univariable conventional logistic regression were retained. For the top-three models, the three retained features with the highest direction-independent univariable AUCs were selected. The CV interval represents the 2.5th to 97.5th percentiles of the repeated cross-validated AUCs. Bootstrap optimism was calculated as the difference between the AUC in each bootstrap sample and the AUC obtained when the bootstrap-derived model was applied to the original cohort. The optimism-corrected AUC was calculated by subtracting the mean bootstrap optimism from the apparent AUC. Abbreviations: AUC, area under the receiver operating characteristic curve; CV, cross-validation; PNAC, parenteral nutrition-associated cholestasis; UM, urinary metabolites; UBA, urinary bile acids; FBA, fecal bile acids; MB, stool microbiome features</w:t>
      </w:r>
      <w:r>
        <w:rPr>
          <w:rFonts w:ascii="Times New Roman" w:hAnsi="Times New Roman" w:cs="Times New Roman"/>
          <w:sz w:val="20"/>
          <w:szCs w:val="20"/>
        </w:rPr>
        <w:t>.</w:t>
      </w:r>
    </w:p>
    <w:p w:rsidR="00A40C64" w:rsidRPr="007558C3" w:rsidRDefault="00A40C64" w:rsidP="00A40C64">
      <w:pPr>
        <w:adjustRightInd w:val="0"/>
        <w:snapToGrid w:val="0"/>
        <w:spacing w:after="0" w:line="240" w:lineRule="auto"/>
        <w:jc w:val="both"/>
        <w:rPr>
          <w:rFonts w:hint="eastAsia"/>
        </w:rPr>
      </w:pPr>
    </w:p>
    <w:p w:rsidR="00357BE3" w:rsidRPr="007558C3" w:rsidRDefault="00357BE3" w:rsidP="007558C3">
      <w:pPr>
        <w:rPr>
          <w:rFonts w:ascii="Times New Roman" w:hAnsi="Times New Roman" w:cs="Times New Roman" w:hint="eastAsia"/>
          <w:b/>
          <w:bCs/>
        </w:rPr>
      </w:pPr>
    </w:p>
    <w:sectPr w:rsidR="00357BE3" w:rsidRPr="007558C3" w:rsidSect="007558C3">
      <w:pgSz w:w="11900" w:h="16840"/>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25685147">
    <w:abstractNumId w:val="8"/>
  </w:num>
  <w:num w:numId="2" w16cid:durableId="148521578">
    <w:abstractNumId w:val="6"/>
  </w:num>
  <w:num w:numId="3" w16cid:durableId="2120565957">
    <w:abstractNumId w:val="5"/>
  </w:num>
  <w:num w:numId="4" w16cid:durableId="204411943">
    <w:abstractNumId w:val="4"/>
  </w:num>
  <w:num w:numId="5" w16cid:durableId="1537546700">
    <w:abstractNumId w:val="7"/>
  </w:num>
  <w:num w:numId="6" w16cid:durableId="1843204319">
    <w:abstractNumId w:val="3"/>
  </w:num>
  <w:num w:numId="7" w16cid:durableId="750085636">
    <w:abstractNumId w:val="2"/>
  </w:num>
  <w:num w:numId="8" w16cid:durableId="434399505">
    <w:abstractNumId w:val="1"/>
  </w:num>
  <w:num w:numId="9" w16cid:durableId="89073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E04"/>
    <w:rsid w:val="00000E8B"/>
    <w:rsid w:val="00001499"/>
    <w:rsid w:val="000027E3"/>
    <w:rsid w:val="00005E84"/>
    <w:rsid w:val="000063D0"/>
    <w:rsid w:val="0000669B"/>
    <w:rsid w:val="0000781F"/>
    <w:rsid w:val="00010DFB"/>
    <w:rsid w:val="00011CE5"/>
    <w:rsid w:val="00012370"/>
    <w:rsid w:val="00012D97"/>
    <w:rsid w:val="00013CC0"/>
    <w:rsid w:val="0001414E"/>
    <w:rsid w:val="00014961"/>
    <w:rsid w:val="0001550E"/>
    <w:rsid w:val="00015E2F"/>
    <w:rsid w:val="000200C2"/>
    <w:rsid w:val="00022A45"/>
    <w:rsid w:val="00022D28"/>
    <w:rsid w:val="00023A68"/>
    <w:rsid w:val="00024852"/>
    <w:rsid w:val="00025195"/>
    <w:rsid w:val="00025D0A"/>
    <w:rsid w:val="000300D6"/>
    <w:rsid w:val="000306B0"/>
    <w:rsid w:val="00030A36"/>
    <w:rsid w:val="00031624"/>
    <w:rsid w:val="000376DA"/>
    <w:rsid w:val="00037788"/>
    <w:rsid w:val="00040966"/>
    <w:rsid w:val="00040AE4"/>
    <w:rsid w:val="00041012"/>
    <w:rsid w:val="000445BA"/>
    <w:rsid w:val="00044618"/>
    <w:rsid w:val="0004731C"/>
    <w:rsid w:val="0004779E"/>
    <w:rsid w:val="000502E2"/>
    <w:rsid w:val="00051CB6"/>
    <w:rsid w:val="00052DCD"/>
    <w:rsid w:val="0005404C"/>
    <w:rsid w:val="00054EBE"/>
    <w:rsid w:val="00057E00"/>
    <w:rsid w:val="00060CC7"/>
    <w:rsid w:val="00062520"/>
    <w:rsid w:val="000629A5"/>
    <w:rsid w:val="00067D26"/>
    <w:rsid w:val="00067EB9"/>
    <w:rsid w:val="000701DC"/>
    <w:rsid w:val="00070617"/>
    <w:rsid w:val="00070D46"/>
    <w:rsid w:val="0007300F"/>
    <w:rsid w:val="0008033D"/>
    <w:rsid w:val="00080610"/>
    <w:rsid w:val="00080FE1"/>
    <w:rsid w:val="00085097"/>
    <w:rsid w:val="0008780B"/>
    <w:rsid w:val="00091EED"/>
    <w:rsid w:val="00092CE1"/>
    <w:rsid w:val="00092D22"/>
    <w:rsid w:val="000931A2"/>
    <w:rsid w:val="00094B90"/>
    <w:rsid w:val="000954B2"/>
    <w:rsid w:val="00095A41"/>
    <w:rsid w:val="000A1F58"/>
    <w:rsid w:val="000A302E"/>
    <w:rsid w:val="000A7145"/>
    <w:rsid w:val="000A7326"/>
    <w:rsid w:val="000B1E7D"/>
    <w:rsid w:val="000B2D49"/>
    <w:rsid w:val="000B3465"/>
    <w:rsid w:val="000B3C83"/>
    <w:rsid w:val="000B4A9B"/>
    <w:rsid w:val="000B4EC3"/>
    <w:rsid w:val="000B521C"/>
    <w:rsid w:val="000B73B3"/>
    <w:rsid w:val="000B75B0"/>
    <w:rsid w:val="000C06C0"/>
    <w:rsid w:val="000C0DB5"/>
    <w:rsid w:val="000C1D13"/>
    <w:rsid w:val="000C3C27"/>
    <w:rsid w:val="000C4126"/>
    <w:rsid w:val="000C56A4"/>
    <w:rsid w:val="000C690B"/>
    <w:rsid w:val="000D08D4"/>
    <w:rsid w:val="000D42D8"/>
    <w:rsid w:val="000D533E"/>
    <w:rsid w:val="000E3578"/>
    <w:rsid w:val="000E3A4B"/>
    <w:rsid w:val="000E4F47"/>
    <w:rsid w:val="000E4F86"/>
    <w:rsid w:val="00102E9C"/>
    <w:rsid w:val="00102F53"/>
    <w:rsid w:val="00103586"/>
    <w:rsid w:val="00104C25"/>
    <w:rsid w:val="00105866"/>
    <w:rsid w:val="00105F94"/>
    <w:rsid w:val="001073A3"/>
    <w:rsid w:val="00111F7B"/>
    <w:rsid w:val="00112EA1"/>
    <w:rsid w:val="00113D57"/>
    <w:rsid w:val="00114B33"/>
    <w:rsid w:val="001161C9"/>
    <w:rsid w:val="00120B22"/>
    <w:rsid w:val="00121B78"/>
    <w:rsid w:val="00125D0B"/>
    <w:rsid w:val="00126AA5"/>
    <w:rsid w:val="001279CF"/>
    <w:rsid w:val="001317DB"/>
    <w:rsid w:val="001343D5"/>
    <w:rsid w:val="001352A2"/>
    <w:rsid w:val="00136F0C"/>
    <w:rsid w:val="00137ED6"/>
    <w:rsid w:val="00141CF2"/>
    <w:rsid w:val="00141FE9"/>
    <w:rsid w:val="001421DE"/>
    <w:rsid w:val="0014304E"/>
    <w:rsid w:val="001449E1"/>
    <w:rsid w:val="00151178"/>
    <w:rsid w:val="00151955"/>
    <w:rsid w:val="00153456"/>
    <w:rsid w:val="00153815"/>
    <w:rsid w:val="00154ED1"/>
    <w:rsid w:val="00155BF5"/>
    <w:rsid w:val="0015791A"/>
    <w:rsid w:val="001616E5"/>
    <w:rsid w:val="00164CB5"/>
    <w:rsid w:val="00164EB9"/>
    <w:rsid w:val="00166FBE"/>
    <w:rsid w:val="0016734D"/>
    <w:rsid w:val="00167AAC"/>
    <w:rsid w:val="00170902"/>
    <w:rsid w:val="00171376"/>
    <w:rsid w:val="001742A8"/>
    <w:rsid w:val="00180346"/>
    <w:rsid w:val="00182590"/>
    <w:rsid w:val="00183D49"/>
    <w:rsid w:val="00183FF9"/>
    <w:rsid w:val="001852F1"/>
    <w:rsid w:val="001856E2"/>
    <w:rsid w:val="00187DF1"/>
    <w:rsid w:val="00187F06"/>
    <w:rsid w:val="0019149E"/>
    <w:rsid w:val="0019230A"/>
    <w:rsid w:val="0019282D"/>
    <w:rsid w:val="001A0137"/>
    <w:rsid w:val="001A06C5"/>
    <w:rsid w:val="001A0702"/>
    <w:rsid w:val="001A2397"/>
    <w:rsid w:val="001A3155"/>
    <w:rsid w:val="001A3678"/>
    <w:rsid w:val="001A3C9C"/>
    <w:rsid w:val="001A7230"/>
    <w:rsid w:val="001B26C7"/>
    <w:rsid w:val="001B271F"/>
    <w:rsid w:val="001B372C"/>
    <w:rsid w:val="001B7D36"/>
    <w:rsid w:val="001C64B8"/>
    <w:rsid w:val="001C7191"/>
    <w:rsid w:val="001D00F6"/>
    <w:rsid w:val="001D02DD"/>
    <w:rsid w:val="001D1802"/>
    <w:rsid w:val="001D2CDF"/>
    <w:rsid w:val="001D2EDC"/>
    <w:rsid w:val="001D30FD"/>
    <w:rsid w:val="001D5E58"/>
    <w:rsid w:val="001D6553"/>
    <w:rsid w:val="001D7D24"/>
    <w:rsid w:val="001E0038"/>
    <w:rsid w:val="001E320F"/>
    <w:rsid w:val="001E444D"/>
    <w:rsid w:val="001E447C"/>
    <w:rsid w:val="001E65CA"/>
    <w:rsid w:val="001E760F"/>
    <w:rsid w:val="001F05C4"/>
    <w:rsid w:val="001F100A"/>
    <w:rsid w:val="001F25B7"/>
    <w:rsid w:val="001F2A9B"/>
    <w:rsid w:val="00202C81"/>
    <w:rsid w:val="002050BD"/>
    <w:rsid w:val="0020708E"/>
    <w:rsid w:val="00207E61"/>
    <w:rsid w:val="00210121"/>
    <w:rsid w:val="002102AE"/>
    <w:rsid w:val="002103DA"/>
    <w:rsid w:val="00210903"/>
    <w:rsid w:val="00210D9E"/>
    <w:rsid w:val="00211926"/>
    <w:rsid w:val="0021211B"/>
    <w:rsid w:val="00212D2A"/>
    <w:rsid w:val="00212FA6"/>
    <w:rsid w:val="00214B22"/>
    <w:rsid w:val="002152A4"/>
    <w:rsid w:val="0021772A"/>
    <w:rsid w:val="0022153E"/>
    <w:rsid w:val="00221F9A"/>
    <w:rsid w:val="00222C4B"/>
    <w:rsid w:val="00222E66"/>
    <w:rsid w:val="00223017"/>
    <w:rsid w:val="00223112"/>
    <w:rsid w:val="002236C4"/>
    <w:rsid w:val="002237A3"/>
    <w:rsid w:val="00226D4B"/>
    <w:rsid w:val="002273CD"/>
    <w:rsid w:val="0022789E"/>
    <w:rsid w:val="002309BE"/>
    <w:rsid w:val="00232502"/>
    <w:rsid w:val="00232E74"/>
    <w:rsid w:val="00234D32"/>
    <w:rsid w:val="0023663E"/>
    <w:rsid w:val="00237A1A"/>
    <w:rsid w:val="002420CF"/>
    <w:rsid w:val="00243EF3"/>
    <w:rsid w:val="002457FE"/>
    <w:rsid w:val="002477ED"/>
    <w:rsid w:val="00247FF7"/>
    <w:rsid w:val="00251088"/>
    <w:rsid w:val="00252100"/>
    <w:rsid w:val="00255270"/>
    <w:rsid w:val="002557DD"/>
    <w:rsid w:val="002564FA"/>
    <w:rsid w:val="0026032F"/>
    <w:rsid w:val="002638DA"/>
    <w:rsid w:val="00266CCF"/>
    <w:rsid w:val="0027076F"/>
    <w:rsid w:val="00274254"/>
    <w:rsid w:val="00274534"/>
    <w:rsid w:val="00282BC6"/>
    <w:rsid w:val="00282EBD"/>
    <w:rsid w:val="002911E8"/>
    <w:rsid w:val="00291A35"/>
    <w:rsid w:val="002921CB"/>
    <w:rsid w:val="00295B5B"/>
    <w:rsid w:val="002A235F"/>
    <w:rsid w:val="002A34DD"/>
    <w:rsid w:val="002A3EC0"/>
    <w:rsid w:val="002A5EEA"/>
    <w:rsid w:val="002B1207"/>
    <w:rsid w:val="002B1C3A"/>
    <w:rsid w:val="002B5CF5"/>
    <w:rsid w:val="002B6B8B"/>
    <w:rsid w:val="002C04FC"/>
    <w:rsid w:val="002C0DB6"/>
    <w:rsid w:val="002C3482"/>
    <w:rsid w:val="002D17A9"/>
    <w:rsid w:val="002D1D5E"/>
    <w:rsid w:val="002D369B"/>
    <w:rsid w:val="002D3A03"/>
    <w:rsid w:val="002D3D5D"/>
    <w:rsid w:val="002D5476"/>
    <w:rsid w:val="002E0EB8"/>
    <w:rsid w:val="002E0FBF"/>
    <w:rsid w:val="002E1134"/>
    <w:rsid w:val="002E1B6E"/>
    <w:rsid w:val="002E3FD5"/>
    <w:rsid w:val="002E58BC"/>
    <w:rsid w:val="002E5FA2"/>
    <w:rsid w:val="002E6927"/>
    <w:rsid w:val="00302862"/>
    <w:rsid w:val="00303C94"/>
    <w:rsid w:val="003059CC"/>
    <w:rsid w:val="0030762E"/>
    <w:rsid w:val="00313DBB"/>
    <w:rsid w:val="003166B7"/>
    <w:rsid w:val="00320BAD"/>
    <w:rsid w:val="003210A9"/>
    <w:rsid w:val="0032166D"/>
    <w:rsid w:val="00322FE1"/>
    <w:rsid w:val="00324DA7"/>
    <w:rsid w:val="00325125"/>
    <w:rsid w:val="003258B6"/>
    <w:rsid w:val="00330D82"/>
    <w:rsid w:val="0033235E"/>
    <w:rsid w:val="00333C29"/>
    <w:rsid w:val="00334179"/>
    <w:rsid w:val="00334921"/>
    <w:rsid w:val="00341689"/>
    <w:rsid w:val="00341963"/>
    <w:rsid w:val="00341EE1"/>
    <w:rsid w:val="00342029"/>
    <w:rsid w:val="00342783"/>
    <w:rsid w:val="003443F5"/>
    <w:rsid w:val="00350C17"/>
    <w:rsid w:val="003513F1"/>
    <w:rsid w:val="003523A2"/>
    <w:rsid w:val="003547EE"/>
    <w:rsid w:val="003552AA"/>
    <w:rsid w:val="00355D83"/>
    <w:rsid w:val="00356BCA"/>
    <w:rsid w:val="00357BE3"/>
    <w:rsid w:val="00360B92"/>
    <w:rsid w:val="00360BA0"/>
    <w:rsid w:val="003629B1"/>
    <w:rsid w:val="0036318C"/>
    <w:rsid w:val="003645D8"/>
    <w:rsid w:val="0036552C"/>
    <w:rsid w:val="00365A63"/>
    <w:rsid w:val="00366C98"/>
    <w:rsid w:val="00367EE6"/>
    <w:rsid w:val="00371E4E"/>
    <w:rsid w:val="003722EE"/>
    <w:rsid w:val="00372D12"/>
    <w:rsid w:val="00375AA4"/>
    <w:rsid w:val="00375DE3"/>
    <w:rsid w:val="00375F9D"/>
    <w:rsid w:val="00377438"/>
    <w:rsid w:val="00377AC0"/>
    <w:rsid w:val="00383C63"/>
    <w:rsid w:val="003845A1"/>
    <w:rsid w:val="003846E8"/>
    <w:rsid w:val="003860FF"/>
    <w:rsid w:val="00390BA9"/>
    <w:rsid w:val="00391017"/>
    <w:rsid w:val="003915DD"/>
    <w:rsid w:val="00391B2F"/>
    <w:rsid w:val="00391BF3"/>
    <w:rsid w:val="00392197"/>
    <w:rsid w:val="003952A5"/>
    <w:rsid w:val="003953EC"/>
    <w:rsid w:val="003953F1"/>
    <w:rsid w:val="0039699B"/>
    <w:rsid w:val="00396B29"/>
    <w:rsid w:val="00396F38"/>
    <w:rsid w:val="0039739B"/>
    <w:rsid w:val="00397A24"/>
    <w:rsid w:val="003A015A"/>
    <w:rsid w:val="003A068D"/>
    <w:rsid w:val="003A1D15"/>
    <w:rsid w:val="003A202D"/>
    <w:rsid w:val="003A2760"/>
    <w:rsid w:val="003A3420"/>
    <w:rsid w:val="003A4D8A"/>
    <w:rsid w:val="003A6C2C"/>
    <w:rsid w:val="003A7456"/>
    <w:rsid w:val="003B07F6"/>
    <w:rsid w:val="003B21AF"/>
    <w:rsid w:val="003B25BD"/>
    <w:rsid w:val="003B2646"/>
    <w:rsid w:val="003B394A"/>
    <w:rsid w:val="003B4038"/>
    <w:rsid w:val="003B5462"/>
    <w:rsid w:val="003C0E9D"/>
    <w:rsid w:val="003C2F4A"/>
    <w:rsid w:val="003C31DC"/>
    <w:rsid w:val="003C3253"/>
    <w:rsid w:val="003C6558"/>
    <w:rsid w:val="003C668F"/>
    <w:rsid w:val="003C7947"/>
    <w:rsid w:val="003D1466"/>
    <w:rsid w:val="003D203B"/>
    <w:rsid w:val="003D3A0B"/>
    <w:rsid w:val="003D72F1"/>
    <w:rsid w:val="003D7FBE"/>
    <w:rsid w:val="003E0538"/>
    <w:rsid w:val="003E1DA7"/>
    <w:rsid w:val="003E27F0"/>
    <w:rsid w:val="003E32BD"/>
    <w:rsid w:val="003F193D"/>
    <w:rsid w:val="003F2B01"/>
    <w:rsid w:val="003F3162"/>
    <w:rsid w:val="003F4BC8"/>
    <w:rsid w:val="003F7D8C"/>
    <w:rsid w:val="00400F3C"/>
    <w:rsid w:val="00402183"/>
    <w:rsid w:val="004022C1"/>
    <w:rsid w:val="00402763"/>
    <w:rsid w:val="00403909"/>
    <w:rsid w:val="00406049"/>
    <w:rsid w:val="00406A4F"/>
    <w:rsid w:val="00406E3D"/>
    <w:rsid w:val="004071B8"/>
    <w:rsid w:val="004071C2"/>
    <w:rsid w:val="00407516"/>
    <w:rsid w:val="00410D7F"/>
    <w:rsid w:val="00410DE0"/>
    <w:rsid w:val="00412B71"/>
    <w:rsid w:val="00412E12"/>
    <w:rsid w:val="00416BF6"/>
    <w:rsid w:val="00416C38"/>
    <w:rsid w:val="00416FA8"/>
    <w:rsid w:val="004176C9"/>
    <w:rsid w:val="00420F26"/>
    <w:rsid w:val="0042234D"/>
    <w:rsid w:val="004272D0"/>
    <w:rsid w:val="0043123E"/>
    <w:rsid w:val="00432F2E"/>
    <w:rsid w:val="00434044"/>
    <w:rsid w:val="0043487C"/>
    <w:rsid w:val="00434971"/>
    <w:rsid w:val="00437CAB"/>
    <w:rsid w:val="00442859"/>
    <w:rsid w:val="00442CEB"/>
    <w:rsid w:val="00444449"/>
    <w:rsid w:val="00445AC4"/>
    <w:rsid w:val="00446221"/>
    <w:rsid w:val="00447CE7"/>
    <w:rsid w:val="0045044F"/>
    <w:rsid w:val="0045106F"/>
    <w:rsid w:val="004527AB"/>
    <w:rsid w:val="00452E9A"/>
    <w:rsid w:val="00454088"/>
    <w:rsid w:val="00455AD6"/>
    <w:rsid w:val="00455E60"/>
    <w:rsid w:val="00456B9D"/>
    <w:rsid w:val="00457606"/>
    <w:rsid w:val="004606AF"/>
    <w:rsid w:val="00460B08"/>
    <w:rsid w:val="0046197C"/>
    <w:rsid w:val="0046558B"/>
    <w:rsid w:val="0047149C"/>
    <w:rsid w:val="00471806"/>
    <w:rsid w:val="00471EFE"/>
    <w:rsid w:val="00472551"/>
    <w:rsid w:val="00474019"/>
    <w:rsid w:val="00474CFD"/>
    <w:rsid w:val="0047671B"/>
    <w:rsid w:val="00483977"/>
    <w:rsid w:val="004840E1"/>
    <w:rsid w:val="00484303"/>
    <w:rsid w:val="004846F4"/>
    <w:rsid w:val="00484D9C"/>
    <w:rsid w:val="004861A1"/>
    <w:rsid w:val="0049097B"/>
    <w:rsid w:val="00491C08"/>
    <w:rsid w:val="004979A0"/>
    <w:rsid w:val="004A12CB"/>
    <w:rsid w:val="004A171A"/>
    <w:rsid w:val="004A2AB1"/>
    <w:rsid w:val="004A3769"/>
    <w:rsid w:val="004A4B79"/>
    <w:rsid w:val="004B0C4F"/>
    <w:rsid w:val="004B199E"/>
    <w:rsid w:val="004B21E6"/>
    <w:rsid w:val="004B3748"/>
    <w:rsid w:val="004B47E9"/>
    <w:rsid w:val="004B6262"/>
    <w:rsid w:val="004B7219"/>
    <w:rsid w:val="004B7995"/>
    <w:rsid w:val="004C1CEF"/>
    <w:rsid w:val="004C5A43"/>
    <w:rsid w:val="004C5B55"/>
    <w:rsid w:val="004C6F04"/>
    <w:rsid w:val="004C6FEC"/>
    <w:rsid w:val="004D0BD4"/>
    <w:rsid w:val="004D1167"/>
    <w:rsid w:val="004D393D"/>
    <w:rsid w:val="004D4E70"/>
    <w:rsid w:val="004D4ECB"/>
    <w:rsid w:val="004D58E0"/>
    <w:rsid w:val="004D6DDA"/>
    <w:rsid w:val="004D7E41"/>
    <w:rsid w:val="004E06FD"/>
    <w:rsid w:val="004E1A29"/>
    <w:rsid w:val="004E4A05"/>
    <w:rsid w:val="004E5668"/>
    <w:rsid w:val="004E7301"/>
    <w:rsid w:val="004E790B"/>
    <w:rsid w:val="004F15D1"/>
    <w:rsid w:val="004F1DFB"/>
    <w:rsid w:val="004F3F0E"/>
    <w:rsid w:val="004F59D3"/>
    <w:rsid w:val="004F69FB"/>
    <w:rsid w:val="004F7DDB"/>
    <w:rsid w:val="00501CCE"/>
    <w:rsid w:val="00502436"/>
    <w:rsid w:val="005048F3"/>
    <w:rsid w:val="0050503E"/>
    <w:rsid w:val="0051079D"/>
    <w:rsid w:val="00511651"/>
    <w:rsid w:val="00511C9D"/>
    <w:rsid w:val="00513BC6"/>
    <w:rsid w:val="00514586"/>
    <w:rsid w:val="005158C8"/>
    <w:rsid w:val="00515985"/>
    <w:rsid w:val="00522FF3"/>
    <w:rsid w:val="005236EC"/>
    <w:rsid w:val="0052424E"/>
    <w:rsid w:val="00524877"/>
    <w:rsid w:val="005251F5"/>
    <w:rsid w:val="00531827"/>
    <w:rsid w:val="005326FE"/>
    <w:rsid w:val="00532B5E"/>
    <w:rsid w:val="00532BA8"/>
    <w:rsid w:val="005353BD"/>
    <w:rsid w:val="005370EE"/>
    <w:rsid w:val="0054096A"/>
    <w:rsid w:val="0054101A"/>
    <w:rsid w:val="00541A31"/>
    <w:rsid w:val="005432DE"/>
    <w:rsid w:val="00543D34"/>
    <w:rsid w:val="005447FD"/>
    <w:rsid w:val="0054514B"/>
    <w:rsid w:val="00545428"/>
    <w:rsid w:val="00551432"/>
    <w:rsid w:val="00552DC7"/>
    <w:rsid w:val="0055352A"/>
    <w:rsid w:val="005608CD"/>
    <w:rsid w:val="005616E0"/>
    <w:rsid w:val="005622E2"/>
    <w:rsid w:val="00562885"/>
    <w:rsid w:val="00563C06"/>
    <w:rsid w:val="00566F8A"/>
    <w:rsid w:val="0056765B"/>
    <w:rsid w:val="00570765"/>
    <w:rsid w:val="005713C1"/>
    <w:rsid w:val="00573209"/>
    <w:rsid w:val="00574D78"/>
    <w:rsid w:val="005758FD"/>
    <w:rsid w:val="005760F2"/>
    <w:rsid w:val="00576A21"/>
    <w:rsid w:val="00577470"/>
    <w:rsid w:val="005778BF"/>
    <w:rsid w:val="00580F96"/>
    <w:rsid w:val="00581111"/>
    <w:rsid w:val="00583951"/>
    <w:rsid w:val="00583BDF"/>
    <w:rsid w:val="0058456C"/>
    <w:rsid w:val="0058616C"/>
    <w:rsid w:val="00586408"/>
    <w:rsid w:val="00587AD0"/>
    <w:rsid w:val="00591B83"/>
    <w:rsid w:val="005924EE"/>
    <w:rsid w:val="00593976"/>
    <w:rsid w:val="00593B8D"/>
    <w:rsid w:val="005944D1"/>
    <w:rsid w:val="005A01E7"/>
    <w:rsid w:val="005A031E"/>
    <w:rsid w:val="005A122C"/>
    <w:rsid w:val="005A191B"/>
    <w:rsid w:val="005A2CE0"/>
    <w:rsid w:val="005A37AF"/>
    <w:rsid w:val="005A43A8"/>
    <w:rsid w:val="005A47AF"/>
    <w:rsid w:val="005A4ABC"/>
    <w:rsid w:val="005A4D68"/>
    <w:rsid w:val="005A7A50"/>
    <w:rsid w:val="005A7E56"/>
    <w:rsid w:val="005B32EC"/>
    <w:rsid w:val="005B38B3"/>
    <w:rsid w:val="005B4766"/>
    <w:rsid w:val="005B4C7B"/>
    <w:rsid w:val="005B5D96"/>
    <w:rsid w:val="005B7A49"/>
    <w:rsid w:val="005C03C8"/>
    <w:rsid w:val="005C0BEC"/>
    <w:rsid w:val="005C0E08"/>
    <w:rsid w:val="005C11AC"/>
    <w:rsid w:val="005C35B5"/>
    <w:rsid w:val="005D17D8"/>
    <w:rsid w:val="005D1CDA"/>
    <w:rsid w:val="005D24E5"/>
    <w:rsid w:val="005D2B5C"/>
    <w:rsid w:val="005D532E"/>
    <w:rsid w:val="005D7177"/>
    <w:rsid w:val="005E20ED"/>
    <w:rsid w:val="005E2F74"/>
    <w:rsid w:val="005E3A8B"/>
    <w:rsid w:val="005E445E"/>
    <w:rsid w:val="005E6921"/>
    <w:rsid w:val="005F0C56"/>
    <w:rsid w:val="005F25A0"/>
    <w:rsid w:val="005F37C3"/>
    <w:rsid w:val="005F4841"/>
    <w:rsid w:val="005F59BE"/>
    <w:rsid w:val="005F6601"/>
    <w:rsid w:val="005F6E88"/>
    <w:rsid w:val="005F7AE0"/>
    <w:rsid w:val="00600946"/>
    <w:rsid w:val="00600DC2"/>
    <w:rsid w:val="00603317"/>
    <w:rsid w:val="006065C2"/>
    <w:rsid w:val="00610D06"/>
    <w:rsid w:val="0061397E"/>
    <w:rsid w:val="006158BB"/>
    <w:rsid w:val="00617457"/>
    <w:rsid w:val="00621192"/>
    <w:rsid w:val="006220B7"/>
    <w:rsid w:val="00626D43"/>
    <w:rsid w:val="006274EF"/>
    <w:rsid w:val="0063057C"/>
    <w:rsid w:val="006327C6"/>
    <w:rsid w:val="006329C8"/>
    <w:rsid w:val="006433A6"/>
    <w:rsid w:val="00645DF4"/>
    <w:rsid w:val="006473E2"/>
    <w:rsid w:val="00647642"/>
    <w:rsid w:val="00651734"/>
    <w:rsid w:val="006528AF"/>
    <w:rsid w:val="00652A01"/>
    <w:rsid w:val="006535C5"/>
    <w:rsid w:val="006543F4"/>
    <w:rsid w:val="0065480F"/>
    <w:rsid w:val="00661642"/>
    <w:rsid w:val="00663B5D"/>
    <w:rsid w:val="0066426F"/>
    <w:rsid w:val="006643E8"/>
    <w:rsid w:val="006662F1"/>
    <w:rsid w:val="006713E9"/>
    <w:rsid w:val="00673567"/>
    <w:rsid w:val="006739B7"/>
    <w:rsid w:val="00674A7F"/>
    <w:rsid w:val="0067529E"/>
    <w:rsid w:val="00675D86"/>
    <w:rsid w:val="00675E34"/>
    <w:rsid w:val="006813AB"/>
    <w:rsid w:val="006818C6"/>
    <w:rsid w:val="00681F7B"/>
    <w:rsid w:val="00681FD0"/>
    <w:rsid w:val="00684DA1"/>
    <w:rsid w:val="00685278"/>
    <w:rsid w:val="006873FE"/>
    <w:rsid w:val="006934BD"/>
    <w:rsid w:val="006941D6"/>
    <w:rsid w:val="00694D89"/>
    <w:rsid w:val="006956F3"/>
    <w:rsid w:val="0069594E"/>
    <w:rsid w:val="006963AA"/>
    <w:rsid w:val="00696C03"/>
    <w:rsid w:val="006A1301"/>
    <w:rsid w:val="006A2BEB"/>
    <w:rsid w:val="006A5A91"/>
    <w:rsid w:val="006A5E2C"/>
    <w:rsid w:val="006A5F3E"/>
    <w:rsid w:val="006A5F55"/>
    <w:rsid w:val="006A6313"/>
    <w:rsid w:val="006B0536"/>
    <w:rsid w:val="006B3127"/>
    <w:rsid w:val="006B3DEC"/>
    <w:rsid w:val="006B6EB6"/>
    <w:rsid w:val="006B7892"/>
    <w:rsid w:val="006C0F3C"/>
    <w:rsid w:val="006C16D9"/>
    <w:rsid w:val="006C3FF5"/>
    <w:rsid w:val="006C41B5"/>
    <w:rsid w:val="006C41C9"/>
    <w:rsid w:val="006C4E59"/>
    <w:rsid w:val="006D247D"/>
    <w:rsid w:val="006D25E3"/>
    <w:rsid w:val="006D2FD3"/>
    <w:rsid w:val="006D3FA7"/>
    <w:rsid w:val="006D44EA"/>
    <w:rsid w:val="006D46B6"/>
    <w:rsid w:val="006D4E2C"/>
    <w:rsid w:val="006D6514"/>
    <w:rsid w:val="006E0533"/>
    <w:rsid w:val="006E3080"/>
    <w:rsid w:val="006E369D"/>
    <w:rsid w:val="006E3FF8"/>
    <w:rsid w:val="006E43CD"/>
    <w:rsid w:val="006E4421"/>
    <w:rsid w:val="006E4714"/>
    <w:rsid w:val="006E6083"/>
    <w:rsid w:val="006E6C0F"/>
    <w:rsid w:val="006E70EC"/>
    <w:rsid w:val="006F13E5"/>
    <w:rsid w:val="006F1B45"/>
    <w:rsid w:val="006F235A"/>
    <w:rsid w:val="006F2429"/>
    <w:rsid w:val="006F2AAD"/>
    <w:rsid w:val="006F2E11"/>
    <w:rsid w:val="006F339F"/>
    <w:rsid w:val="006F481E"/>
    <w:rsid w:val="006F4966"/>
    <w:rsid w:val="006F4B40"/>
    <w:rsid w:val="006F526A"/>
    <w:rsid w:val="006F610A"/>
    <w:rsid w:val="006F6A76"/>
    <w:rsid w:val="00702FA9"/>
    <w:rsid w:val="00704E7B"/>
    <w:rsid w:val="00705850"/>
    <w:rsid w:val="00706064"/>
    <w:rsid w:val="00711BE3"/>
    <w:rsid w:val="00712A52"/>
    <w:rsid w:val="00713751"/>
    <w:rsid w:val="0071586F"/>
    <w:rsid w:val="00717A15"/>
    <w:rsid w:val="00722778"/>
    <w:rsid w:val="00724184"/>
    <w:rsid w:val="007305A0"/>
    <w:rsid w:val="007328DE"/>
    <w:rsid w:val="00732A9D"/>
    <w:rsid w:val="00732AB4"/>
    <w:rsid w:val="00732AF3"/>
    <w:rsid w:val="00733EBD"/>
    <w:rsid w:val="00734DD3"/>
    <w:rsid w:val="007354DB"/>
    <w:rsid w:val="00735618"/>
    <w:rsid w:val="007364CB"/>
    <w:rsid w:val="00736B53"/>
    <w:rsid w:val="00740C5D"/>
    <w:rsid w:val="0074289E"/>
    <w:rsid w:val="0074585F"/>
    <w:rsid w:val="00747142"/>
    <w:rsid w:val="007500BF"/>
    <w:rsid w:val="00750877"/>
    <w:rsid w:val="00750C61"/>
    <w:rsid w:val="00751CFF"/>
    <w:rsid w:val="00752F02"/>
    <w:rsid w:val="007536D4"/>
    <w:rsid w:val="007558C3"/>
    <w:rsid w:val="00756471"/>
    <w:rsid w:val="00760A32"/>
    <w:rsid w:val="00760BF1"/>
    <w:rsid w:val="00760FBE"/>
    <w:rsid w:val="00762D88"/>
    <w:rsid w:val="00763CFB"/>
    <w:rsid w:val="007640E2"/>
    <w:rsid w:val="007676BE"/>
    <w:rsid w:val="00767B72"/>
    <w:rsid w:val="007729FD"/>
    <w:rsid w:val="00774B91"/>
    <w:rsid w:val="00777643"/>
    <w:rsid w:val="00781F02"/>
    <w:rsid w:val="0078328F"/>
    <w:rsid w:val="00784EAA"/>
    <w:rsid w:val="00786C18"/>
    <w:rsid w:val="00791226"/>
    <w:rsid w:val="007914D2"/>
    <w:rsid w:val="007924CC"/>
    <w:rsid w:val="00793AA8"/>
    <w:rsid w:val="00793E84"/>
    <w:rsid w:val="00794D06"/>
    <w:rsid w:val="0079547E"/>
    <w:rsid w:val="007A0274"/>
    <w:rsid w:val="007A139B"/>
    <w:rsid w:val="007A2CB7"/>
    <w:rsid w:val="007A3B31"/>
    <w:rsid w:val="007A400E"/>
    <w:rsid w:val="007A4621"/>
    <w:rsid w:val="007A6D7E"/>
    <w:rsid w:val="007B49DF"/>
    <w:rsid w:val="007B657B"/>
    <w:rsid w:val="007C2CB0"/>
    <w:rsid w:val="007C2F3C"/>
    <w:rsid w:val="007C4B08"/>
    <w:rsid w:val="007C6056"/>
    <w:rsid w:val="007C6F62"/>
    <w:rsid w:val="007D0455"/>
    <w:rsid w:val="007D2A21"/>
    <w:rsid w:val="007D5FDF"/>
    <w:rsid w:val="007D6A73"/>
    <w:rsid w:val="007D738C"/>
    <w:rsid w:val="007E0E37"/>
    <w:rsid w:val="007E1067"/>
    <w:rsid w:val="007E22D0"/>
    <w:rsid w:val="007E25BD"/>
    <w:rsid w:val="007E34F5"/>
    <w:rsid w:val="007E64E7"/>
    <w:rsid w:val="007E6AE9"/>
    <w:rsid w:val="007E6DD0"/>
    <w:rsid w:val="007E7A87"/>
    <w:rsid w:val="007F1BEE"/>
    <w:rsid w:val="007F3247"/>
    <w:rsid w:val="007F3638"/>
    <w:rsid w:val="007F3B3C"/>
    <w:rsid w:val="007F4D36"/>
    <w:rsid w:val="007F61E9"/>
    <w:rsid w:val="007F6E48"/>
    <w:rsid w:val="00800276"/>
    <w:rsid w:val="008005E3"/>
    <w:rsid w:val="00800E24"/>
    <w:rsid w:val="008013C3"/>
    <w:rsid w:val="00801DD4"/>
    <w:rsid w:val="00801F76"/>
    <w:rsid w:val="00802F1D"/>
    <w:rsid w:val="008048E6"/>
    <w:rsid w:val="008062A2"/>
    <w:rsid w:val="00806611"/>
    <w:rsid w:val="00806DAF"/>
    <w:rsid w:val="008074F5"/>
    <w:rsid w:val="00807925"/>
    <w:rsid w:val="00814BA7"/>
    <w:rsid w:val="00816C68"/>
    <w:rsid w:val="00817DC2"/>
    <w:rsid w:val="00817E33"/>
    <w:rsid w:val="008202C8"/>
    <w:rsid w:val="00820B0F"/>
    <w:rsid w:val="008237E6"/>
    <w:rsid w:val="00824B93"/>
    <w:rsid w:val="00825E74"/>
    <w:rsid w:val="00831788"/>
    <w:rsid w:val="00831A0C"/>
    <w:rsid w:val="00832A6E"/>
    <w:rsid w:val="00832DDC"/>
    <w:rsid w:val="00836312"/>
    <w:rsid w:val="00836679"/>
    <w:rsid w:val="00841351"/>
    <w:rsid w:val="00842CB1"/>
    <w:rsid w:val="00844F35"/>
    <w:rsid w:val="00853742"/>
    <w:rsid w:val="00855326"/>
    <w:rsid w:val="0086072F"/>
    <w:rsid w:val="0086237C"/>
    <w:rsid w:val="008635C2"/>
    <w:rsid w:val="00863A5D"/>
    <w:rsid w:val="00863BD5"/>
    <w:rsid w:val="00863F13"/>
    <w:rsid w:val="008642BD"/>
    <w:rsid w:val="00866DCA"/>
    <w:rsid w:val="0087229B"/>
    <w:rsid w:val="0087552F"/>
    <w:rsid w:val="0087683B"/>
    <w:rsid w:val="00877124"/>
    <w:rsid w:val="008774F5"/>
    <w:rsid w:val="00880A02"/>
    <w:rsid w:val="008835AE"/>
    <w:rsid w:val="00884FF2"/>
    <w:rsid w:val="00885044"/>
    <w:rsid w:val="00885C6C"/>
    <w:rsid w:val="00885D68"/>
    <w:rsid w:val="00893796"/>
    <w:rsid w:val="00894986"/>
    <w:rsid w:val="00895A0A"/>
    <w:rsid w:val="008A01C6"/>
    <w:rsid w:val="008A04D0"/>
    <w:rsid w:val="008A0757"/>
    <w:rsid w:val="008A1C08"/>
    <w:rsid w:val="008A4250"/>
    <w:rsid w:val="008A4BA9"/>
    <w:rsid w:val="008B0158"/>
    <w:rsid w:val="008B1607"/>
    <w:rsid w:val="008B32BF"/>
    <w:rsid w:val="008B43B8"/>
    <w:rsid w:val="008B5F82"/>
    <w:rsid w:val="008B6490"/>
    <w:rsid w:val="008B6495"/>
    <w:rsid w:val="008B76B4"/>
    <w:rsid w:val="008B7D37"/>
    <w:rsid w:val="008B7F1A"/>
    <w:rsid w:val="008C13B7"/>
    <w:rsid w:val="008C1F87"/>
    <w:rsid w:val="008C215D"/>
    <w:rsid w:val="008C5825"/>
    <w:rsid w:val="008C5927"/>
    <w:rsid w:val="008C7D73"/>
    <w:rsid w:val="008D1FA7"/>
    <w:rsid w:val="008D253D"/>
    <w:rsid w:val="008D41A8"/>
    <w:rsid w:val="008E0E17"/>
    <w:rsid w:val="008E1493"/>
    <w:rsid w:val="008E1AA1"/>
    <w:rsid w:val="008E1F92"/>
    <w:rsid w:val="008E4BE4"/>
    <w:rsid w:val="008E4FB5"/>
    <w:rsid w:val="008E567B"/>
    <w:rsid w:val="008E5EED"/>
    <w:rsid w:val="008E7C3F"/>
    <w:rsid w:val="008E7EB0"/>
    <w:rsid w:val="008F0ED4"/>
    <w:rsid w:val="008F135F"/>
    <w:rsid w:val="008F35B1"/>
    <w:rsid w:val="008F42B7"/>
    <w:rsid w:val="008F59BD"/>
    <w:rsid w:val="008F60DF"/>
    <w:rsid w:val="008F69A2"/>
    <w:rsid w:val="008F6ACE"/>
    <w:rsid w:val="0090031C"/>
    <w:rsid w:val="00900B57"/>
    <w:rsid w:val="00902C9F"/>
    <w:rsid w:val="009115DF"/>
    <w:rsid w:val="009131F2"/>
    <w:rsid w:val="00913969"/>
    <w:rsid w:val="00915254"/>
    <w:rsid w:val="00922A40"/>
    <w:rsid w:val="00923495"/>
    <w:rsid w:val="00923C13"/>
    <w:rsid w:val="00923EB0"/>
    <w:rsid w:val="0092410C"/>
    <w:rsid w:val="0092426C"/>
    <w:rsid w:val="00924CA5"/>
    <w:rsid w:val="00924F80"/>
    <w:rsid w:val="0092689A"/>
    <w:rsid w:val="00927F62"/>
    <w:rsid w:val="009316F4"/>
    <w:rsid w:val="00932240"/>
    <w:rsid w:val="00932D74"/>
    <w:rsid w:val="00933AD0"/>
    <w:rsid w:val="009411E4"/>
    <w:rsid w:val="00942199"/>
    <w:rsid w:val="00945635"/>
    <w:rsid w:val="00950FF9"/>
    <w:rsid w:val="009524A9"/>
    <w:rsid w:val="00952977"/>
    <w:rsid w:val="00954E96"/>
    <w:rsid w:val="00955E1A"/>
    <w:rsid w:val="00956EA0"/>
    <w:rsid w:val="00957063"/>
    <w:rsid w:val="009570CF"/>
    <w:rsid w:val="009606E9"/>
    <w:rsid w:val="00962312"/>
    <w:rsid w:val="0096369B"/>
    <w:rsid w:val="0096379D"/>
    <w:rsid w:val="009649D2"/>
    <w:rsid w:val="00964FFD"/>
    <w:rsid w:val="009657D2"/>
    <w:rsid w:val="00965B15"/>
    <w:rsid w:val="00966A43"/>
    <w:rsid w:val="00967779"/>
    <w:rsid w:val="00967DB1"/>
    <w:rsid w:val="00970201"/>
    <w:rsid w:val="00971357"/>
    <w:rsid w:val="0097162E"/>
    <w:rsid w:val="0097349C"/>
    <w:rsid w:val="00974728"/>
    <w:rsid w:val="00975436"/>
    <w:rsid w:val="009755ED"/>
    <w:rsid w:val="00976E4F"/>
    <w:rsid w:val="00976EAF"/>
    <w:rsid w:val="009811D4"/>
    <w:rsid w:val="00981724"/>
    <w:rsid w:val="00982081"/>
    <w:rsid w:val="00985D93"/>
    <w:rsid w:val="0099666C"/>
    <w:rsid w:val="00997EED"/>
    <w:rsid w:val="009A03F0"/>
    <w:rsid w:val="009A0CF9"/>
    <w:rsid w:val="009A44BF"/>
    <w:rsid w:val="009A6DD1"/>
    <w:rsid w:val="009A74C5"/>
    <w:rsid w:val="009A7BCF"/>
    <w:rsid w:val="009B09F0"/>
    <w:rsid w:val="009B2F6A"/>
    <w:rsid w:val="009B53E3"/>
    <w:rsid w:val="009B6113"/>
    <w:rsid w:val="009C1CB9"/>
    <w:rsid w:val="009C375E"/>
    <w:rsid w:val="009C3763"/>
    <w:rsid w:val="009C5ADB"/>
    <w:rsid w:val="009C6891"/>
    <w:rsid w:val="009C7FA6"/>
    <w:rsid w:val="009D0F3F"/>
    <w:rsid w:val="009D2465"/>
    <w:rsid w:val="009D3C39"/>
    <w:rsid w:val="009D4196"/>
    <w:rsid w:val="009D4D46"/>
    <w:rsid w:val="009D6E37"/>
    <w:rsid w:val="009E04B4"/>
    <w:rsid w:val="009E0575"/>
    <w:rsid w:val="009E1D6E"/>
    <w:rsid w:val="009E34C0"/>
    <w:rsid w:val="009E3F03"/>
    <w:rsid w:val="009E68B7"/>
    <w:rsid w:val="009E7BE9"/>
    <w:rsid w:val="009F1CA5"/>
    <w:rsid w:val="009F2350"/>
    <w:rsid w:val="009F3FEB"/>
    <w:rsid w:val="009F6F67"/>
    <w:rsid w:val="00A00517"/>
    <w:rsid w:val="00A00795"/>
    <w:rsid w:val="00A00C85"/>
    <w:rsid w:val="00A00E7F"/>
    <w:rsid w:val="00A0336D"/>
    <w:rsid w:val="00A03725"/>
    <w:rsid w:val="00A051A9"/>
    <w:rsid w:val="00A05305"/>
    <w:rsid w:val="00A06736"/>
    <w:rsid w:val="00A1224A"/>
    <w:rsid w:val="00A204F4"/>
    <w:rsid w:val="00A206E3"/>
    <w:rsid w:val="00A254EE"/>
    <w:rsid w:val="00A25ECD"/>
    <w:rsid w:val="00A26EA1"/>
    <w:rsid w:val="00A3013C"/>
    <w:rsid w:val="00A3104C"/>
    <w:rsid w:val="00A328BD"/>
    <w:rsid w:val="00A33E40"/>
    <w:rsid w:val="00A34382"/>
    <w:rsid w:val="00A34B0F"/>
    <w:rsid w:val="00A352FB"/>
    <w:rsid w:val="00A354DF"/>
    <w:rsid w:val="00A3708F"/>
    <w:rsid w:val="00A40C64"/>
    <w:rsid w:val="00A41938"/>
    <w:rsid w:val="00A41EDD"/>
    <w:rsid w:val="00A43809"/>
    <w:rsid w:val="00A46408"/>
    <w:rsid w:val="00A53F54"/>
    <w:rsid w:val="00A55BE5"/>
    <w:rsid w:val="00A572D1"/>
    <w:rsid w:val="00A57484"/>
    <w:rsid w:val="00A57E62"/>
    <w:rsid w:val="00A607AA"/>
    <w:rsid w:val="00A6244E"/>
    <w:rsid w:val="00A62918"/>
    <w:rsid w:val="00A6322E"/>
    <w:rsid w:val="00A65C42"/>
    <w:rsid w:val="00A65F98"/>
    <w:rsid w:val="00A67281"/>
    <w:rsid w:val="00A704CB"/>
    <w:rsid w:val="00A71E2C"/>
    <w:rsid w:val="00A72750"/>
    <w:rsid w:val="00A758E4"/>
    <w:rsid w:val="00A75C80"/>
    <w:rsid w:val="00A76A93"/>
    <w:rsid w:val="00A77693"/>
    <w:rsid w:val="00A776C2"/>
    <w:rsid w:val="00A802A0"/>
    <w:rsid w:val="00A812C3"/>
    <w:rsid w:val="00A855FE"/>
    <w:rsid w:val="00A86467"/>
    <w:rsid w:val="00A87338"/>
    <w:rsid w:val="00A90CBD"/>
    <w:rsid w:val="00A912E8"/>
    <w:rsid w:val="00A92297"/>
    <w:rsid w:val="00A925AC"/>
    <w:rsid w:val="00A9361C"/>
    <w:rsid w:val="00A93F1E"/>
    <w:rsid w:val="00A94C5E"/>
    <w:rsid w:val="00A9626F"/>
    <w:rsid w:val="00A966AF"/>
    <w:rsid w:val="00A96AA9"/>
    <w:rsid w:val="00A97CEA"/>
    <w:rsid w:val="00AA030D"/>
    <w:rsid w:val="00AA072B"/>
    <w:rsid w:val="00AA124A"/>
    <w:rsid w:val="00AA7C4E"/>
    <w:rsid w:val="00AB084C"/>
    <w:rsid w:val="00AB0F60"/>
    <w:rsid w:val="00AB14B4"/>
    <w:rsid w:val="00AB14D0"/>
    <w:rsid w:val="00AB2414"/>
    <w:rsid w:val="00AB4874"/>
    <w:rsid w:val="00AB57A5"/>
    <w:rsid w:val="00AB5B9E"/>
    <w:rsid w:val="00AB74E1"/>
    <w:rsid w:val="00AB7545"/>
    <w:rsid w:val="00AB7CC4"/>
    <w:rsid w:val="00AC0716"/>
    <w:rsid w:val="00AC11D4"/>
    <w:rsid w:val="00AC18A6"/>
    <w:rsid w:val="00AC30A4"/>
    <w:rsid w:val="00AC3BC4"/>
    <w:rsid w:val="00AC3F27"/>
    <w:rsid w:val="00AD127D"/>
    <w:rsid w:val="00AD3C63"/>
    <w:rsid w:val="00AD4C0C"/>
    <w:rsid w:val="00AD5D0A"/>
    <w:rsid w:val="00AD7832"/>
    <w:rsid w:val="00AD793A"/>
    <w:rsid w:val="00AE12C1"/>
    <w:rsid w:val="00AE17ED"/>
    <w:rsid w:val="00AE43AC"/>
    <w:rsid w:val="00AE4B96"/>
    <w:rsid w:val="00AE589C"/>
    <w:rsid w:val="00AE5F69"/>
    <w:rsid w:val="00AE68E6"/>
    <w:rsid w:val="00AE6E74"/>
    <w:rsid w:val="00AE750F"/>
    <w:rsid w:val="00AE7B69"/>
    <w:rsid w:val="00AE7E9C"/>
    <w:rsid w:val="00AF0BD8"/>
    <w:rsid w:val="00AF4BE2"/>
    <w:rsid w:val="00AF5336"/>
    <w:rsid w:val="00B01928"/>
    <w:rsid w:val="00B06B69"/>
    <w:rsid w:val="00B104D6"/>
    <w:rsid w:val="00B1075F"/>
    <w:rsid w:val="00B11650"/>
    <w:rsid w:val="00B1475A"/>
    <w:rsid w:val="00B17158"/>
    <w:rsid w:val="00B21BA1"/>
    <w:rsid w:val="00B22048"/>
    <w:rsid w:val="00B22778"/>
    <w:rsid w:val="00B22EF6"/>
    <w:rsid w:val="00B24D71"/>
    <w:rsid w:val="00B24FE1"/>
    <w:rsid w:val="00B25268"/>
    <w:rsid w:val="00B26AB6"/>
    <w:rsid w:val="00B3174D"/>
    <w:rsid w:val="00B32029"/>
    <w:rsid w:val="00B322DC"/>
    <w:rsid w:val="00B33B65"/>
    <w:rsid w:val="00B345B2"/>
    <w:rsid w:val="00B34A9D"/>
    <w:rsid w:val="00B420FA"/>
    <w:rsid w:val="00B43560"/>
    <w:rsid w:val="00B438A0"/>
    <w:rsid w:val="00B45EAC"/>
    <w:rsid w:val="00B475AF"/>
    <w:rsid w:val="00B478D1"/>
    <w:rsid w:val="00B519F5"/>
    <w:rsid w:val="00B524EA"/>
    <w:rsid w:val="00B52B60"/>
    <w:rsid w:val="00B532C8"/>
    <w:rsid w:val="00B539F2"/>
    <w:rsid w:val="00B55568"/>
    <w:rsid w:val="00B56DAD"/>
    <w:rsid w:val="00B57D46"/>
    <w:rsid w:val="00B631F2"/>
    <w:rsid w:val="00B634C1"/>
    <w:rsid w:val="00B66107"/>
    <w:rsid w:val="00B66735"/>
    <w:rsid w:val="00B70935"/>
    <w:rsid w:val="00B72BB3"/>
    <w:rsid w:val="00B73778"/>
    <w:rsid w:val="00B7517D"/>
    <w:rsid w:val="00B806FA"/>
    <w:rsid w:val="00B82393"/>
    <w:rsid w:val="00B83507"/>
    <w:rsid w:val="00B8399F"/>
    <w:rsid w:val="00B8648F"/>
    <w:rsid w:val="00B911B0"/>
    <w:rsid w:val="00B930E6"/>
    <w:rsid w:val="00B955DC"/>
    <w:rsid w:val="00BA0D9C"/>
    <w:rsid w:val="00BA0DD2"/>
    <w:rsid w:val="00BA2831"/>
    <w:rsid w:val="00BA50E0"/>
    <w:rsid w:val="00BA5925"/>
    <w:rsid w:val="00BA7AF8"/>
    <w:rsid w:val="00BA7BFE"/>
    <w:rsid w:val="00BB1E7D"/>
    <w:rsid w:val="00BB35D4"/>
    <w:rsid w:val="00BB58EE"/>
    <w:rsid w:val="00BB7982"/>
    <w:rsid w:val="00BB7A91"/>
    <w:rsid w:val="00BC03C0"/>
    <w:rsid w:val="00BC0C46"/>
    <w:rsid w:val="00BC122E"/>
    <w:rsid w:val="00BC2C34"/>
    <w:rsid w:val="00BC2CF0"/>
    <w:rsid w:val="00BC6DE6"/>
    <w:rsid w:val="00BC7B9A"/>
    <w:rsid w:val="00BD23FF"/>
    <w:rsid w:val="00BD2D64"/>
    <w:rsid w:val="00BD620C"/>
    <w:rsid w:val="00BE160C"/>
    <w:rsid w:val="00BE492F"/>
    <w:rsid w:val="00BE5F88"/>
    <w:rsid w:val="00BE62BC"/>
    <w:rsid w:val="00BE69B3"/>
    <w:rsid w:val="00BE7113"/>
    <w:rsid w:val="00BF1CBE"/>
    <w:rsid w:val="00BF3295"/>
    <w:rsid w:val="00BF4BD4"/>
    <w:rsid w:val="00BF5DF5"/>
    <w:rsid w:val="00BF62BA"/>
    <w:rsid w:val="00BF72D1"/>
    <w:rsid w:val="00BF791B"/>
    <w:rsid w:val="00C005CB"/>
    <w:rsid w:val="00C01419"/>
    <w:rsid w:val="00C014BA"/>
    <w:rsid w:val="00C033B5"/>
    <w:rsid w:val="00C03473"/>
    <w:rsid w:val="00C04405"/>
    <w:rsid w:val="00C04599"/>
    <w:rsid w:val="00C053DA"/>
    <w:rsid w:val="00C06424"/>
    <w:rsid w:val="00C06446"/>
    <w:rsid w:val="00C06691"/>
    <w:rsid w:val="00C1346D"/>
    <w:rsid w:val="00C1555D"/>
    <w:rsid w:val="00C21122"/>
    <w:rsid w:val="00C21B1D"/>
    <w:rsid w:val="00C26C13"/>
    <w:rsid w:val="00C31DBB"/>
    <w:rsid w:val="00C351F2"/>
    <w:rsid w:val="00C41959"/>
    <w:rsid w:val="00C41D7A"/>
    <w:rsid w:val="00C42C20"/>
    <w:rsid w:val="00C44132"/>
    <w:rsid w:val="00C452E5"/>
    <w:rsid w:val="00C46949"/>
    <w:rsid w:val="00C50D52"/>
    <w:rsid w:val="00C535AB"/>
    <w:rsid w:val="00C56479"/>
    <w:rsid w:val="00C5696B"/>
    <w:rsid w:val="00C57D5C"/>
    <w:rsid w:val="00C61021"/>
    <w:rsid w:val="00C61680"/>
    <w:rsid w:val="00C65C24"/>
    <w:rsid w:val="00C66613"/>
    <w:rsid w:val="00C66A83"/>
    <w:rsid w:val="00C700D3"/>
    <w:rsid w:val="00C719D5"/>
    <w:rsid w:val="00C71B4F"/>
    <w:rsid w:val="00C745F7"/>
    <w:rsid w:val="00C751D8"/>
    <w:rsid w:val="00C802EF"/>
    <w:rsid w:val="00C809F5"/>
    <w:rsid w:val="00C81EE7"/>
    <w:rsid w:val="00C838CB"/>
    <w:rsid w:val="00C83B44"/>
    <w:rsid w:val="00C86337"/>
    <w:rsid w:val="00C86A18"/>
    <w:rsid w:val="00C875DE"/>
    <w:rsid w:val="00C902E9"/>
    <w:rsid w:val="00C90E55"/>
    <w:rsid w:val="00C9377F"/>
    <w:rsid w:val="00CA1AFB"/>
    <w:rsid w:val="00CA3AAB"/>
    <w:rsid w:val="00CA3D7F"/>
    <w:rsid w:val="00CA56BC"/>
    <w:rsid w:val="00CA656F"/>
    <w:rsid w:val="00CA682B"/>
    <w:rsid w:val="00CB0A9D"/>
    <w:rsid w:val="00CB2F49"/>
    <w:rsid w:val="00CB5145"/>
    <w:rsid w:val="00CB5782"/>
    <w:rsid w:val="00CB5FF0"/>
    <w:rsid w:val="00CB7B61"/>
    <w:rsid w:val="00CC15E5"/>
    <w:rsid w:val="00CC46AA"/>
    <w:rsid w:val="00CC4C8F"/>
    <w:rsid w:val="00CC564F"/>
    <w:rsid w:val="00CC58E6"/>
    <w:rsid w:val="00CC5DEA"/>
    <w:rsid w:val="00CC70BD"/>
    <w:rsid w:val="00CC77A4"/>
    <w:rsid w:val="00CD0365"/>
    <w:rsid w:val="00CD0EC4"/>
    <w:rsid w:val="00CD2DDA"/>
    <w:rsid w:val="00CD301E"/>
    <w:rsid w:val="00CD4647"/>
    <w:rsid w:val="00CD4FA4"/>
    <w:rsid w:val="00CD7864"/>
    <w:rsid w:val="00CE06A0"/>
    <w:rsid w:val="00CE346B"/>
    <w:rsid w:val="00CE3CF0"/>
    <w:rsid w:val="00CE439A"/>
    <w:rsid w:val="00CE46A3"/>
    <w:rsid w:val="00CE4BF7"/>
    <w:rsid w:val="00CE78BB"/>
    <w:rsid w:val="00CF187D"/>
    <w:rsid w:val="00CF18F4"/>
    <w:rsid w:val="00CF1CBE"/>
    <w:rsid w:val="00CF630A"/>
    <w:rsid w:val="00CF639D"/>
    <w:rsid w:val="00CF63C3"/>
    <w:rsid w:val="00CF69C7"/>
    <w:rsid w:val="00D0112A"/>
    <w:rsid w:val="00D01142"/>
    <w:rsid w:val="00D01312"/>
    <w:rsid w:val="00D038B9"/>
    <w:rsid w:val="00D03EFB"/>
    <w:rsid w:val="00D07480"/>
    <w:rsid w:val="00D07B15"/>
    <w:rsid w:val="00D07F4C"/>
    <w:rsid w:val="00D1004B"/>
    <w:rsid w:val="00D10E03"/>
    <w:rsid w:val="00D114CB"/>
    <w:rsid w:val="00D11750"/>
    <w:rsid w:val="00D12743"/>
    <w:rsid w:val="00D13DC2"/>
    <w:rsid w:val="00D17F95"/>
    <w:rsid w:val="00D22CCC"/>
    <w:rsid w:val="00D236C4"/>
    <w:rsid w:val="00D237A9"/>
    <w:rsid w:val="00D25871"/>
    <w:rsid w:val="00D2609D"/>
    <w:rsid w:val="00D27A9E"/>
    <w:rsid w:val="00D27C0F"/>
    <w:rsid w:val="00D36579"/>
    <w:rsid w:val="00D368C0"/>
    <w:rsid w:val="00D40129"/>
    <w:rsid w:val="00D40B6D"/>
    <w:rsid w:val="00D41E2D"/>
    <w:rsid w:val="00D43494"/>
    <w:rsid w:val="00D43BDF"/>
    <w:rsid w:val="00D449AF"/>
    <w:rsid w:val="00D4539D"/>
    <w:rsid w:val="00D510DA"/>
    <w:rsid w:val="00D516FD"/>
    <w:rsid w:val="00D51CFB"/>
    <w:rsid w:val="00D546C1"/>
    <w:rsid w:val="00D54E5C"/>
    <w:rsid w:val="00D5568B"/>
    <w:rsid w:val="00D5619D"/>
    <w:rsid w:val="00D56C5C"/>
    <w:rsid w:val="00D5778C"/>
    <w:rsid w:val="00D60184"/>
    <w:rsid w:val="00D60355"/>
    <w:rsid w:val="00D603C8"/>
    <w:rsid w:val="00D606C0"/>
    <w:rsid w:val="00D61DCD"/>
    <w:rsid w:val="00D637ED"/>
    <w:rsid w:val="00D63DF4"/>
    <w:rsid w:val="00D66E60"/>
    <w:rsid w:val="00D66F73"/>
    <w:rsid w:val="00D67673"/>
    <w:rsid w:val="00D72266"/>
    <w:rsid w:val="00D7679C"/>
    <w:rsid w:val="00D77BD2"/>
    <w:rsid w:val="00D77E90"/>
    <w:rsid w:val="00D809E8"/>
    <w:rsid w:val="00D82474"/>
    <w:rsid w:val="00D83054"/>
    <w:rsid w:val="00D83206"/>
    <w:rsid w:val="00D83FAE"/>
    <w:rsid w:val="00D84D6A"/>
    <w:rsid w:val="00D85324"/>
    <w:rsid w:val="00D8590A"/>
    <w:rsid w:val="00D86919"/>
    <w:rsid w:val="00D8693C"/>
    <w:rsid w:val="00D9183A"/>
    <w:rsid w:val="00D927D3"/>
    <w:rsid w:val="00D9545E"/>
    <w:rsid w:val="00D95B56"/>
    <w:rsid w:val="00D96227"/>
    <w:rsid w:val="00D9663E"/>
    <w:rsid w:val="00DA3904"/>
    <w:rsid w:val="00DA4A9D"/>
    <w:rsid w:val="00DA4C1F"/>
    <w:rsid w:val="00DA5DC4"/>
    <w:rsid w:val="00DA5E17"/>
    <w:rsid w:val="00DA78B0"/>
    <w:rsid w:val="00DB02AE"/>
    <w:rsid w:val="00DB02BE"/>
    <w:rsid w:val="00DB16E3"/>
    <w:rsid w:val="00DB1C2C"/>
    <w:rsid w:val="00DB2937"/>
    <w:rsid w:val="00DB343A"/>
    <w:rsid w:val="00DB3929"/>
    <w:rsid w:val="00DB3D8A"/>
    <w:rsid w:val="00DB407D"/>
    <w:rsid w:val="00DB5789"/>
    <w:rsid w:val="00DB5CD1"/>
    <w:rsid w:val="00DB631C"/>
    <w:rsid w:val="00DB65FB"/>
    <w:rsid w:val="00DB6737"/>
    <w:rsid w:val="00DB6AF5"/>
    <w:rsid w:val="00DB7554"/>
    <w:rsid w:val="00DC2158"/>
    <w:rsid w:val="00DC6DE5"/>
    <w:rsid w:val="00DC7C8B"/>
    <w:rsid w:val="00DD1D8E"/>
    <w:rsid w:val="00DD2F35"/>
    <w:rsid w:val="00DD3CAB"/>
    <w:rsid w:val="00DD5382"/>
    <w:rsid w:val="00DD5B14"/>
    <w:rsid w:val="00DD65A6"/>
    <w:rsid w:val="00DD66F4"/>
    <w:rsid w:val="00DE06BD"/>
    <w:rsid w:val="00DE0779"/>
    <w:rsid w:val="00DE095B"/>
    <w:rsid w:val="00DE1A6F"/>
    <w:rsid w:val="00DE4472"/>
    <w:rsid w:val="00DE4FF5"/>
    <w:rsid w:val="00DE7B49"/>
    <w:rsid w:val="00DF015F"/>
    <w:rsid w:val="00DF2BDF"/>
    <w:rsid w:val="00DF5126"/>
    <w:rsid w:val="00DF5696"/>
    <w:rsid w:val="00DF6EFD"/>
    <w:rsid w:val="00DF7CE1"/>
    <w:rsid w:val="00E01A14"/>
    <w:rsid w:val="00E05524"/>
    <w:rsid w:val="00E05C52"/>
    <w:rsid w:val="00E0645C"/>
    <w:rsid w:val="00E079E4"/>
    <w:rsid w:val="00E10130"/>
    <w:rsid w:val="00E116D9"/>
    <w:rsid w:val="00E11ED4"/>
    <w:rsid w:val="00E12269"/>
    <w:rsid w:val="00E1277D"/>
    <w:rsid w:val="00E1348D"/>
    <w:rsid w:val="00E138A5"/>
    <w:rsid w:val="00E149BF"/>
    <w:rsid w:val="00E14DD4"/>
    <w:rsid w:val="00E15F8D"/>
    <w:rsid w:val="00E17101"/>
    <w:rsid w:val="00E1794F"/>
    <w:rsid w:val="00E205AD"/>
    <w:rsid w:val="00E20C24"/>
    <w:rsid w:val="00E21FD4"/>
    <w:rsid w:val="00E22F16"/>
    <w:rsid w:val="00E239F5"/>
    <w:rsid w:val="00E270C0"/>
    <w:rsid w:val="00E27FC1"/>
    <w:rsid w:val="00E31B27"/>
    <w:rsid w:val="00E31C0F"/>
    <w:rsid w:val="00E32058"/>
    <w:rsid w:val="00E34641"/>
    <w:rsid w:val="00E3606C"/>
    <w:rsid w:val="00E42A24"/>
    <w:rsid w:val="00E452C5"/>
    <w:rsid w:val="00E45A11"/>
    <w:rsid w:val="00E45C9F"/>
    <w:rsid w:val="00E46BA6"/>
    <w:rsid w:val="00E477E4"/>
    <w:rsid w:val="00E47D0E"/>
    <w:rsid w:val="00E523FA"/>
    <w:rsid w:val="00E53C1D"/>
    <w:rsid w:val="00E55FA1"/>
    <w:rsid w:val="00E60D92"/>
    <w:rsid w:val="00E62A38"/>
    <w:rsid w:val="00E6383F"/>
    <w:rsid w:val="00E644FB"/>
    <w:rsid w:val="00E67813"/>
    <w:rsid w:val="00E70E04"/>
    <w:rsid w:val="00E721FE"/>
    <w:rsid w:val="00E722E7"/>
    <w:rsid w:val="00E72464"/>
    <w:rsid w:val="00E72F3D"/>
    <w:rsid w:val="00E74842"/>
    <w:rsid w:val="00E7518F"/>
    <w:rsid w:val="00E7575B"/>
    <w:rsid w:val="00E7723D"/>
    <w:rsid w:val="00E80056"/>
    <w:rsid w:val="00E80C57"/>
    <w:rsid w:val="00E823B0"/>
    <w:rsid w:val="00E82D04"/>
    <w:rsid w:val="00E83FDC"/>
    <w:rsid w:val="00E85742"/>
    <w:rsid w:val="00E871C8"/>
    <w:rsid w:val="00E903ED"/>
    <w:rsid w:val="00E91822"/>
    <w:rsid w:val="00E91C34"/>
    <w:rsid w:val="00E91E18"/>
    <w:rsid w:val="00E93852"/>
    <w:rsid w:val="00E9416E"/>
    <w:rsid w:val="00E9482F"/>
    <w:rsid w:val="00E95553"/>
    <w:rsid w:val="00E95999"/>
    <w:rsid w:val="00E96707"/>
    <w:rsid w:val="00E97DBB"/>
    <w:rsid w:val="00EA02AC"/>
    <w:rsid w:val="00EA0B15"/>
    <w:rsid w:val="00EA0BF0"/>
    <w:rsid w:val="00EA0D0C"/>
    <w:rsid w:val="00EA0E8D"/>
    <w:rsid w:val="00EA118B"/>
    <w:rsid w:val="00EA2F27"/>
    <w:rsid w:val="00EA31CC"/>
    <w:rsid w:val="00EA365A"/>
    <w:rsid w:val="00EA4BD4"/>
    <w:rsid w:val="00EA4F84"/>
    <w:rsid w:val="00EA5AC0"/>
    <w:rsid w:val="00EB0BF6"/>
    <w:rsid w:val="00EB17BE"/>
    <w:rsid w:val="00EB3EDB"/>
    <w:rsid w:val="00EB5428"/>
    <w:rsid w:val="00EB5C5B"/>
    <w:rsid w:val="00EB646D"/>
    <w:rsid w:val="00EB732D"/>
    <w:rsid w:val="00EB7880"/>
    <w:rsid w:val="00EB7A6B"/>
    <w:rsid w:val="00EC430B"/>
    <w:rsid w:val="00EC50C1"/>
    <w:rsid w:val="00EC5B26"/>
    <w:rsid w:val="00EC6D03"/>
    <w:rsid w:val="00EC6F36"/>
    <w:rsid w:val="00ED2F9F"/>
    <w:rsid w:val="00ED4942"/>
    <w:rsid w:val="00ED5530"/>
    <w:rsid w:val="00ED65E0"/>
    <w:rsid w:val="00ED71D1"/>
    <w:rsid w:val="00EE0DF9"/>
    <w:rsid w:val="00EE1A02"/>
    <w:rsid w:val="00EE3223"/>
    <w:rsid w:val="00EE42C8"/>
    <w:rsid w:val="00EE7837"/>
    <w:rsid w:val="00EF015F"/>
    <w:rsid w:val="00EF06CB"/>
    <w:rsid w:val="00EF06CE"/>
    <w:rsid w:val="00EF0D5C"/>
    <w:rsid w:val="00F012D6"/>
    <w:rsid w:val="00F01F8E"/>
    <w:rsid w:val="00F0289C"/>
    <w:rsid w:val="00F03B53"/>
    <w:rsid w:val="00F03BC6"/>
    <w:rsid w:val="00F10336"/>
    <w:rsid w:val="00F104D0"/>
    <w:rsid w:val="00F12D37"/>
    <w:rsid w:val="00F13FB4"/>
    <w:rsid w:val="00F15AF7"/>
    <w:rsid w:val="00F16929"/>
    <w:rsid w:val="00F2058E"/>
    <w:rsid w:val="00F22563"/>
    <w:rsid w:val="00F234C0"/>
    <w:rsid w:val="00F270ED"/>
    <w:rsid w:val="00F30D80"/>
    <w:rsid w:val="00F30E07"/>
    <w:rsid w:val="00F361EC"/>
    <w:rsid w:val="00F369BA"/>
    <w:rsid w:val="00F417FF"/>
    <w:rsid w:val="00F41C78"/>
    <w:rsid w:val="00F421A9"/>
    <w:rsid w:val="00F433EF"/>
    <w:rsid w:val="00F4359C"/>
    <w:rsid w:val="00F44370"/>
    <w:rsid w:val="00F446CD"/>
    <w:rsid w:val="00F46A3A"/>
    <w:rsid w:val="00F4749A"/>
    <w:rsid w:val="00F503A9"/>
    <w:rsid w:val="00F50ACD"/>
    <w:rsid w:val="00F512B1"/>
    <w:rsid w:val="00F522D2"/>
    <w:rsid w:val="00F52312"/>
    <w:rsid w:val="00F544FB"/>
    <w:rsid w:val="00F557D6"/>
    <w:rsid w:val="00F621B7"/>
    <w:rsid w:val="00F63FD9"/>
    <w:rsid w:val="00F64D37"/>
    <w:rsid w:val="00F65109"/>
    <w:rsid w:val="00F728FC"/>
    <w:rsid w:val="00F73813"/>
    <w:rsid w:val="00F75ABE"/>
    <w:rsid w:val="00F8247A"/>
    <w:rsid w:val="00F82C41"/>
    <w:rsid w:val="00F84728"/>
    <w:rsid w:val="00F84953"/>
    <w:rsid w:val="00F85F4E"/>
    <w:rsid w:val="00F90063"/>
    <w:rsid w:val="00F91636"/>
    <w:rsid w:val="00F91CF8"/>
    <w:rsid w:val="00F92379"/>
    <w:rsid w:val="00F939F1"/>
    <w:rsid w:val="00F93D16"/>
    <w:rsid w:val="00F93E08"/>
    <w:rsid w:val="00F95D3A"/>
    <w:rsid w:val="00F95EB9"/>
    <w:rsid w:val="00FA03AA"/>
    <w:rsid w:val="00FA29DA"/>
    <w:rsid w:val="00FA397A"/>
    <w:rsid w:val="00FA5B0B"/>
    <w:rsid w:val="00FA6883"/>
    <w:rsid w:val="00FB2DE4"/>
    <w:rsid w:val="00FB5D12"/>
    <w:rsid w:val="00FB7555"/>
    <w:rsid w:val="00FB7AF4"/>
    <w:rsid w:val="00FC1B86"/>
    <w:rsid w:val="00FC1E7A"/>
    <w:rsid w:val="00FC2E76"/>
    <w:rsid w:val="00FC51B7"/>
    <w:rsid w:val="00FC5397"/>
    <w:rsid w:val="00FC5C97"/>
    <w:rsid w:val="00FC5D93"/>
    <w:rsid w:val="00FC69B5"/>
    <w:rsid w:val="00FC7478"/>
    <w:rsid w:val="00FD000D"/>
    <w:rsid w:val="00FD240D"/>
    <w:rsid w:val="00FD2B56"/>
    <w:rsid w:val="00FD2DC9"/>
    <w:rsid w:val="00FD3B38"/>
    <w:rsid w:val="00FD4401"/>
    <w:rsid w:val="00FD4AE6"/>
    <w:rsid w:val="00FD4B62"/>
    <w:rsid w:val="00FD6466"/>
    <w:rsid w:val="00FD6D61"/>
    <w:rsid w:val="00FD7724"/>
    <w:rsid w:val="00FE0E27"/>
    <w:rsid w:val="00FE1FF3"/>
    <w:rsid w:val="00FE39C8"/>
    <w:rsid w:val="00FE58A8"/>
    <w:rsid w:val="00FE5ED3"/>
    <w:rsid w:val="00FE60DC"/>
    <w:rsid w:val="00FF0B94"/>
    <w:rsid w:val="00FF3387"/>
    <w:rsid w:val="00FF72C0"/>
    <w:rsid w:val="00FF7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33A8B95"/>
  <w15:chartTrackingRefBased/>
  <w15:docId w15:val="{2178E498-5DF7-F748-8A72-D4013CFB9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pPr>
  </w:style>
  <w:style w:type="paragraph" w:styleId="1">
    <w:name w:val="heading 1"/>
    <w:basedOn w:val="a1"/>
    <w:next w:val="a1"/>
    <w:link w:val="10"/>
    <w:uiPriority w:val="9"/>
    <w:qFormat/>
    <w:rsid w:val="00E70E0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1"/>
    <w:next w:val="a1"/>
    <w:link w:val="22"/>
    <w:uiPriority w:val="9"/>
    <w:unhideWhenUsed/>
    <w:qFormat/>
    <w:rsid w:val="00E70E0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1"/>
    <w:next w:val="a1"/>
    <w:link w:val="32"/>
    <w:uiPriority w:val="9"/>
    <w:unhideWhenUsed/>
    <w:qFormat/>
    <w:rsid w:val="00E70E0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1"/>
    <w:next w:val="a1"/>
    <w:link w:val="40"/>
    <w:uiPriority w:val="9"/>
    <w:semiHidden/>
    <w:unhideWhenUsed/>
    <w:qFormat/>
    <w:rsid w:val="00E70E0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1"/>
    <w:next w:val="a1"/>
    <w:link w:val="50"/>
    <w:uiPriority w:val="9"/>
    <w:semiHidden/>
    <w:unhideWhenUsed/>
    <w:qFormat/>
    <w:rsid w:val="00E70E04"/>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iPriority w:val="9"/>
    <w:semiHidden/>
    <w:unhideWhenUsed/>
    <w:qFormat/>
    <w:rsid w:val="00E70E04"/>
    <w:pPr>
      <w:keepNext/>
      <w:keepLines/>
      <w:spacing w:before="40" w:after="0"/>
      <w:outlineLvl w:val="5"/>
    </w:pPr>
    <w:rPr>
      <w:rFonts w:eastAsiaTheme="majorEastAsia" w:cstheme="majorBidi"/>
      <w:color w:val="595959" w:themeColor="text1" w:themeTint="A6"/>
    </w:rPr>
  </w:style>
  <w:style w:type="paragraph" w:styleId="7">
    <w:name w:val="heading 7"/>
    <w:basedOn w:val="a1"/>
    <w:next w:val="a1"/>
    <w:link w:val="70"/>
    <w:uiPriority w:val="9"/>
    <w:semiHidden/>
    <w:unhideWhenUsed/>
    <w:qFormat/>
    <w:rsid w:val="00E70E0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E70E0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1"/>
    <w:next w:val="a1"/>
    <w:link w:val="90"/>
    <w:uiPriority w:val="9"/>
    <w:semiHidden/>
    <w:unhideWhenUsed/>
    <w:qFormat/>
    <w:rsid w:val="00E70E04"/>
    <w:pPr>
      <w:keepNext/>
      <w:keepLines/>
      <w:spacing w:before="40" w:after="0"/>
      <w:ind w:leftChars="300" w:left="30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uiPriority w:val="9"/>
    <w:rsid w:val="00E70E04"/>
    <w:rPr>
      <w:rFonts w:asciiTheme="majorHAnsi" w:eastAsiaTheme="majorEastAsia" w:hAnsiTheme="majorHAnsi" w:cstheme="majorBidi"/>
      <w:color w:val="0F4761" w:themeColor="accent1" w:themeShade="BF"/>
      <w:sz w:val="48"/>
      <w:szCs w:val="48"/>
    </w:rPr>
  </w:style>
  <w:style w:type="character" w:customStyle="1" w:styleId="22">
    <w:name w:val="標題 2 字元"/>
    <w:basedOn w:val="a2"/>
    <w:link w:val="21"/>
    <w:uiPriority w:val="9"/>
    <w:rsid w:val="00E70E04"/>
    <w:rPr>
      <w:rFonts w:asciiTheme="majorHAnsi" w:eastAsiaTheme="majorEastAsia" w:hAnsiTheme="majorHAnsi" w:cstheme="majorBidi"/>
      <w:color w:val="0F4761" w:themeColor="accent1" w:themeShade="BF"/>
      <w:sz w:val="40"/>
      <w:szCs w:val="40"/>
    </w:rPr>
  </w:style>
  <w:style w:type="character" w:customStyle="1" w:styleId="32">
    <w:name w:val="標題 3 字元"/>
    <w:basedOn w:val="a2"/>
    <w:link w:val="31"/>
    <w:uiPriority w:val="9"/>
    <w:rsid w:val="00E70E04"/>
    <w:rPr>
      <w:rFonts w:eastAsiaTheme="majorEastAsia" w:cstheme="majorBidi"/>
      <w:color w:val="0F4761" w:themeColor="accent1" w:themeShade="BF"/>
      <w:sz w:val="32"/>
      <w:szCs w:val="32"/>
    </w:rPr>
  </w:style>
  <w:style w:type="character" w:customStyle="1" w:styleId="40">
    <w:name w:val="標題 4 字元"/>
    <w:basedOn w:val="a2"/>
    <w:link w:val="4"/>
    <w:uiPriority w:val="9"/>
    <w:semiHidden/>
    <w:rsid w:val="00E70E04"/>
    <w:rPr>
      <w:rFonts w:eastAsiaTheme="majorEastAsia" w:cstheme="majorBidi"/>
      <w:color w:val="0F4761" w:themeColor="accent1" w:themeShade="BF"/>
      <w:sz w:val="28"/>
      <w:szCs w:val="28"/>
    </w:rPr>
  </w:style>
  <w:style w:type="character" w:customStyle="1" w:styleId="50">
    <w:name w:val="標題 5 字元"/>
    <w:basedOn w:val="a2"/>
    <w:link w:val="5"/>
    <w:uiPriority w:val="9"/>
    <w:semiHidden/>
    <w:rsid w:val="00E70E04"/>
    <w:rPr>
      <w:rFonts w:eastAsiaTheme="majorEastAsia" w:cstheme="majorBidi"/>
      <w:color w:val="0F4761" w:themeColor="accent1" w:themeShade="BF"/>
    </w:rPr>
  </w:style>
  <w:style w:type="character" w:customStyle="1" w:styleId="60">
    <w:name w:val="標題 6 字元"/>
    <w:basedOn w:val="a2"/>
    <w:link w:val="6"/>
    <w:uiPriority w:val="9"/>
    <w:semiHidden/>
    <w:rsid w:val="00E70E04"/>
    <w:rPr>
      <w:rFonts w:eastAsiaTheme="majorEastAsia" w:cstheme="majorBidi"/>
      <w:color w:val="595959" w:themeColor="text1" w:themeTint="A6"/>
    </w:rPr>
  </w:style>
  <w:style w:type="character" w:customStyle="1" w:styleId="70">
    <w:name w:val="標題 7 字元"/>
    <w:basedOn w:val="a2"/>
    <w:link w:val="7"/>
    <w:uiPriority w:val="9"/>
    <w:semiHidden/>
    <w:rsid w:val="00E70E04"/>
    <w:rPr>
      <w:rFonts w:eastAsiaTheme="majorEastAsia" w:cstheme="majorBidi"/>
      <w:color w:val="595959" w:themeColor="text1" w:themeTint="A6"/>
    </w:rPr>
  </w:style>
  <w:style w:type="character" w:customStyle="1" w:styleId="80">
    <w:name w:val="標題 8 字元"/>
    <w:basedOn w:val="a2"/>
    <w:link w:val="8"/>
    <w:uiPriority w:val="9"/>
    <w:semiHidden/>
    <w:rsid w:val="00E70E04"/>
    <w:rPr>
      <w:rFonts w:eastAsiaTheme="majorEastAsia" w:cstheme="majorBidi"/>
      <w:color w:val="272727" w:themeColor="text1" w:themeTint="D8"/>
    </w:rPr>
  </w:style>
  <w:style w:type="character" w:customStyle="1" w:styleId="90">
    <w:name w:val="標題 9 字元"/>
    <w:basedOn w:val="a2"/>
    <w:link w:val="9"/>
    <w:uiPriority w:val="9"/>
    <w:semiHidden/>
    <w:rsid w:val="00E70E04"/>
    <w:rPr>
      <w:rFonts w:eastAsiaTheme="majorEastAsia" w:cstheme="majorBidi"/>
      <w:color w:val="272727" w:themeColor="text1" w:themeTint="D8"/>
    </w:rPr>
  </w:style>
  <w:style w:type="paragraph" w:styleId="a5">
    <w:name w:val="Title"/>
    <w:basedOn w:val="a1"/>
    <w:next w:val="a1"/>
    <w:link w:val="a6"/>
    <w:uiPriority w:val="10"/>
    <w:qFormat/>
    <w:rsid w:val="00E70E0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6">
    <w:name w:val="標題 字元"/>
    <w:basedOn w:val="a2"/>
    <w:link w:val="a5"/>
    <w:uiPriority w:val="10"/>
    <w:rsid w:val="00E70E04"/>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E70E0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標題 字元"/>
    <w:basedOn w:val="a2"/>
    <w:link w:val="a7"/>
    <w:uiPriority w:val="11"/>
    <w:rsid w:val="00E70E04"/>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E70E04"/>
    <w:pPr>
      <w:spacing w:before="160"/>
      <w:jc w:val="center"/>
    </w:pPr>
    <w:rPr>
      <w:i/>
      <w:iCs/>
      <w:color w:val="404040" w:themeColor="text1" w:themeTint="BF"/>
    </w:rPr>
  </w:style>
  <w:style w:type="character" w:customStyle="1" w:styleId="aa">
    <w:name w:val="引文 字元"/>
    <w:basedOn w:val="a2"/>
    <w:link w:val="a9"/>
    <w:uiPriority w:val="29"/>
    <w:rsid w:val="00E70E04"/>
    <w:rPr>
      <w:i/>
      <w:iCs/>
      <w:color w:val="404040" w:themeColor="text1" w:themeTint="BF"/>
    </w:rPr>
  </w:style>
  <w:style w:type="paragraph" w:styleId="ab">
    <w:name w:val="List Paragraph"/>
    <w:basedOn w:val="a1"/>
    <w:uiPriority w:val="34"/>
    <w:qFormat/>
    <w:rsid w:val="00E70E04"/>
    <w:pPr>
      <w:ind w:left="720"/>
      <w:contextualSpacing/>
    </w:pPr>
  </w:style>
  <w:style w:type="character" w:styleId="ac">
    <w:name w:val="Intense Emphasis"/>
    <w:basedOn w:val="a2"/>
    <w:uiPriority w:val="21"/>
    <w:qFormat/>
    <w:rsid w:val="00E70E04"/>
    <w:rPr>
      <w:i/>
      <w:iCs/>
      <w:color w:val="0F4761" w:themeColor="accent1" w:themeShade="BF"/>
    </w:rPr>
  </w:style>
  <w:style w:type="paragraph" w:styleId="ad">
    <w:name w:val="Intense Quote"/>
    <w:basedOn w:val="a1"/>
    <w:next w:val="a1"/>
    <w:link w:val="ae"/>
    <w:uiPriority w:val="30"/>
    <w:qFormat/>
    <w:rsid w:val="00E70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鮮明引文 字元"/>
    <w:basedOn w:val="a2"/>
    <w:link w:val="ad"/>
    <w:uiPriority w:val="30"/>
    <w:rsid w:val="00E70E04"/>
    <w:rPr>
      <w:i/>
      <w:iCs/>
      <w:color w:val="0F4761" w:themeColor="accent1" w:themeShade="BF"/>
    </w:rPr>
  </w:style>
  <w:style w:type="character" w:styleId="af">
    <w:name w:val="Intense Reference"/>
    <w:basedOn w:val="a2"/>
    <w:uiPriority w:val="32"/>
    <w:qFormat/>
    <w:rsid w:val="00E70E04"/>
    <w:rPr>
      <w:b/>
      <w:bCs/>
      <w:smallCaps/>
      <w:color w:val="0F4761" w:themeColor="accent1" w:themeShade="BF"/>
      <w:spacing w:val="5"/>
    </w:rPr>
  </w:style>
  <w:style w:type="table" w:styleId="af0">
    <w:name w:val="Table Grid"/>
    <w:basedOn w:val="a3"/>
    <w:uiPriority w:val="59"/>
    <w:rsid w:val="00357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1"/>
    <w:link w:val="af2"/>
    <w:uiPriority w:val="99"/>
    <w:unhideWhenUsed/>
    <w:rsid w:val="00357BE3"/>
    <w:pPr>
      <w:widowControl/>
      <w:tabs>
        <w:tab w:val="center" w:pos="4680"/>
        <w:tab w:val="right" w:pos="9360"/>
      </w:tabs>
      <w:spacing w:after="0" w:line="240" w:lineRule="auto"/>
    </w:pPr>
    <w:rPr>
      <w:kern w:val="0"/>
      <w:sz w:val="22"/>
      <w:szCs w:val="22"/>
      <w:lang w:eastAsia="en-US"/>
      <w14:ligatures w14:val="none"/>
    </w:rPr>
  </w:style>
  <w:style w:type="character" w:customStyle="1" w:styleId="af2">
    <w:name w:val="頁首 字元"/>
    <w:basedOn w:val="a2"/>
    <w:link w:val="af1"/>
    <w:uiPriority w:val="99"/>
    <w:rsid w:val="00357BE3"/>
    <w:rPr>
      <w:kern w:val="0"/>
      <w:sz w:val="22"/>
      <w:szCs w:val="22"/>
      <w:lang w:eastAsia="en-US"/>
      <w14:ligatures w14:val="none"/>
    </w:rPr>
  </w:style>
  <w:style w:type="paragraph" w:styleId="af3">
    <w:name w:val="footer"/>
    <w:basedOn w:val="a1"/>
    <w:link w:val="af4"/>
    <w:uiPriority w:val="99"/>
    <w:unhideWhenUsed/>
    <w:rsid w:val="00357BE3"/>
    <w:pPr>
      <w:widowControl/>
      <w:tabs>
        <w:tab w:val="center" w:pos="4680"/>
        <w:tab w:val="right" w:pos="9360"/>
      </w:tabs>
      <w:spacing w:after="0" w:line="240" w:lineRule="auto"/>
    </w:pPr>
    <w:rPr>
      <w:kern w:val="0"/>
      <w:sz w:val="22"/>
      <w:szCs w:val="22"/>
      <w:lang w:eastAsia="en-US"/>
      <w14:ligatures w14:val="none"/>
    </w:rPr>
  </w:style>
  <w:style w:type="character" w:customStyle="1" w:styleId="af4">
    <w:name w:val="頁尾 字元"/>
    <w:basedOn w:val="a2"/>
    <w:link w:val="af3"/>
    <w:uiPriority w:val="99"/>
    <w:rsid w:val="00357BE3"/>
    <w:rPr>
      <w:kern w:val="0"/>
      <w:sz w:val="22"/>
      <w:szCs w:val="22"/>
      <w:lang w:eastAsia="en-US"/>
      <w14:ligatures w14:val="none"/>
    </w:rPr>
  </w:style>
  <w:style w:type="paragraph" w:styleId="af5">
    <w:name w:val="No Spacing"/>
    <w:uiPriority w:val="1"/>
    <w:qFormat/>
    <w:rsid w:val="00357BE3"/>
    <w:pPr>
      <w:spacing w:after="0" w:line="240" w:lineRule="auto"/>
    </w:pPr>
    <w:rPr>
      <w:kern w:val="0"/>
      <w:sz w:val="22"/>
      <w:szCs w:val="22"/>
      <w:lang w:eastAsia="en-US"/>
      <w14:ligatures w14:val="none"/>
    </w:rPr>
  </w:style>
  <w:style w:type="paragraph" w:styleId="af6">
    <w:name w:val="Body Text"/>
    <w:basedOn w:val="a1"/>
    <w:link w:val="af7"/>
    <w:uiPriority w:val="99"/>
    <w:unhideWhenUsed/>
    <w:rsid w:val="00357BE3"/>
    <w:pPr>
      <w:widowControl/>
      <w:spacing w:after="120" w:line="276" w:lineRule="auto"/>
    </w:pPr>
    <w:rPr>
      <w:kern w:val="0"/>
      <w:sz w:val="22"/>
      <w:szCs w:val="22"/>
      <w:lang w:eastAsia="en-US"/>
      <w14:ligatures w14:val="none"/>
    </w:rPr>
  </w:style>
  <w:style w:type="character" w:customStyle="1" w:styleId="af7">
    <w:name w:val="本文 字元"/>
    <w:basedOn w:val="a2"/>
    <w:link w:val="af6"/>
    <w:uiPriority w:val="99"/>
    <w:rsid w:val="00357BE3"/>
    <w:rPr>
      <w:kern w:val="0"/>
      <w:sz w:val="22"/>
      <w:szCs w:val="22"/>
      <w:lang w:eastAsia="en-US"/>
      <w14:ligatures w14:val="none"/>
    </w:rPr>
  </w:style>
  <w:style w:type="paragraph" w:styleId="23">
    <w:name w:val="Body Text 2"/>
    <w:basedOn w:val="a1"/>
    <w:link w:val="24"/>
    <w:uiPriority w:val="99"/>
    <w:unhideWhenUsed/>
    <w:rsid w:val="00357BE3"/>
    <w:pPr>
      <w:widowControl/>
      <w:spacing w:after="120" w:line="480" w:lineRule="auto"/>
    </w:pPr>
    <w:rPr>
      <w:kern w:val="0"/>
      <w:sz w:val="22"/>
      <w:szCs w:val="22"/>
      <w:lang w:eastAsia="en-US"/>
      <w14:ligatures w14:val="none"/>
    </w:rPr>
  </w:style>
  <w:style w:type="character" w:customStyle="1" w:styleId="24">
    <w:name w:val="本文 2 字元"/>
    <w:basedOn w:val="a2"/>
    <w:link w:val="23"/>
    <w:uiPriority w:val="99"/>
    <w:rsid w:val="00357BE3"/>
    <w:rPr>
      <w:kern w:val="0"/>
      <w:sz w:val="22"/>
      <w:szCs w:val="22"/>
      <w:lang w:eastAsia="en-US"/>
      <w14:ligatures w14:val="none"/>
    </w:rPr>
  </w:style>
  <w:style w:type="paragraph" w:styleId="33">
    <w:name w:val="Body Text 3"/>
    <w:basedOn w:val="a1"/>
    <w:link w:val="34"/>
    <w:uiPriority w:val="99"/>
    <w:unhideWhenUsed/>
    <w:rsid w:val="00357BE3"/>
    <w:pPr>
      <w:widowControl/>
      <w:spacing w:after="120" w:line="276" w:lineRule="auto"/>
    </w:pPr>
    <w:rPr>
      <w:kern w:val="0"/>
      <w:sz w:val="16"/>
      <w:szCs w:val="16"/>
      <w:lang w:eastAsia="en-US"/>
      <w14:ligatures w14:val="none"/>
    </w:rPr>
  </w:style>
  <w:style w:type="character" w:customStyle="1" w:styleId="34">
    <w:name w:val="本文 3 字元"/>
    <w:basedOn w:val="a2"/>
    <w:link w:val="33"/>
    <w:uiPriority w:val="99"/>
    <w:rsid w:val="00357BE3"/>
    <w:rPr>
      <w:kern w:val="0"/>
      <w:sz w:val="16"/>
      <w:szCs w:val="16"/>
      <w:lang w:eastAsia="en-US"/>
      <w14:ligatures w14:val="none"/>
    </w:rPr>
  </w:style>
  <w:style w:type="paragraph" w:styleId="af8">
    <w:name w:val="List"/>
    <w:basedOn w:val="a1"/>
    <w:uiPriority w:val="99"/>
    <w:unhideWhenUsed/>
    <w:rsid w:val="00357BE3"/>
    <w:pPr>
      <w:widowControl/>
      <w:spacing w:after="200" w:line="276" w:lineRule="auto"/>
      <w:ind w:left="360" w:hanging="360"/>
      <w:contextualSpacing/>
    </w:pPr>
    <w:rPr>
      <w:kern w:val="0"/>
      <w:sz w:val="22"/>
      <w:szCs w:val="22"/>
      <w:lang w:eastAsia="en-US"/>
      <w14:ligatures w14:val="none"/>
    </w:rPr>
  </w:style>
  <w:style w:type="paragraph" w:styleId="25">
    <w:name w:val="List 2"/>
    <w:basedOn w:val="a1"/>
    <w:uiPriority w:val="99"/>
    <w:unhideWhenUsed/>
    <w:rsid w:val="00357BE3"/>
    <w:pPr>
      <w:widowControl/>
      <w:spacing w:after="200" w:line="276" w:lineRule="auto"/>
      <w:ind w:left="720" w:hanging="360"/>
      <w:contextualSpacing/>
    </w:pPr>
    <w:rPr>
      <w:kern w:val="0"/>
      <w:sz w:val="22"/>
      <w:szCs w:val="22"/>
      <w:lang w:eastAsia="en-US"/>
      <w14:ligatures w14:val="none"/>
    </w:rPr>
  </w:style>
  <w:style w:type="paragraph" w:styleId="35">
    <w:name w:val="List 3"/>
    <w:basedOn w:val="a1"/>
    <w:uiPriority w:val="99"/>
    <w:unhideWhenUsed/>
    <w:rsid w:val="00357BE3"/>
    <w:pPr>
      <w:widowControl/>
      <w:spacing w:after="200" w:line="276" w:lineRule="auto"/>
      <w:ind w:left="1080" w:hanging="360"/>
      <w:contextualSpacing/>
    </w:pPr>
    <w:rPr>
      <w:kern w:val="0"/>
      <w:sz w:val="22"/>
      <w:szCs w:val="22"/>
      <w:lang w:eastAsia="en-US"/>
      <w14:ligatures w14:val="none"/>
    </w:rPr>
  </w:style>
  <w:style w:type="paragraph" w:styleId="a0">
    <w:name w:val="List Bullet"/>
    <w:basedOn w:val="a1"/>
    <w:uiPriority w:val="99"/>
    <w:unhideWhenUsed/>
    <w:rsid w:val="00357BE3"/>
    <w:pPr>
      <w:widowControl/>
      <w:numPr>
        <w:numId w:val="1"/>
      </w:numPr>
      <w:spacing w:after="200" w:line="276" w:lineRule="auto"/>
      <w:contextualSpacing/>
    </w:pPr>
    <w:rPr>
      <w:kern w:val="0"/>
      <w:sz w:val="22"/>
      <w:szCs w:val="22"/>
      <w:lang w:eastAsia="en-US"/>
      <w14:ligatures w14:val="none"/>
    </w:rPr>
  </w:style>
  <w:style w:type="paragraph" w:styleId="20">
    <w:name w:val="List Bullet 2"/>
    <w:basedOn w:val="a1"/>
    <w:uiPriority w:val="99"/>
    <w:unhideWhenUsed/>
    <w:rsid w:val="00357BE3"/>
    <w:pPr>
      <w:widowControl/>
      <w:numPr>
        <w:numId w:val="2"/>
      </w:numPr>
      <w:spacing w:after="200" w:line="276" w:lineRule="auto"/>
      <w:contextualSpacing/>
    </w:pPr>
    <w:rPr>
      <w:kern w:val="0"/>
      <w:sz w:val="22"/>
      <w:szCs w:val="22"/>
      <w:lang w:eastAsia="en-US"/>
      <w14:ligatures w14:val="none"/>
    </w:rPr>
  </w:style>
  <w:style w:type="paragraph" w:styleId="30">
    <w:name w:val="List Bullet 3"/>
    <w:basedOn w:val="a1"/>
    <w:uiPriority w:val="99"/>
    <w:unhideWhenUsed/>
    <w:rsid w:val="00357BE3"/>
    <w:pPr>
      <w:widowControl/>
      <w:numPr>
        <w:numId w:val="3"/>
      </w:numPr>
      <w:spacing w:after="200" w:line="276" w:lineRule="auto"/>
      <w:contextualSpacing/>
    </w:pPr>
    <w:rPr>
      <w:kern w:val="0"/>
      <w:sz w:val="22"/>
      <w:szCs w:val="22"/>
      <w:lang w:eastAsia="en-US"/>
      <w14:ligatures w14:val="none"/>
    </w:rPr>
  </w:style>
  <w:style w:type="paragraph" w:styleId="a">
    <w:name w:val="List Number"/>
    <w:basedOn w:val="a1"/>
    <w:uiPriority w:val="99"/>
    <w:unhideWhenUsed/>
    <w:rsid w:val="00357BE3"/>
    <w:pPr>
      <w:widowControl/>
      <w:numPr>
        <w:numId w:val="5"/>
      </w:numPr>
      <w:spacing w:after="200" w:line="276" w:lineRule="auto"/>
      <w:contextualSpacing/>
    </w:pPr>
    <w:rPr>
      <w:kern w:val="0"/>
      <w:sz w:val="22"/>
      <w:szCs w:val="22"/>
      <w:lang w:eastAsia="en-US"/>
      <w14:ligatures w14:val="none"/>
    </w:rPr>
  </w:style>
  <w:style w:type="paragraph" w:styleId="2">
    <w:name w:val="List Number 2"/>
    <w:basedOn w:val="a1"/>
    <w:uiPriority w:val="99"/>
    <w:unhideWhenUsed/>
    <w:rsid w:val="00357BE3"/>
    <w:pPr>
      <w:widowControl/>
      <w:numPr>
        <w:numId w:val="6"/>
      </w:numPr>
      <w:spacing w:after="200" w:line="276" w:lineRule="auto"/>
      <w:contextualSpacing/>
    </w:pPr>
    <w:rPr>
      <w:kern w:val="0"/>
      <w:sz w:val="22"/>
      <w:szCs w:val="22"/>
      <w:lang w:eastAsia="en-US"/>
      <w14:ligatures w14:val="none"/>
    </w:rPr>
  </w:style>
  <w:style w:type="paragraph" w:styleId="3">
    <w:name w:val="List Number 3"/>
    <w:basedOn w:val="a1"/>
    <w:uiPriority w:val="99"/>
    <w:unhideWhenUsed/>
    <w:rsid w:val="00357BE3"/>
    <w:pPr>
      <w:widowControl/>
      <w:numPr>
        <w:numId w:val="7"/>
      </w:numPr>
      <w:spacing w:after="200" w:line="276" w:lineRule="auto"/>
      <w:contextualSpacing/>
    </w:pPr>
    <w:rPr>
      <w:kern w:val="0"/>
      <w:sz w:val="22"/>
      <w:szCs w:val="22"/>
      <w:lang w:eastAsia="en-US"/>
      <w14:ligatures w14:val="none"/>
    </w:rPr>
  </w:style>
  <w:style w:type="paragraph" w:styleId="af9">
    <w:name w:val="List Continue"/>
    <w:basedOn w:val="a1"/>
    <w:uiPriority w:val="99"/>
    <w:unhideWhenUsed/>
    <w:rsid w:val="00357BE3"/>
    <w:pPr>
      <w:widowControl/>
      <w:spacing w:after="120" w:line="276" w:lineRule="auto"/>
      <w:ind w:left="360"/>
      <w:contextualSpacing/>
    </w:pPr>
    <w:rPr>
      <w:kern w:val="0"/>
      <w:sz w:val="22"/>
      <w:szCs w:val="22"/>
      <w:lang w:eastAsia="en-US"/>
      <w14:ligatures w14:val="none"/>
    </w:rPr>
  </w:style>
  <w:style w:type="paragraph" w:styleId="26">
    <w:name w:val="List Continue 2"/>
    <w:basedOn w:val="a1"/>
    <w:uiPriority w:val="99"/>
    <w:unhideWhenUsed/>
    <w:rsid w:val="00357BE3"/>
    <w:pPr>
      <w:widowControl/>
      <w:spacing w:after="120" w:line="276" w:lineRule="auto"/>
      <w:ind w:left="720"/>
      <w:contextualSpacing/>
    </w:pPr>
    <w:rPr>
      <w:kern w:val="0"/>
      <w:sz w:val="22"/>
      <w:szCs w:val="22"/>
      <w:lang w:eastAsia="en-US"/>
      <w14:ligatures w14:val="none"/>
    </w:rPr>
  </w:style>
  <w:style w:type="paragraph" w:styleId="36">
    <w:name w:val="List Continue 3"/>
    <w:basedOn w:val="a1"/>
    <w:uiPriority w:val="99"/>
    <w:unhideWhenUsed/>
    <w:rsid w:val="00357BE3"/>
    <w:pPr>
      <w:widowControl/>
      <w:spacing w:after="120" w:line="276" w:lineRule="auto"/>
      <w:ind w:left="1080"/>
      <w:contextualSpacing/>
    </w:pPr>
    <w:rPr>
      <w:kern w:val="0"/>
      <w:sz w:val="22"/>
      <w:szCs w:val="22"/>
      <w:lang w:eastAsia="en-US"/>
      <w14:ligatures w14:val="none"/>
    </w:rPr>
  </w:style>
  <w:style w:type="paragraph" w:styleId="afa">
    <w:name w:val="macro"/>
    <w:link w:val="afb"/>
    <w:uiPriority w:val="99"/>
    <w:unhideWhenUsed/>
    <w:rsid w:val="00357BE3"/>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14:ligatures w14:val="none"/>
    </w:rPr>
  </w:style>
  <w:style w:type="character" w:customStyle="1" w:styleId="afb">
    <w:name w:val="巨集文字 字元"/>
    <w:basedOn w:val="a2"/>
    <w:link w:val="afa"/>
    <w:uiPriority w:val="99"/>
    <w:rsid w:val="00357BE3"/>
    <w:rPr>
      <w:rFonts w:ascii="Courier" w:hAnsi="Courier"/>
      <w:kern w:val="0"/>
      <w:sz w:val="20"/>
      <w:szCs w:val="20"/>
      <w:lang w:eastAsia="en-US"/>
      <w14:ligatures w14:val="none"/>
    </w:rPr>
  </w:style>
  <w:style w:type="paragraph" w:styleId="afc">
    <w:name w:val="caption"/>
    <w:basedOn w:val="a1"/>
    <w:next w:val="a1"/>
    <w:uiPriority w:val="35"/>
    <w:semiHidden/>
    <w:unhideWhenUsed/>
    <w:qFormat/>
    <w:rsid w:val="00357BE3"/>
    <w:pPr>
      <w:widowControl/>
      <w:spacing w:after="200" w:line="240" w:lineRule="auto"/>
    </w:pPr>
    <w:rPr>
      <w:b/>
      <w:bCs/>
      <w:color w:val="156082" w:themeColor="accent1"/>
      <w:kern w:val="0"/>
      <w:sz w:val="18"/>
      <w:szCs w:val="18"/>
      <w:lang w:eastAsia="en-US"/>
      <w14:ligatures w14:val="none"/>
    </w:rPr>
  </w:style>
  <w:style w:type="character" w:styleId="afd">
    <w:name w:val="Strong"/>
    <w:basedOn w:val="a2"/>
    <w:uiPriority w:val="22"/>
    <w:qFormat/>
    <w:rsid w:val="00357BE3"/>
    <w:rPr>
      <w:b/>
      <w:bCs/>
    </w:rPr>
  </w:style>
  <w:style w:type="character" w:styleId="afe">
    <w:name w:val="Emphasis"/>
    <w:basedOn w:val="a2"/>
    <w:uiPriority w:val="20"/>
    <w:qFormat/>
    <w:rsid w:val="00357BE3"/>
    <w:rPr>
      <w:i/>
      <w:iCs/>
    </w:rPr>
  </w:style>
  <w:style w:type="character" w:styleId="aff">
    <w:name w:val="Subtle Emphasis"/>
    <w:basedOn w:val="a2"/>
    <w:uiPriority w:val="19"/>
    <w:qFormat/>
    <w:rsid w:val="00357BE3"/>
    <w:rPr>
      <w:i/>
      <w:iCs/>
      <w:color w:val="808080" w:themeColor="text1" w:themeTint="7F"/>
    </w:rPr>
  </w:style>
  <w:style w:type="character" w:styleId="aff0">
    <w:name w:val="Subtle Reference"/>
    <w:basedOn w:val="a2"/>
    <w:uiPriority w:val="31"/>
    <w:qFormat/>
    <w:rsid w:val="00357BE3"/>
    <w:rPr>
      <w:smallCaps/>
      <w:color w:val="E97132" w:themeColor="accent2"/>
      <w:u w:val="single"/>
    </w:rPr>
  </w:style>
  <w:style w:type="character" w:styleId="aff1">
    <w:name w:val="Book Title"/>
    <w:basedOn w:val="a2"/>
    <w:uiPriority w:val="33"/>
    <w:qFormat/>
    <w:rsid w:val="00357BE3"/>
    <w:rPr>
      <w:b/>
      <w:bCs/>
      <w:smallCaps/>
      <w:spacing w:val="5"/>
    </w:rPr>
  </w:style>
  <w:style w:type="paragraph" w:styleId="aff2">
    <w:name w:val="TOC Heading"/>
    <w:basedOn w:val="1"/>
    <w:next w:val="a1"/>
    <w:uiPriority w:val="39"/>
    <w:semiHidden/>
    <w:unhideWhenUsed/>
    <w:qFormat/>
    <w:rsid w:val="00357BE3"/>
    <w:pPr>
      <w:widowControl/>
      <w:spacing w:after="0" w:line="276" w:lineRule="auto"/>
      <w:outlineLvl w:val="9"/>
    </w:pPr>
    <w:rPr>
      <w:b/>
      <w:bCs/>
      <w:kern w:val="0"/>
      <w:sz w:val="28"/>
      <w:szCs w:val="28"/>
      <w:lang w:eastAsia="en-US"/>
      <w14:ligatures w14:val="none"/>
    </w:rPr>
  </w:style>
  <w:style w:type="table" w:styleId="aff3">
    <w:name w:val="Light Shading"/>
    <w:basedOn w:val="a3"/>
    <w:uiPriority w:val="60"/>
    <w:rsid w:val="00357BE3"/>
    <w:pPr>
      <w:spacing w:after="0" w:line="240" w:lineRule="auto"/>
    </w:pPr>
    <w:rPr>
      <w:color w:val="000000" w:themeColor="text1" w:themeShade="BF"/>
      <w:kern w:val="0"/>
      <w:sz w:val="22"/>
      <w:szCs w:val="22"/>
      <w:lang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357BE3"/>
    <w:pPr>
      <w:spacing w:after="0" w:line="240" w:lineRule="auto"/>
    </w:pPr>
    <w:rPr>
      <w:color w:val="0F4761" w:themeColor="accent1" w:themeShade="BF"/>
      <w:kern w:val="0"/>
      <w:sz w:val="22"/>
      <w:szCs w:val="22"/>
      <w:lang w:eastAsia="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rsid w:val="00357BE3"/>
    <w:pPr>
      <w:spacing w:after="0" w:line="240" w:lineRule="auto"/>
    </w:pPr>
    <w:rPr>
      <w:color w:val="BF4E14" w:themeColor="accent2" w:themeShade="BF"/>
      <w:kern w:val="0"/>
      <w:sz w:val="22"/>
      <w:szCs w:val="22"/>
      <w:lang w:eastAsia="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rsid w:val="00357BE3"/>
    <w:pPr>
      <w:spacing w:after="0" w:line="240" w:lineRule="auto"/>
    </w:pPr>
    <w:rPr>
      <w:color w:val="124F1A" w:themeColor="accent3" w:themeShade="BF"/>
      <w:kern w:val="0"/>
      <w:sz w:val="22"/>
      <w:szCs w:val="22"/>
      <w:lang w:eastAsia="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rsid w:val="00357BE3"/>
    <w:pPr>
      <w:spacing w:after="0" w:line="240" w:lineRule="auto"/>
    </w:pPr>
    <w:rPr>
      <w:color w:val="0B769F" w:themeColor="accent4" w:themeShade="BF"/>
      <w:kern w:val="0"/>
      <w:sz w:val="22"/>
      <w:szCs w:val="22"/>
      <w:lang w:eastAsia="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rsid w:val="00357BE3"/>
    <w:pPr>
      <w:spacing w:after="0" w:line="240" w:lineRule="auto"/>
    </w:pPr>
    <w:rPr>
      <w:color w:val="77206D" w:themeColor="accent5" w:themeShade="BF"/>
      <w:kern w:val="0"/>
      <w:sz w:val="22"/>
      <w:szCs w:val="22"/>
      <w:lang w:eastAsia="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rsid w:val="00357BE3"/>
    <w:pPr>
      <w:spacing w:after="0" w:line="240" w:lineRule="auto"/>
    </w:pPr>
    <w:rPr>
      <w:color w:val="3A7C22" w:themeColor="accent6" w:themeShade="BF"/>
      <w:kern w:val="0"/>
      <w:sz w:val="22"/>
      <w:szCs w:val="22"/>
      <w:lang w:eastAsia="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4">
    <w:name w:val="Light List"/>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rsid w:val="00357BE3"/>
    <w:pPr>
      <w:spacing w:after="0" w:line="240" w:lineRule="auto"/>
    </w:pPr>
    <w:rPr>
      <w:kern w:val="0"/>
      <w:sz w:val="22"/>
      <w:szCs w:val="22"/>
      <w:lang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5">
    <w:name w:val="Light Grid"/>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1">
    <w:name w:val="Light Grid Accent 2"/>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1">
    <w:name w:val="Light Grid Accent 3"/>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1">
    <w:name w:val="Light Grid Accent 4"/>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1">
    <w:name w:val="Light Grid Accent 5"/>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1">
    <w:name w:val="Light Grid Accent 6"/>
    <w:basedOn w:val="a3"/>
    <w:uiPriority w:val="62"/>
    <w:rsid w:val="00357BE3"/>
    <w:pPr>
      <w:spacing w:after="0" w:line="240" w:lineRule="auto"/>
    </w:pPr>
    <w:rPr>
      <w:kern w:val="0"/>
      <w:sz w:val="22"/>
      <w:szCs w:val="22"/>
      <w:lang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1">
    <w:name w:val="Medium Shading 1"/>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357BE3"/>
    <w:pPr>
      <w:spacing w:after="0" w:line="240" w:lineRule="auto"/>
    </w:pPr>
    <w:rPr>
      <w:kern w:val="0"/>
      <w:sz w:val="22"/>
      <w:szCs w:val="22"/>
      <w:lang w:eastAsia="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7">
    <w:name w:val="Medium Shading 2"/>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357BE3"/>
    <w:pPr>
      <w:spacing w:after="0" w:line="240" w:lineRule="auto"/>
    </w:pPr>
    <w:rPr>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8">
    <w:name w:val="Medium List 2"/>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3"/>
    <w:uiPriority w:val="67"/>
    <w:rsid w:val="00357BE3"/>
    <w:pPr>
      <w:spacing w:after="0" w:line="240" w:lineRule="auto"/>
    </w:pPr>
    <w:rPr>
      <w:kern w:val="0"/>
      <w:sz w:val="22"/>
      <w:szCs w:val="22"/>
      <w:lang w:eastAsia="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9">
    <w:name w:val="Medium Grid 2"/>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357BE3"/>
    <w:pPr>
      <w:spacing w:after="0" w:line="240" w:lineRule="auto"/>
    </w:pPr>
    <w:rPr>
      <w:rFonts w:asciiTheme="majorHAnsi" w:eastAsiaTheme="majorEastAsia" w:hAnsiTheme="majorHAnsi" w:cstheme="majorBidi"/>
      <w:color w:val="000000" w:themeColor="text1"/>
      <w:kern w:val="0"/>
      <w:sz w:val="22"/>
      <w:szCs w:val="22"/>
      <w:lang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rsid w:val="00357BE3"/>
    <w:pPr>
      <w:spacing w:after="0" w:line="240" w:lineRule="auto"/>
    </w:pPr>
    <w:rPr>
      <w:kern w:val="0"/>
      <w:sz w:val="22"/>
      <w:szCs w:val="22"/>
      <w:lang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6">
    <w:name w:val="Dark List"/>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rsid w:val="00357BE3"/>
    <w:pPr>
      <w:spacing w:after="0" w:line="240" w:lineRule="auto"/>
    </w:pPr>
    <w:rPr>
      <w:color w:val="FFFFFF" w:themeColor="background1"/>
      <w:kern w:val="0"/>
      <w:sz w:val="22"/>
      <w:szCs w:val="22"/>
      <w:lang w:eastAsia="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7">
    <w:name w:val="Colorful Shading"/>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3">
    <w:name w:val="Colorful Shading Accent 4"/>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357BE3"/>
    <w:pPr>
      <w:spacing w:after="0" w:line="240" w:lineRule="auto"/>
    </w:pPr>
    <w:rPr>
      <w:color w:val="000000" w:themeColor="text1"/>
      <w:kern w:val="0"/>
      <w:sz w:val="22"/>
      <w:szCs w:val="22"/>
      <w:lang w:eastAsia="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4">
    <w:name w:val="Colorful List Accent 2"/>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4">
    <w:name w:val="Colorful List Accent 3"/>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4">
    <w:name w:val="Colorful List Accent 4"/>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4">
    <w:name w:val="Colorful List Accent 5"/>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4">
    <w:name w:val="Colorful List Accent 6"/>
    <w:basedOn w:val="a3"/>
    <w:uiPriority w:val="72"/>
    <w:rsid w:val="00357BE3"/>
    <w:pPr>
      <w:spacing w:after="0" w:line="240" w:lineRule="auto"/>
    </w:pPr>
    <w:rPr>
      <w:color w:val="000000" w:themeColor="text1"/>
      <w:kern w:val="0"/>
      <w:sz w:val="22"/>
      <w:szCs w:val="22"/>
      <w:lang w:eastAsia="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9">
    <w:name w:val="Colorful Grid"/>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5">
    <w:name w:val="Colorful Grid Accent 2"/>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5">
    <w:name w:val="Colorful Grid Accent 3"/>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5">
    <w:name w:val="Colorful Grid Accent 4"/>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5">
    <w:name w:val="Colorful Grid Accent 5"/>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5">
    <w:name w:val="Colorful Grid Accent 6"/>
    <w:basedOn w:val="a3"/>
    <w:uiPriority w:val="73"/>
    <w:rsid w:val="00357BE3"/>
    <w:pPr>
      <w:spacing w:after="0" w:line="240" w:lineRule="auto"/>
    </w:pPr>
    <w:rPr>
      <w:color w:val="000000" w:themeColor="text1"/>
      <w:kern w:val="0"/>
      <w:sz w:val="22"/>
      <w:szCs w:val="22"/>
      <w:lang w:eastAsia="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affa">
    <w:name w:val="Hyperlink"/>
    <w:basedOn w:val="a2"/>
    <w:uiPriority w:val="99"/>
    <w:semiHidden/>
    <w:unhideWhenUsed/>
    <w:rsid w:val="00357BE3"/>
    <w:rPr>
      <w:color w:val="0000FF"/>
      <w:u w:val="single"/>
    </w:rPr>
  </w:style>
  <w:style w:type="character" w:styleId="affb">
    <w:name w:val="FollowedHyperlink"/>
    <w:basedOn w:val="a2"/>
    <w:uiPriority w:val="99"/>
    <w:semiHidden/>
    <w:unhideWhenUsed/>
    <w:rsid w:val="00357BE3"/>
    <w:rPr>
      <w:color w:val="800080"/>
      <w:u w:val="single"/>
    </w:rPr>
  </w:style>
  <w:style w:type="paragraph" w:customStyle="1" w:styleId="msonormal0">
    <w:name w:val="msonormal"/>
    <w:basedOn w:val="a1"/>
    <w:rsid w:val="00357BE3"/>
    <w:pPr>
      <w:widowControl/>
      <w:spacing w:before="100" w:beforeAutospacing="1" w:after="100" w:afterAutospacing="1" w:line="240" w:lineRule="auto"/>
    </w:pPr>
    <w:rPr>
      <w:rFonts w:ascii="新細明體" w:eastAsia="新細明體" w:hAnsi="新細明體" w:cs="新細明體"/>
      <w:kern w:val="0"/>
      <w14:ligatures w14:val="none"/>
    </w:rPr>
  </w:style>
  <w:style w:type="paragraph" w:customStyle="1" w:styleId="font5">
    <w:name w:val="font5"/>
    <w:basedOn w:val="a1"/>
    <w:rsid w:val="00357BE3"/>
    <w:pPr>
      <w:widowControl/>
      <w:spacing w:before="100" w:beforeAutospacing="1" w:after="100" w:afterAutospacing="1" w:line="240" w:lineRule="auto"/>
    </w:pPr>
    <w:rPr>
      <w:rFonts w:ascii="新細明體" w:eastAsia="新細明體" w:hAnsi="新細明體" w:cs="新細明體"/>
      <w:kern w:val="0"/>
      <w:sz w:val="18"/>
      <w:szCs w:val="18"/>
      <w14:ligatures w14:val="none"/>
    </w:rPr>
  </w:style>
  <w:style w:type="paragraph" w:customStyle="1" w:styleId="xl63">
    <w:name w:val="xl63"/>
    <w:basedOn w:val="a1"/>
    <w:rsid w:val="00357BE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新細明體" w:eastAsia="新細明體" w:hAnsi="新細明體" w:cs="新細明體"/>
      <w:b/>
      <w:bCs/>
      <w:kern w:val="0"/>
      <w14:ligatures w14:val="none"/>
    </w:rPr>
  </w:style>
  <w:style w:type="paragraph" w:customStyle="1" w:styleId="xl64">
    <w:name w:val="xl64"/>
    <w:basedOn w:val="a1"/>
    <w:rsid w:val="00357BE3"/>
    <w:pPr>
      <w:widowControl/>
      <w:shd w:val="clear" w:color="000000" w:fill="FFFF00"/>
      <w:spacing w:before="100" w:beforeAutospacing="1" w:after="100" w:afterAutospacing="1" w:line="240" w:lineRule="auto"/>
    </w:pPr>
    <w:rPr>
      <w:rFonts w:ascii="新細明體" w:eastAsia="新細明體" w:hAnsi="新細明體" w:cs="新細明體"/>
      <w:kern w:val="0"/>
      <w14:ligatures w14:val="none"/>
    </w:rPr>
  </w:style>
  <w:style w:type="paragraph" w:customStyle="1" w:styleId="xl65">
    <w:name w:val="xl65"/>
    <w:basedOn w:val="a1"/>
    <w:rsid w:val="00357BE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新細明體" w:eastAsia="新細明體" w:hAnsi="新細明體" w:cs="新細明體"/>
      <w:b/>
      <w:bCs/>
      <w:kern w:val="0"/>
      <w14:ligatures w14:val="none"/>
    </w:rPr>
  </w:style>
  <w:style w:type="paragraph" w:customStyle="1" w:styleId="xl66">
    <w:name w:val="xl66"/>
    <w:basedOn w:val="a1"/>
    <w:rsid w:val="00357BE3"/>
    <w:pPr>
      <w:widowControl/>
      <w:shd w:val="clear" w:color="000000" w:fill="FFFF00"/>
      <w:spacing w:before="100" w:beforeAutospacing="1" w:after="100" w:afterAutospacing="1" w:line="240" w:lineRule="auto"/>
    </w:pPr>
    <w:rPr>
      <w:rFonts w:ascii="新細明體" w:eastAsia="新細明體" w:hAnsi="新細明體" w:cs="新細明體"/>
      <w:kern w:val="0"/>
      <w14:ligatures w14:val="none"/>
    </w:rPr>
  </w:style>
  <w:style w:type="paragraph" w:customStyle="1" w:styleId="xl67">
    <w:name w:val="xl67"/>
    <w:basedOn w:val="a1"/>
    <w:rsid w:val="00357BE3"/>
    <w:pPr>
      <w:widowControl/>
      <w:shd w:val="clear" w:color="000000" w:fill="FFFF00"/>
      <w:spacing w:before="100" w:beforeAutospacing="1" w:after="100" w:afterAutospacing="1" w:line="240" w:lineRule="auto"/>
    </w:pPr>
    <w:rPr>
      <w:rFonts w:ascii="新細明體" w:eastAsia="新細明體" w:hAnsi="新細明體" w:cs="新細明體"/>
      <w:kern w:val="0"/>
      <w14:ligatures w14:val="none"/>
    </w:rPr>
  </w:style>
  <w:style w:type="character" w:customStyle="1" w:styleId="apple-converted-space">
    <w:name w:val="apple-converted-space"/>
    <w:basedOn w:val="a2"/>
    <w:rsid w:val="00357BE3"/>
  </w:style>
  <w:style w:type="paragraph" w:styleId="Web">
    <w:name w:val="Normal (Web)"/>
    <w:basedOn w:val="a1"/>
    <w:uiPriority w:val="99"/>
    <w:semiHidden/>
    <w:unhideWhenUsed/>
    <w:rsid w:val="009F6F67"/>
    <w:pPr>
      <w:widowControl/>
      <w:spacing w:before="100" w:beforeAutospacing="1" w:after="100" w:afterAutospacing="1" w:line="240" w:lineRule="auto"/>
    </w:pPr>
    <w:rPr>
      <w:rFonts w:ascii="新細明體" w:eastAsia="新細明體" w:hAnsi="新細明體" w:cs="新細明體"/>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4142">
      <w:bodyDiv w:val="1"/>
      <w:marLeft w:val="0"/>
      <w:marRight w:val="0"/>
      <w:marTop w:val="0"/>
      <w:marBottom w:val="0"/>
      <w:divBdr>
        <w:top w:val="none" w:sz="0" w:space="0" w:color="auto"/>
        <w:left w:val="none" w:sz="0" w:space="0" w:color="auto"/>
        <w:bottom w:val="none" w:sz="0" w:space="0" w:color="auto"/>
        <w:right w:val="none" w:sz="0" w:space="0" w:color="auto"/>
      </w:divBdr>
    </w:div>
    <w:div w:id="309529062">
      <w:bodyDiv w:val="1"/>
      <w:marLeft w:val="0"/>
      <w:marRight w:val="0"/>
      <w:marTop w:val="0"/>
      <w:marBottom w:val="0"/>
      <w:divBdr>
        <w:top w:val="none" w:sz="0" w:space="0" w:color="auto"/>
        <w:left w:val="none" w:sz="0" w:space="0" w:color="auto"/>
        <w:bottom w:val="none" w:sz="0" w:space="0" w:color="auto"/>
        <w:right w:val="none" w:sz="0" w:space="0" w:color="auto"/>
      </w:divBdr>
    </w:div>
    <w:div w:id="1159614907">
      <w:bodyDiv w:val="1"/>
      <w:marLeft w:val="0"/>
      <w:marRight w:val="0"/>
      <w:marTop w:val="0"/>
      <w:marBottom w:val="0"/>
      <w:divBdr>
        <w:top w:val="none" w:sz="0" w:space="0" w:color="auto"/>
        <w:left w:val="none" w:sz="0" w:space="0" w:color="auto"/>
        <w:bottom w:val="none" w:sz="0" w:space="0" w:color="auto"/>
        <w:right w:val="none" w:sz="0" w:space="0" w:color="auto"/>
      </w:divBdr>
    </w:div>
    <w:div w:id="1419790454">
      <w:bodyDiv w:val="1"/>
      <w:marLeft w:val="0"/>
      <w:marRight w:val="0"/>
      <w:marTop w:val="0"/>
      <w:marBottom w:val="0"/>
      <w:divBdr>
        <w:top w:val="none" w:sz="0" w:space="0" w:color="auto"/>
        <w:left w:val="none" w:sz="0" w:space="0" w:color="auto"/>
        <w:bottom w:val="none" w:sz="0" w:space="0" w:color="auto"/>
        <w:right w:val="none" w:sz="0" w:space="0" w:color="auto"/>
      </w:divBdr>
    </w:div>
    <w:div w:id="201838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新細明體"/>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12455-FF44-9C45-8674-2DC13E67E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20</Pages>
  <Words>7611</Words>
  <Characters>43387</Characters>
  <Application>Microsoft Office Word</Application>
  <DocSecurity>0</DocSecurity>
  <Lines>361</Lines>
  <Paragraphs>101</Paragraphs>
  <ScaleCrop>false</ScaleCrop>
  <Company/>
  <LinksUpToDate>false</LinksUpToDate>
  <CharactersWithSpaces>50897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Yu-De Chu</dc:creator>
  <cp:keywords/>
  <dc:description/>
  <cp:lastModifiedBy>Yu-De Chu</cp:lastModifiedBy>
  <cp:revision>22</cp:revision>
  <dcterms:created xsi:type="dcterms:W3CDTF">2026-01-19T02:10:00Z</dcterms:created>
  <dcterms:modified xsi:type="dcterms:W3CDTF">2026-06-25T03:30:00Z</dcterms:modified>
</cp:coreProperties>
</file>