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86C2DF" w14:textId="1E0F87ED" w:rsidR="00A41D77" w:rsidRPr="004B4716" w:rsidRDefault="00A41D77" w:rsidP="00A41D77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t>Supplementary Information</w:t>
      </w:r>
    </w:p>
    <w:p w14:paraId="27A0987C" w14:textId="77777777" w:rsidR="00A41D77" w:rsidRPr="004B4716" w:rsidRDefault="00A41D77" w:rsidP="00A41D77">
      <w:pPr>
        <w:jc w:val="left"/>
        <w:rPr>
          <w:rFonts w:ascii="Times New Roman" w:hAnsi="Times New Roman" w:cs="Times New Roman"/>
          <w:b/>
          <w:bCs/>
          <w:color w:val="000000" w:themeColor="text1"/>
        </w:rPr>
      </w:pPr>
    </w:p>
    <w:p w14:paraId="608C1B4B" w14:textId="13726BDC" w:rsidR="00A41D77" w:rsidRPr="004B4716" w:rsidRDefault="00A41D77" w:rsidP="00A41D77">
      <w:pPr>
        <w:jc w:val="left"/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t>Development of a STEAP1-Targeted Prostate Cancer Specific Antibody Drug Conjugate Platform with Immunostimulatory Properties</w:t>
      </w:r>
    </w:p>
    <w:p w14:paraId="7576B80E" w14:textId="77777777" w:rsidR="00A41D77" w:rsidRPr="004B4716" w:rsidRDefault="00A41D77" w:rsidP="00A41D77">
      <w:pPr>
        <w:jc w:val="left"/>
        <w:rPr>
          <w:rFonts w:ascii="Times New Roman" w:hAnsi="Times New Roman" w:cs="Times New Roman"/>
          <w:b/>
          <w:bCs/>
          <w:color w:val="000000" w:themeColor="text1"/>
        </w:rPr>
      </w:pPr>
    </w:p>
    <w:p w14:paraId="3F1EAFB4" w14:textId="7066E684" w:rsidR="00A41D77" w:rsidRPr="004B4716" w:rsidRDefault="00A41D77" w:rsidP="00A41D77">
      <w:pPr>
        <w:spacing w:line="480" w:lineRule="auto"/>
        <w:rPr>
          <w:rFonts w:ascii="Times New Roman" w:hAnsi="Times New Roman" w:cs="Times New Roman"/>
          <w:color w:val="000000" w:themeColor="text1"/>
          <w:vertAlign w:val="superscript"/>
        </w:rPr>
      </w:pPr>
      <w:r w:rsidRPr="004B4716">
        <w:rPr>
          <w:rFonts w:ascii="Times New Roman" w:hAnsi="Times New Roman" w:cs="Times New Roman"/>
          <w:color w:val="000000" w:themeColor="text1"/>
        </w:rPr>
        <w:t>John S. Wang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4B4716">
        <w:rPr>
          <w:rFonts w:ascii="Times New Roman" w:hAnsi="Times New Roman" w:cs="Times New Roman"/>
          <w:color w:val="000000" w:themeColor="text1"/>
        </w:rPr>
        <w:t>, Sirajbir Sodhi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4B4716">
        <w:rPr>
          <w:rFonts w:ascii="Times New Roman" w:hAnsi="Times New Roman" w:cs="Times New Roman"/>
          <w:color w:val="000000" w:themeColor="text1"/>
        </w:rPr>
        <w:t>, Li-Chung Tsao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4B4716">
        <w:rPr>
          <w:rFonts w:ascii="Times New Roman" w:hAnsi="Times New Roman" w:cs="Times New Roman"/>
          <w:color w:val="000000" w:themeColor="text1"/>
        </w:rPr>
        <w:t>, Guang Han Lin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4</w:t>
      </w:r>
      <w:r w:rsidRPr="004B4716">
        <w:rPr>
          <w:rFonts w:ascii="Times New Roman" w:hAnsi="Times New Roman" w:cs="Times New Roman"/>
          <w:color w:val="000000" w:themeColor="text1"/>
        </w:rPr>
        <w:t>, Nicole Moon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4B4716">
        <w:rPr>
          <w:rFonts w:ascii="Times New Roman" w:hAnsi="Times New Roman" w:cs="Times New Roman"/>
          <w:color w:val="000000" w:themeColor="text1"/>
        </w:rPr>
        <w:t>, Qiang Zhang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5</w:t>
      </w:r>
      <w:r w:rsidRPr="004B4716">
        <w:rPr>
          <w:rFonts w:ascii="Times New Roman" w:hAnsi="Times New Roman" w:cs="Times New Roman"/>
          <w:color w:val="000000" w:themeColor="text1"/>
        </w:rPr>
        <w:t>, Bushangqing Liu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4B4716">
        <w:rPr>
          <w:rFonts w:ascii="Times New Roman" w:hAnsi="Times New Roman" w:cs="Times New Roman"/>
          <w:color w:val="000000" w:themeColor="text1"/>
        </w:rPr>
        <w:t xml:space="preserve">, </w:t>
      </w:r>
      <w:r w:rsidR="00BC7797" w:rsidRPr="004B4716">
        <w:rPr>
          <w:rFonts w:ascii="Times New Roman" w:hAnsi="Times New Roman" w:cs="Times New Roman"/>
          <w:color w:val="000000" w:themeColor="text1"/>
        </w:rPr>
        <w:t>Violet Y. Tu</w:t>
      </w:r>
      <w:r w:rsidR="00BC7797" w:rsidRPr="004B4716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="00BC7797" w:rsidRPr="004B4716">
        <w:rPr>
          <w:rFonts w:ascii="Times New Roman" w:hAnsi="Times New Roman" w:cs="Times New Roman"/>
          <w:color w:val="000000" w:themeColor="text1"/>
        </w:rPr>
        <w:t xml:space="preserve">, </w:t>
      </w:r>
      <w:r w:rsidRPr="004B4716">
        <w:rPr>
          <w:rFonts w:ascii="Times New Roman" w:hAnsi="Times New Roman" w:cs="Times New Roman"/>
          <w:color w:val="000000" w:themeColor="text1"/>
        </w:rPr>
        <w:t>Juliet Penaranda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4B4716">
        <w:rPr>
          <w:rFonts w:ascii="Times New Roman" w:hAnsi="Times New Roman" w:cs="Times New Roman"/>
          <w:color w:val="000000" w:themeColor="text1"/>
        </w:rPr>
        <w:t>, Timothy Trotter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4B4716">
        <w:rPr>
          <w:rFonts w:ascii="Times New Roman" w:hAnsi="Times New Roman" w:cs="Times New Roman"/>
          <w:color w:val="000000" w:themeColor="text1"/>
        </w:rPr>
        <w:t>, Jason Somarelli</w:t>
      </w:r>
      <w:r w:rsidR="009745B9" w:rsidRPr="004B4716">
        <w:rPr>
          <w:rFonts w:ascii="Times New Roman" w:hAnsi="Times New Roman" w:cs="Times New Roman"/>
          <w:color w:val="000000" w:themeColor="text1"/>
          <w:vertAlign w:val="superscript"/>
        </w:rPr>
        <w:t>2,6</w:t>
      </w:r>
      <w:r w:rsidRPr="004B4716">
        <w:rPr>
          <w:rFonts w:ascii="Times New Roman" w:hAnsi="Times New Roman" w:cs="Times New Roman"/>
          <w:color w:val="000000" w:themeColor="text1"/>
        </w:rPr>
        <w:t>, Andrew J. Armstrong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2,6</w:t>
      </w:r>
      <w:r w:rsidRPr="004B4716">
        <w:rPr>
          <w:rFonts w:ascii="Times New Roman" w:hAnsi="Times New Roman" w:cs="Times New Roman"/>
          <w:color w:val="000000" w:themeColor="text1"/>
        </w:rPr>
        <w:t>, H. Kim Lyerly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3,6</w:t>
      </w:r>
      <w:r w:rsidRPr="004B4716">
        <w:rPr>
          <w:rFonts w:ascii="Times New Roman" w:hAnsi="Times New Roman" w:cs="Times New Roman"/>
          <w:color w:val="000000" w:themeColor="text1"/>
        </w:rPr>
        <w:t>, Guangdi Wang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5</w:t>
      </w:r>
      <w:r w:rsidRPr="004B4716">
        <w:rPr>
          <w:rFonts w:ascii="Times New Roman" w:hAnsi="Times New Roman" w:cs="Times New Roman"/>
          <w:color w:val="000000" w:themeColor="text1"/>
        </w:rPr>
        <w:t>, and Zachary C. Hartman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3,6*</w:t>
      </w:r>
    </w:p>
    <w:p w14:paraId="51581934" w14:textId="77777777" w:rsidR="00A41D77" w:rsidRPr="004B4716" w:rsidRDefault="00A41D77" w:rsidP="00A41D77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</w:rPr>
      </w:pPr>
    </w:p>
    <w:p w14:paraId="2EA2F0AC" w14:textId="77777777" w:rsidR="00A41D77" w:rsidRPr="004B4716" w:rsidRDefault="00A41D77" w:rsidP="00A41D77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4B4716">
        <w:rPr>
          <w:rFonts w:ascii="Times New Roman" w:hAnsi="Times New Roman" w:cs="Times New Roman"/>
          <w:color w:val="000000" w:themeColor="text1"/>
        </w:rPr>
        <w:t>Medical Sciences Training</w:t>
      </w: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4B4716">
        <w:rPr>
          <w:rFonts w:ascii="Times New Roman" w:hAnsi="Times New Roman" w:cs="Times New Roman"/>
          <w:color w:val="000000" w:themeColor="text1"/>
        </w:rPr>
        <w:t>Program, Duke University, Durham, NC, USA</w:t>
      </w:r>
    </w:p>
    <w:p w14:paraId="3BF7D15F" w14:textId="77777777" w:rsidR="00A41D77" w:rsidRPr="004B4716" w:rsidRDefault="00A41D77" w:rsidP="00A41D77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4B4716">
        <w:rPr>
          <w:rFonts w:ascii="Times New Roman" w:hAnsi="Times New Roman" w:cs="Times New Roman"/>
          <w:color w:val="000000" w:themeColor="text1"/>
        </w:rPr>
        <w:t>Department of Medicine, Duke University, Durham, NC, USA</w:t>
      </w:r>
    </w:p>
    <w:p w14:paraId="2D281004" w14:textId="77777777" w:rsidR="00A41D77" w:rsidRPr="004B4716" w:rsidRDefault="00A41D77" w:rsidP="00A41D77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4B4716">
        <w:rPr>
          <w:rFonts w:ascii="Times New Roman" w:hAnsi="Times New Roman" w:cs="Times New Roman"/>
          <w:color w:val="000000" w:themeColor="text1"/>
        </w:rPr>
        <w:t>Department of Surgery, Duke University, Durham, NC, USA</w:t>
      </w:r>
    </w:p>
    <w:p w14:paraId="74FB2F82" w14:textId="77777777" w:rsidR="00A41D77" w:rsidRPr="004B4716" w:rsidRDefault="00A41D77" w:rsidP="00A41D77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4</w:t>
      </w:r>
      <w:r w:rsidRPr="004B4716">
        <w:rPr>
          <w:rFonts w:ascii="Times New Roman" w:hAnsi="Times New Roman" w:cs="Times New Roman"/>
          <w:color w:val="000000" w:themeColor="text1"/>
        </w:rPr>
        <w:t>Department of Pharmacology and Cancer Biology, Durham, NC, USA</w:t>
      </w:r>
    </w:p>
    <w:p w14:paraId="635A880F" w14:textId="77777777" w:rsidR="00A41D77" w:rsidRPr="004B4716" w:rsidRDefault="00A41D77" w:rsidP="00A41D77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5</w:t>
      </w:r>
      <w:r w:rsidRPr="004B4716">
        <w:rPr>
          <w:rFonts w:ascii="Times New Roman" w:hAnsi="Times New Roman" w:cs="Times New Roman"/>
          <w:color w:val="000000" w:themeColor="text1"/>
        </w:rPr>
        <w:t>Department of Chemistry, Xavier University, New Orleans, LA, USA</w:t>
      </w:r>
    </w:p>
    <w:p w14:paraId="23228EA1" w14:textId="77777777" w:rsidR="00A41D77" w:rsidRPr="004B4716" w:rsidRDefault="00A41D77" w:rsidP="00A41D77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color w:val="000000" w:themeColor="text1"/>
          <w:vertAlign w:val="superscript"/>
        </w:rPr>
        <w:t>6</w:t>
      </w:r>
      <w:r w:rsidRPr="004B4716">
        <w:rPr>
          <w:rFonts w:ascii="Times New Roman" w:hAnsi="Times New Roman" w:cs="Times New Roman"/>
          <w:color w:val="000000" w:themeColor="text1"/>
        </w:rPr>
        <w:t>Duke Cancer Institute, Duke University, Durham, NC, USA</w:t>
      </w:r>
    </w:p>
    <w:p w14:paraId="0EFA30ED" w14:textId="77777777" w:rsidR="003D7CFB" w:rsidRPr="004B4716" w:rsidRDefault="003D7CFB" w:rsidP="003D7CFB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color w:val="000000" w:themeColor="text1"/>
        </w:rPr>
        <w:t xml:space="preserve">*corresponding author. Email: </w:t>
      </w:r>
      <w:hyperlink r:id="rId7" w:history="1">
        <w:r w:rsidRPr="004B4716">
          <w:rPr>
            <w:rStyle w:val="Hyperlink"/>
            <w:rFonts w:ascii="Times New Roman" w:hAnsi="Times New Roman" w:cs="Times New Roman"/>
            <w:color w:val="000000" w:themeColor="text1"/>
          </w:rPr>
          <w:t>zachary.hartman@duke.edu</w:t>
        </w:r>
      </w:hyperlink>
    </w:p>
    <w:p w14:paraId="372E86E8" w14:textId="77777777" w:rsidR="003D7CFB" w:rsidRPr="004B4716" w:rsidRDefault="003D7CFB" w:rsidP="00A41D77">
      <w:pPr>
        <w:jc w:val="left"/>
        <w:rPr>
          <w:rFonts w:ascii="Times New Roman" w:hAnsi="Times New Roman" w:cs="Times New Roman"/>
          <w:b/>
          <w:bCs/>
          <w:color w:val="000000" w:themeColor="text1"/>
        </w:rPr>
      </w:pPr>
    </w:p>
    <w:p w14:paraId="46B88DE1" w14:textId="0EAA5293" w:rsidR="00A41D77" w:rsidRPr="004B4716" w:rsidRDefault="003D7CFB" w:rsidP="00A41D77">
      <w:pPr>
        <w:jc w:val="left"/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t>Supplementary Information includes:</w:t>
      </w:r>
    </w:p>
    <w:p w14:paraId="5B87CBAE" w14:textId="77777777" w:rsidR="003D7CFB" w:rsidRPr="004B4716" w:rsidRDefault="003D7CFB" w:rsidP="00A41D77">
      <w:pPr>
        <w:jc w:val="left"/>
        <w:rPr>
          <w:rFonts w:ascii="Times New Roman" w:hAnsi="Times New Roman" w:cs="Times New Roman"/>
          <w:color w:val="000000" w:themeColor="text1"/>
        </w:rPr>
      </w:pPr>
    </w:p>
    <w:p w14:paraId="14BBCA8A" w14:textId="4B810B52" w:rsidR="003D7CFB" w:rsidRPr="004B4716" w:rsidRDefault="003D7CFB" w:rsidP="00A41D77">
      <w:pPr>
        <w:jc w:val="left"/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color w:val="000000" w:themeColor="text1"/>
        </w:rPr>
        <w:t>Supplementary Figures S1 to S6.</w:t>
      </w:r>
    </w:p>
    <w:p w14:paraId="5BBCF5EF" w14:textId="77777777" w:rsidR="001D4FD1" w:rsidRPr="004B4716" w:rsidRDefault="001D4FD1" w:rsidP="00A41D77">
      <w:pPr>
        <w:jc w:val="left"/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07BBA83D" w14:textId="39FA8B40" w:rsidR="00A41D77" w:rsidRPr="004B4716" w:rsidRDefault="00A41D77" w:rsidP="00A41D77">
      <w:pPr>
        <w:jc w:val="left"/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 Figure 1</w:t>
      </w:r>
    </w:p>
    <w:p w14:paraId="2703CEE1" w14:textId="74FE897D" w:rsidR="00A41D77" w:rsidRPr="004B4716" w:rsidRDefault="00A41D77" w:rsidP="00A41D77">
      <w:pPr>
        <w:rPr>
          <w:rFonts w:ascii="Times New Roman" w:hAnsi="Times New Roman" w:cs="Times New Roman"/>
          <w:color w:val="000000" w:themeColor="text1"/>
        </w:rPr>
      </w:pPr>
    </w:p>
    <w:p w14:paraId="19D163C9" w14:textId="19512761" w:rsidR="00B34640" w:rsidRPr="004B4716" w:rsidRDefault="002B0858" w:rsidP="001D4FD1">
      <w:pPr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0F676BF9" wp14:editId="49A0CEF8">
            <wp:extent cx="5939073" cy="5225887"/>
            <wp:effectExtent l="0" t="0" r="5080" b="0"/>
            <wp:docPr id="14857744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774475" name=""/>
                    <pic:cNvPicPr/>
                  </pic:nvPicPr>
                  <pic:blipFill rotWithShape="1">
                    <a:blip r:embed="rId8"/>
                    <a:srcRect l="1675" t="5359" r="1729" b="25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503" cy="5233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1D77" w:rsidRPr="004B4716">
        <w:rPr>
          <w:rStyle w:val="Strong"/>
          <w:rFonts w:ascii="Times New Roman" w:hAnsi="Times New Roman" w:cs="Times New Roman"/>
          <w:color w:val="000000" w:themeColor="text1"/>
        </w:rPr>
        <w:t>Supplemental Figure 1. Extended STEAP1 expression data and additional antibody characterization. (A)</w:t>
      </w:r>
      <w:r w:rsidR="00A41D77" w:rsidRPr="004B4716">
        <w:rPr>
          <w:rFonts w:ascii="Times New Roman" w:hAnsi="Times New Roman" w:cs="Times New Roman"/>
          <w:color w:val="000000" w:themeColor="text1"/>
        </w:rPr>
        <w:t xml:space="preserve"> STEAP1 IHC images from TMA, shown as individual tumor core</w:t>
      </w:r>
      <w:r w:rsidR="00EC31CE" w:rsidRPr="004B4716">
        <w:rPr>
          <w:rFonts w:ascii="Times New Roman" w:hAnsi="Times New Roman" w:cs="Times New Roman"/>
          <w:color w:val="000000" w:themeColor="text1"/>
        </w:rPr>
        <w:t xml:space="preserve">s </w:t>
      </w:r>
      <w:r w:rsidR="00A41D77" w:rsidRPr="004B4716">
        <w:rPr>
          <w:rFonts w:ascii="Times New Roman" w:hAnsi="Times New Roman" w:cs="Times New Roman"/>
          <w:color w:val="000000" w:themeColor="text1"/>
        </w:rPr>
        <w:t xml:space="preserve">stratified by Gleason grade category (normal, 5–6, 7, 8–10). </w:t>
      </w:r>
      <w:r w:rsidR="00EC31CE" w:rsidRPr="004B4716">
        <w:rPr>
          <w:rFonts w:ascii="Times New Roman" w:hAnsi="Times New Roman" w:cs="Times New Roman"/>
          <w:color w:val="000000" w:themeColor="text1"/>
        </w:rPr>
        <w:t xml:space="preserve">Scale bars = 1000 µm. </w:t>
      </w:r>
      <w:r w:rsidR="00A41D77" w:rsidRPr="004B4716">
        <w:rPr>
          <w:rStyle w:val="Strong"/>
          <w:rFonts w:ascii="Times New Roman" w:hAnsi="Times New Roman" w:cs="Times New Roman"/>
          <w:color w:val="000000" w:themeColor="text1"/>
        </w:rPr>
        <w:t>(B)</w:t>
      </w:r>
      <w:r w:rsidR="00A41D77" w:rsidRPr="004B4716">
        <w:rPr>
          <w:rFonts w:ascii="Times New Roman" w:hAnsi="Times New Roman" w:cs="Times New Roman"/>
          <w:color w:val="000000" w:themeColor="text1"/>
        </w:rPr>
        <w:t xml:space="preserve"> STEAP1 mRNA expression (log₂[TPM + 1]) in TCGA Prostate Adenocarcinoma (PRAD) tumor samples and matched normal prostate tissue from </w:t>
      </w:r>
      <w:proofErr w:type="spellStart"/>
      <w:r w:rsidR="00A41D77" w:rsidRPr="004B4716">
        <w:rPr>
          <w:rFonts w:ascii="Times New Roman" w:hAnsi="Times New Roman" w:cs="Times New Roman"/>
          <w:color w:val="000000" w:themeColor="text1"/>
        </w:rPr>
        <w:t>GTEx</w:t>
      </w:r>
      <w:proofErr w:type="spellEnd"/>
      <w:r w:rsidR="00A41D77" w:rsidRPr="004B4716">
        <w:rPr>
          <w:rFonts w:ascii="Times New Roman" w:hAnsi="Times New Roman" w:cs="Times New Roman"/>
          <w:color w:val="000000" w:themeColor="text1"/>
        </w:rPr>
        <w:t>, accessed via UCSC Xena Browser. STEAP1 transcript levels are significantly elevated in tumor relative to normal prostate</w:t>
      </w:r>
      <w:r w:rsidR="00EC31CE" w:rsidRPr="004B4716">
        <w:rPr>
          <w:rFonts w:ascii="Times New Roman" w:hAnsi="Times New Roman" w:cs="Times New Roman"/>
          <w:color w:val="000000" w:themeColor="text1"/>
        </w:rPr>
        <w:t xml:space="preserve"> and other tissue</w:t>
      </w:r>
      <w:r w:rsidR="00A41D77" w:rsidRPr="004B4716">
        <w:rPr>
          <w:rFonts w:ascii="Times New Roman" w:hAnsi="Times New Roman" w:cs="Times New Roman"/>
          <w:color w:val="000000" w:themeColor="text1"/>
        </w:rPr>
        <w:t>.</w:t>
      </w:r>
      <w:r w:rsidR="00EC31CE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A41D77" w:rsidRPr="004B4716">
        <w:rPr>
          <w:rStyle w:val="Strong"/>
          <w:rFonts w:ascii="Times New Roman" w:hAnsi="Times New Roman" w:cs="Times New Roman"/>
          <w:color w:val="000000" w:themeColor="text1"/>
        </w:rPr>
        <w:t>(C)</w:t>
      </w:r>
      <w:r w:rsidR="00A41D77" w:rsidRPr="004B4716">
        <w:rPr>
          <w:rFonts w:ascii="Times New Roman" w:hAnsi="Times New Roman" w:cs="Times New Roman"/>
          <w:color w:val="000000" w:themeColor="text1"/>
        </w:rPr>
        <w:t xml:space="preserve"> STEAP1 mRNA expression (log₂[TPM + 1]) across metastatic tissue sites (bone, lymph node, liver, lung) in the SU2C/PCF Dream Team </w:t>
      </w:r>
      <w:proofErr w:type="spellStart"/>
      <w:r w:rsidR="00A41D77" w:rsidRPr="004B4716">
        <w:rPr>
          <w:rFonts w:ascii="Times New Roman" w:hAnsi="Times New Roman" w:cs="Times New Roman"/>
          <w:color w:val="000000" w:themeColor="text1"/>
        </w:rPr>
        <w:t>mAPMR</w:t>
      </w:r>
      <w:proofErr w:type="spellEnd"/>
      <w:r w:rsidR="00A41D77" w:rsidRPr="004B4716">
        <w:rPr>
          <w:rFonts w:ascii="Times New Roman" w:hAnsi="Times New Roman" w:cs="Times New Roman"/>
          <w:color w:val="000000" w:themeColor="text1"/>
        </w:rPr>
        <w:t xml:space="preserve"> cohort. Bone and lymph node metastases exhibit the highest median STEAP1 expression; liver and lung metastases show lower and more variable expression.</w:t>
      </w:r>
      <w:r w:rsidR="00EC31CE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EC31CE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(D) </w:t>
      </w:r>
      <w:r w:rsidR="00EC31CE" w:rsidRPr="004B4716">
        <w:rPr>
          <w:rFonts w:ascii="Times New Roman" w:hAnsi="Times New Roman" w:cs="Times New Roman"/>
          <w:color w:val="000000" w:themeColor="text1"/>
        </w:rPr>
        <w:t xml:space="preserve">Binding affinity of vandortuzumab and A1 on C4-2B STEAP1-positive line, with anti-human AF647 secondary. </w:t>
      </w:r>
      <w:r w:rsidR="00A41D77" w:rsidRPr="004B4716">
        <w:rPr>
          <w:rStyle w:val="Strong"/>
          <w:rFonts w:ascii="Times New Roman" w:hAnsi="Times New Roman" w:cs="Times New Roman"/>
          <w:color w:val="000000" w:themeColor="text1"/>
        </w:rPr>
        <w:t>(</w:t>
      </w:r>
      <w:r w:rsidR="00EC31CE" w:rsidRPr="004B4716">
        <w:rPr>
          <w:rStyle w:val="Strong"/>
          <w:rFonts w:ascii="Times New Roman" w:hAnsi="Times New Roman" w:cs="Times New Roman"/>
          <w:color w:val="000000" w:themeColor="text1"/>
        </w:rPr>
        <w:t>E</w:t>
      </w:r>
      <w:r w:rsidR="00A41D77" w:rsidRPr="004B4716">
        <w:rPr>
          <w:rStyle w:val="Strong"/>
          <w:rFonts w:ascii="Times New Roman" w:hAnsi="Times New Roman" w:cs="Times New Roman"/>
          <w:color w:val="000000" w:themeColor="text1"/>
        </w:rPr>
        <w:t>)</w:t>
      </w:r>
      <w:r w:rsidR="00A41D77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F47727" w:rsidRPr="004B4716">
        <w:rPr>
          <w:rFonts w:ascii="Times New Roman" w:hAnsi="Times New Roman" w:cs="Times New Roman"/>
          <w:color w:val="000000" w:themeColor="text1"/>
        </w:rPr>
        <w:t>Antiproliferative activity of vandortuzumab and A1 in 22Rv1 (STEAP1-low) and C4-2B (STEAP1-positive) APMR cell lines. Cells were seeded at 3,000 cells per well and cultured for 72 hours prior to viability assessment using the CellTiter-Glo assay.</w:t>
      </w:r>
      <w:r w:rsidR="00F47727" w:rsidRPr="004B4716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A41D77" w:rsidRPr="004B4716">
        <w:rPr>
          <w:rStyle w:val="Strong"/>
          <w:rFonts w:ascii="Times New Roman" w:hAnsi="Times New Roman" w:cs="Times New Roman"/>
          <w:color w:val="000000" w:themeColor="text1"/>
        </w:rPr>
        <w:t>(F)</w:t>
      </w:r>
      <w:r w:rsidR="00A41D77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EC31CE" w:rsidRPr="004B4716">
        <w:rPr>
          <w:rFonts w:ascii="Times New Roman" w:hAnsi="Times New Roman" w:cs="Times New Roman"/>
          <w:color w:val="000000" w:themeColor="text1"/>
        </w:rPr>
        <w:t xml:space="preserve">human </w:t>
      </w:r>
      <w:r w:rsidR="00A41D77" w:rsidRPr="004B4716">
        <w:rPr>
          <w:rFonts w:ascii="Times New Roman" w:hAnsi="Times New Roman" w:cs="Times New Roman"/>
          <w:color w:val="000000" w:themeColor="text1"/>
        </w:rPr>
        <w:t>C3</w:t>
      </w:r>
      <w:r w:rsidR="00EC31CE" w:rsidRPr="004B4716">
        <w:rPr>
          <w:rFonts w:ascii="Times New Roman" w:hAnsi="Times New Roman" w:cs="Times New Roman"/>
          <w:color w:val="000000" w:themeColor="text1"/>
        </w:rPr>
        <w:t>b</w:t>
      </w:r>
      <w:r w:rsidR="00A41D77" w:rsidRPr="004B4716">
        <w:rPr>
          <w:rFonts w:ascii="Times New Roman" w:hAnsi="Times New Roman" w:cs="Times New Roman"/>
          <w:color w:val="000000" w:themeColor="text1"/>
        </w:rPr>
        <w:t xml:space="preserve"> complement deposition on 22Rv1.hSTEAP1 cells measured by flow cytometry (anti-</w:t>
      </w:r>
      <w:r w:rsidR="00EC31CE" w:rsidRPr="004B4716">
        <w:rPr>
          <w:rFonts w:ascii="Times New Roman" w:hAnsi="Times New Roman" w:cs="Times New Roman"/>
          <w:color w:val="000000" w:themeColor="text1"/>
        </w:rPr>
        <w:t>human</w:t>
      </w:r>
      <w:r w:rsidR="00A41D77" w:rsidRPr="004B4716">
        <w:rPr>
          <w:rFonts w:ascii="Times New Roman" w:hAnsi="Times New Roman" w:cs="Times New Roman"/>
          <w:color w:val="000000" w:themeColor="text1"/>
        </w:rPr>
        <w:t xml:space="preserve"> C3 antibody) following </w:t>
      </w:r>
      <w:r w:rsidR="00EC31CE" w:rsidRPr="004B4716">
        <w:rPr>
          <w:rFonts w:ascii="Times New Roman" w:hAnsi="Times New Roman" w:cs="Times New Roman"/>
          <w:color w:val="000000" w:themeColor="text1"/>
        </w:rPr>
        <w:t xml:space="preserve">1 hour </w:t>
      </w:r>
      <w:r w:rsidR="00A41D77" w:rsidRPr="004B4716">
        <w:rPr>
          <w:rFonts w:ascii="Times New Roman" w:hAnsi="Times New Roman" w:cs="Times New Roman"/>
          <w:color w:val="000000" w:themeColor="text1"/>
        </w:rPr>
        <w:t>treatment with vandortuzumab or A1 in the presence of IgG-</w:t>
      </w:r>
      <w:r w:rsidR="00A41D77" w:rsidRPr="004B4716">
        <w:rPr>
          <w:rFonts w:ascii="Times New Roman" w:hAnsi="Times New Roman" w:cs="Times New Roman"/>
          <w:color w:val="000000" w:themeColor="text1"/>
        </w:rPr>
        <w:lastRenderedPageBreak/>
        <w:t xml:space="preserve">depleted human complement. </w:t>
      </w:r>
      <w:r w:rsidR="001D4FD1" w:rsidRPr="004B4716">
        <w:rPr>
          <w:rFonts w:ascii="Times New Roman" w:hAnsi="Times New Roman" w:cs="Times New Roman"/>
          <w:b/>
          <w:bCs/>
          <w:color w:val="000000" w:themeColor="text1"/>
        </w:rPr>
        <w:t>(</w:t>
      </w:r>
      <w:r w:rsidR="001D4FD1" w:rsidRPr="004B4716">
        <w:rPr>
          <w:rStyle w:val="Strong"/>
          <w:rFonts w:ascii="Times New Roman" w:hAnsi="Times New Roman" w:cs="Times New Roman"/>
          <w:color w:val="000000" w:themeColor="text1"/>
        </w:rPr>
        <w:t>G)</w:t>
      </w:r>
      <w:r w:rsidR="001D4FD1" w:rsidRPr="004B4716">
        <w:rPr>
          <w:rFonts w:ascii="Times New Roman" w:hAnsi="Times New Roman" w:cs="Times New Roman"/>
          <w:color w:val="000000" w:themeColor="text1"/>
        </w:rPr>
        <w:t xml:space="preserve"> Murine FcγRIV activation by vandortuzumab and A1 assessed by NFAT-Luciferase Jurkat reporter assay. </w:t>
      </w:r>
      <w:r w:rsidR="00A41D77" w:rsidRPr="004B4716">
        <w:rPr>
          <w:rStyle w:val="Strong"/>
          <w:rFonts w:ascii="Times New Roman" w:hAnsi="Times New Roman" w:cs="Times New Roman"/>
          <w:color w:val="000000" w:themeColor="text1"/>
        </w:rPr>
        <w:t>(</w:t>
      </w:r>
      <w:r w:rsidR="001D4FD1" w:rsidRPr="004B4716">
        <w:rPr>
          <w:rStyle w:val="Strong"/>
          <w:rFonts w:ascii="Times New Roman" w:hAnsi="Times New Roman" w:cs="Times New Roman"/>
          <w:color w:val="000000" w:themeColor="text1"/>
        </w:rPr>
        <w:t>H</w:t>
      </w:r>
      <w:r w:rsidR="00A41D77" w:rsidRPr="004B4716">
        <w:rPr>
          <w:rStyle w:val="Strong"/>
          <w:rFonts w:ascii="Times New Roman" w:hAnsi="Times New Roman" w:cs="Times New Roman"/>
          <w:color w:val="000000" w:themeColor="text1"/>
        </w:rPr>
        <w:t>)</w:t>
      </w:r>
      <w:r w:rsidR="00A41D77" w:rsidRPr="004B4716">
        <w:rPr>
          <w:rFonts w:ascii="Times New Roman" w:hAnsi="Times New Roman" w:cs="Times New Roman"/>
          <w:color w:val="000000" w:themeColor="text1"/>
        </w:rPr>
        <w:t xml:space="preserve"> Additional internalization data for pHrodo-labeled vandortuzumab or ADC constructs in PC3.hSTEAP1 by flow cytometry and live-cell fluorescence microscopy (CellDiscoverer 7).</w:t>
      </w:r>
      <w:r w:rsidR="00EC31CE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F47727" w:rsidRPr="004B4716">
        <w:rPr>
          <w:rFonts w:ascii="Times New Roman" w:hAnsi="Times New Roman" w:cs="Times New Roman"/>
          <w:color w:val="000000" w:themeColor="text1"/>
        </w:rPr>
        <w:t xml:space="preserve">Data represented as </w:t>
      </w:r>
      <w:r w:rsidR="00F47727" w:rsidRPr="004B4716">
        <w:rPr>
          <w:rFonts w:ascii="Times New Roman" w:hAnsi="Times New Roman" w:cs="Times New Roman"/>
          <w:color w:val="000000" w:themeColor="text1"/>
          <w:kern w:val="0"/>
        </w:rPr>
        <w:t xml:space="preserve">mean ± SD. Statistical analysis for panels </w:t>
      </w:r>
      <w:r w:rsidR="00F47727" w:rsidRPr="004B4716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(C) </w:t>
      </w:r>
      <w:r w:rsidR="00F47727" w:rsidRPr="004B4716">
        <w:rPr>
          <w:rFonts w:ascii="Times New Roman" w:hAnsi="Times New Roman" w:cs="Times New Roman"/>
          <w:color w:val="000000" w:themeColor="text1"/>
          <w:kern w:val="0"/>
        </w:rPr>
        <w:t xml:space="preserve">and </w:t>
      </w:r>
      <w:r w:rsidR="00F47727" w:rsidRPr="004B4716">
        <w:rPr>
          <w:rFonts w:ascii="Times New Roman" w:hAnsi="Times New Roman" w:cs="Times New Roman"/>
          <w:b/>
          <w:bCs/>
          <w:color w:val="000000" w:themeColor="text1"/>
          <w:kern w:val="0"/>
        </w:rPr>
        <w:t>(F)</w:t>
      </w:r>
      <w:r w:rsidR="00F47727" w:rsidRPr="004B4716">
        <w:rPr>
          <w:rFonts w:ascii="Times New Roman" w:hAnsi="Times New Roman" w:cs="Times New Roman"/>
          <w:color w:val="000000" w:themeColor="text1"/>
          <w:kern w:val="0"/>
        </w:rPr>
        <w:t xml:space="preserve"> was performed using one-way ANOVA with Tukey’s multiple comparisons test. Dose-response curves in </w:t>
      </w:r>
      <w:r w:rsidR="00F47727" w:rsidRPr="004B4716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(D) </w:t>
      </w:r>
      <w:r w:rsidR="00F47727" w:rsidRPr="004B4716">
        <w:rPr>
          <w:rFonts w:ascii="Times New Roman" w:hAnsi="Times New Roman" w:cs="Times New Roman"/>
          <w:color w:val="000000" w:themeColor="text1"/>
          <w:kern w:val="0"/>
        </w:rPr>
        <w:t xml:space="preserve">and </w:t>
      </w:r>
      <w:r w:rsidR="00F47727" w:rsidRPr="004B4716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(G) </w:t>
      </w:r>
      <w:r w:rsidR="00F47727" w:rsidRPr="004B4716">
        <w:rPr>
          <w:rFonts w:ascii="Times New Roman" w:hAnsi="Times New Roman" w:cs="Times New Roman"/>
          <w:color w:val="000000" w:themeColor="text1"/>
          <w:kern w:val="0"/>
        </w:rPr>
        <w:t>were fit using a 4PL model.</w:t>
      </w:r>
      <w:r w:rsidR="00F47727" w:rsidRPr="004B4716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</w:t>
      </w:r>
      <w:r w:rsidR="00B34640" w:rsidRPr="004B4716">
        <w:rPr>
          <w:rFonts w:ascii="Times New Roman" w:hAnsi="Times New Roman" w:cs="Times New Roman"/>
          <w:color w:val="000000" w:themeColor="text1"/>
        </w:rPr>
        <w:br w:type="page"/>
      </w:r>
    </w:p>
    <w:p w14:paraId="5E60E885" w14:textId="3D71751B" w:rsidR="00A41D77" w:rsidRPr="004B4716" w:rsidRDefault="00B34640" w:rsidP="00A41D77">
      <w:pPr>
        <w:pStyle w:val="font-claude-response-body"/>
        <w:rPr>
          <w:b/>
          <w:bCs/>
          <w:color w:val="000000" w:themeColor="text1"/>
        </w:rPr>
      </w:pPr>
      <w:r w:rsidRPr="004B4716">
        <w:rPr>
          <w:b/>
          <w:bCs/>
          <w:color w:val="000000" w:themeColor="text1"/>
        </w:rPr>
        <w:lastRenderedPageBreak/>
        <w:t>Supplementary Figure 2</w:t>
      </w:r>
    </w:p>
    <w:p w14:paraId="74FD3AC9" w14:textId="1C85B6F4" w:rsidR="00A41D77" w:rsidRPr="004B4716" w:rsidRDefault="002B0858" w:rsidP="00A41D77">
      <w:pPr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9B528AE" wp14:editId="3C76FC8E">
            <wp:extent cx="5678226" cy="7860695"/>
            <wp:effectExtent l="0" t="0" r="0" b="635"/>
            <wp:docPr id="1311439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439208" name=""/>
                    <pic:cNvPicPr/>
                  </pic:nvPicPr>
                  <pic:blipFill rotWithShape="1">
                    <a:blip r:embed="rId9"/>
                    <a:srcRect t="2244" r="19568" b="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72" cy="7874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4631BA" w14:textId="587F54AF" w:rsidR="00A41D77" w:rsidRPr="004B4716" w:rsidRDefault="002B0858" w:rsidP="00A41D77">
      <w:pPr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27E099D0" wp14:editId="3F64E3D8">
            <wp:extent cx="5730468" cy="8443421"/>
            <wp:effectExtent l="0" t="0" r="0" b="2540"/>
            <wp:docPr id="1023789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789773" name=""/>
                    <pic:cNvPicPr/>
                  </pic:nvPicPr>
                  <pic:blipFill rotWithShape="1">
                    <a:blip r:embed="rId10"/>
                    <a:srcRect l="1524" t="2492" r="17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335" cy="845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916A1" w14:textId="01A16424" w:rsidR="007A7CE2" w:rsidRPr="004B4716" w:rsidRDefault="00FD5D35" w:rsidP="00A41D77">
      <w:pPr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Figure 2. Biochemical characterization of vandortuzumab ADC constructs by mass spectrometry and reverse phase high performance liquid chromatography (RP-HPLC). (A-F) </w:t>
      </w:r>
      <w:r w:rsidRPr="004B4716">
        <w:rPr>
          <w:rFonts w:ascii="Times New Roman" w:hAnsi="Times New Roman" w:cs="Times New Roman"/>
          <w:color w:val="000000" w:themeColor="text1"/>
        </w:rPr>
        <w:t>(Top left) Chemical structure of each antibody and linker-payload. (Bottom left) High resolution mass spectrum showing multiply charged ions (m/z 2,000–3,500) of denatured ADC used to determine conjugation stoichiometry. (Top right) RP-HPLC chromatogram showing extracted ion chromatogram of intact ADC; (Bottom right) Deconvoluted mass spectrum confirming average drug to antibody ratio on light chain (upper) and heavy chain (lower) and their corresponding masses.</w:t>
      </w:r>
      <w:r w:rsidR="007A7CE2" w:rsidRPr="004B4716">
        <w:rPr>
          <w:rFonts w:ascii="Times New Roman" w:hAnsi="Times New Roman" w:cs="Times New Roman"/>
          <w:color w:val="000000" w:themeColor="text1"/>
        </w:rPr>
        <w:br w:type="page"/>
      </w:r>
    </w:p>
    <w:p w14:paraId="58044075" w14:textId="4B4DEB18" w:rsidR="00A41D77" w:rsidRPr="004B4716" w:rsidRDefault="007A7CE2" w:rsidP="00A41D77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 Figure 3</w:t>
      </w:r>
    </w:p>
    <w:p w14:paraId="1BDE8022" w14:textId="77777777" w:rsidR="00A41D77" w:rsidRPr="004B4716" w:rsidRDefault="00A41D77" w:rsidP="00A41D77">
      <w:pPr>
        <w:rPr>
          <w:rFonts w:ascii="Times New Roman" w:hAnsi="Times New Roman" w:cs="Times New Roman"/>
          <w:color w:val="000000" w:themeColor="text1"/>
        </w:rPr>
      </w:pPr>
    </w:p>
    <w:p w14:paraId="3DF75328" w14:textId="713739BE" w:rsidR="00A41D77" w:rsidRPr="004B4716" w:rsidRDefault="00780F7C" w:rsidP="00A41D77">
      <w:pPr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EAF1FB0" wp14:editId="7A6D90D1">
            <wp:extent cx="6130024" cy="3657600"/>
            <wp:effectExtent l="0" t="0" r="4445" b="0"/>
            <wp:docPr id="9033654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365471" name=""/>
                    <pic:cNvPicPr/>
                  </pic:nvPicPr>
                  <pic:blipFill rotWithShape="1">
                    <a:blip r:embed="rId11"/>
                    <a:srcRect t="1871" b="49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810" cy="3659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3DFCE1" w14:textId="77777777" w:rsidR="00A41D77" w:rsidRPr="004B4716" w:rsidRDefault="00A41D77" w:rsidP="00A41D77">
      <w:pPr>
        <w:rPr>
          <w:rFonts w:ascii="Times New Roman" w:hAnsi="Times New Roman" w:cs="Times New Roman"/>
          <w:color w:val="000000" w:themeColor="text1"/>
        </w:rPr>
      </w:pPr>
    </w:p>
    <w:p w14:paraId="5FFFA04A" w14:textId="06D3FBD7" w:rsidR="00A41D77" w:rsidRPr="004B4716" w:rsidRDefault="00AA3E16" w:rsidP="00A41D77">
      <w:pPr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t>Supplementary Figure 3.</w:t>
      </w:r>
      <w:r w:rsidR="00FD5D35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 Extended cathepsin expression and linker cleavage data. (A-B) </w:t>
      </w:r>
      <w:r w:rsidR="00FD5D35" w:rsidRPr="004B4716">
        <w:rPr>
          <w:rFonts w:ascii="Times New Roman" w:hAnsi="Times New Roman" w:cs="Times New Roman"/>
          <w:color w:val="000000" w:themeColor="text1"/>
        </w:rPr>
        <w:t xml:space="preserve">CTSL and CTSB IHC images from TMA, shown as individual tumor cores stratified by Gleason grade category (normal, 5–6, 7, 8–10). Scale bars = 1000 µm. </w:t>
      </w:r>
      <w:r w:rsidR="00FD5D35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(C) </w:t>
      </w:r>
      <w:r w:rsidR="00FD5D35" w:rsidRPr="004B4716">
        <w:rPr>
          <w:rFonts w:ascii="Times New Roman" w:hAnsi="Times New Roman" w:cs="Times New Roman"/>
          <w:color w:val="000000" w:themeColor="text1"/>
        </w:rPr>
        <w:t xml:space="preserve">Cytotoxicity rescue assay for vandortuzumab–GGFG-exatecan (incorporating a PABC spacer). </w:t>
      </w:r>
      <w:r w:rsidR="0013770B" w:rsidRPr="004B4716">
        <w:rPr>
          <w:rFonts w:ascii="Times New Roman" w:hAnsi="Times New Roman" w:cs="Times New Roman"/>
          <w:color w:val="000000" w:themeColor="text1"/>
        </w:rPr>
        <w:t xml:space="preserve">Data </w:t>
      </w:r>
      <w:r w:rsidR="00CA45D6" w:rsidRPr="004B4716">
        <w:rPr>
          <w:rFonts w:ascii="Times New Roman" w:hAnsi="Times New Roman" w:cs="Times New Roman"/>
          <w:color w:val="000000" w:themeColor="text1"/>
        </w:rPr>
        <w:t xml:space="preserve">in </w:t>
      </w:r>
      <w:r w:rsidR="00CA45D6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(C) </w:t>
      </w:r>
      <w:r w:rsidR="0013770B" w:rsidRPr="004B4716">
        <w:rPr>
          <w:rFonts w:ascii="Times New Roman" w:hAnsi="Times New Roman" w:cs="Times New Roman"/>
          <w:color w:val="000000" w:themeColor="text1"/>
        </w:rPr>
        <w:t xml:space="preserve">represented as mean ± SD. Dose-response curves in </w:t>
      </w:r>
      <w:r w:rsidR="0013770B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(C) </w:t>
      </w:r>
      <w:r w:rsidR="0013770B" w:rsidRPr="004B4716">
        <w:rPr>
          <w:rFonts w:ascii="Times New Roman" w:hAnsi="Times New Roman" w:cs="Times New Roman"/>
          <w:color w:val="000000" w:themeColor="text1"/>
        </w:rPr>
        <w:t>were fit using a 4PL model.</w:t>
      </w:r>
    </w:p>
    <w:p w14:paraId="6910F27C" w14:textId="77777777" w:rsidR="00AA3E16" w:rsidRPr="004B4716" w:rsidRDefault="00AA3E16" w:rsidP="00A41D77">
      <w:pPr>
        <w:rPr>
          <w:rFonts w:ascii="Times New Roman" w:hAnsi="Times New Roman" w:cs="Times New Roman"/>
          <w:color w:val="000000" w:themeColor="text1"/>
        </w:rPr>
      </w:pPr>
    </w:p>
    <w:p w14:paraId="3443D052" w14:textId="763610F4" w:rsidR="00AA3E16" w:rsidRPr="004B4716" w:rsidRDefault="00AA3E16" w:rsidP="00A41D77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13355768" w14:textId="768AA766" w:rsidR="00AA3E16" w:rsidRPr="004B4716" w:rsidRDefault="00AA3E16" w:rsidP="001170EC">
      <w:pPr>
        <w:jc w:val="left"/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 Figure 4</w:t>
      </w:r>
      <w:r w:rsidR="0013770B" w:rsidRPr="004B4716">
        <w:rPr>
          <w:noProof/>
          <w:color w:val="000000" w:themeColor="text1"/>
        </w:rPr>
        <w:t xml:space="preserve"> </w:t>
      </w:r>
      <w:r w:rsidR="0013770B" w:rsidRPr="004B4716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05D9474A" wp14:editId="5A07D260">
            <wp:extent cx="5513678" cy="7950467"/>
            <wp:effectExtent l="0" t="0" r="0" b="0"/>
            <wp:docPr id="1875815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815678" name=""/>
                    <pic:cNvPicPr/>
                  </pic:nvPicPr>
                  <pic:blipFill rotWithShape="1">
                    <a:blip r:embed="rId12"/>
                    <a:srcRect t="1988" r="16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310" cy="7957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66122C" w14:textId="1B8F5770" w:rsidR="00A41D77" w:rsidRPr="004B4716" w:rsidRDefault="00A41D77" w:rsidP="00A41D77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F19A3BE" w14:textId="239D64CF" w:rsidR="00C63898" w:rsidRPr="004B4716" w:rsidRDefault="00430143" w:rsidP="00430143">
      <w:pPr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7B02DEF" wp14:editId="6A455588">
            <wp:extent cx="6057125" cy="6943060"/>
            <wp:effectExtent l="0" t="0" r="1270" b="4445"/>
            <wp:docPr id="2102904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904926" name=""/>
                    <pic:cNvPicPr/>
                  </pic:nvPicPr>
                  <pic:blipFill rotWithShape="1">
                    <a:blip r:embed="rId13"/>
                    <a:srcRect l="3040" t="7464" r="1600" b="3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042" cy="6952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Supplementary Figure 4. Extended characterization of ADC Fc effector functions and ADC-driven innate and adaptive immune activation in vitro.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(A)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312DD6" w:rsidRPr="004B4716">
        <w:rPr>
          <w:rFonts w:ascii="Times New Roman" w:hAnsi="Times New Roman" w:cs="Times New Roman"/>
          <w:color w:val="000000" w:themeColor="text1"/>
        </w:rPr>
        <w:t xml:space="preserve">Murine complement deposition across STEAP1-positive cell lines using wild-type or C1q⁻/⁻ serum. PC3.hSTEAP1 cells demonstrated antibody-dependent, C1q-dependent complement deposition. C4-2B and 22Rv1.hSTEAP1 parental cells showed elevated baseline complement deposition independent of antibody treatment. The caudal metastasis (CM)-derived 22Rv1.hSTEAP1 subline exhibited </w:t>
      </w:r>
      <w:r w:rsidR="00312DD6" w:rsidRPr="004B4716">
        <w:rPr>
          <w:rFonts w:ascii="Times New Roman" w:hAnsi="Times New Roman" w:cs="Times New Roman"/>
          <w:color w:val="000000" w:themeColor="text1"/>
        </w:rPr>
        <w:lastRenderedPageBreak/>
        <w:t>antibody-dependent complement deposition with minimal baseline signal.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(B)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Human FcγRIIIA activation assessed by NFAT-Luciferase Jurkat reporter assay. </w:t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(C)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Representative flow cytometry gating strategy and quantification for ADCP. Macrophage phagocytosis is shown as the percentage of CellTrace Violet (CTV)⁺ macrophages that are pHrodo⁺ following 4-hour co-incubation with pHrodo-labeled tumor cells. </w:t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(D)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Antigen presentation marker expression heatmap for BMDMs co-cultured with ADC-treated PC3.hSTEAP1 cells</w:t>
      </w:r>
      <w:r w:rsidR="00312DD6" w:rsidRPr="004B4716">
        <w:rPr>
          <w:rFonts w:ascii="Times New Roman" w:hAnsi="Times New Roman" w:cs="Times New Roman"/>
          <w:color w:val="000000" w:themeColor="text1"/>
        </w:rPr>
        <w:t>.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(E)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Representative flow cytometry gating strategy for macrophage activation analysis. Macrophages were identified as CTV⁺CD11b⁺ cells; surface expression of MHC I, MHC II, CD40, CD80, and CD86 was assessed within this gate. </w:t>
      </w:r>
      <w:r w:rsidR="00492EFC" w:rsidRPr="004B4716">
        <w:rPr>
          <w:rStyle w:val="Strong"/>
          <w:rFonts w:ascii="Times New Roman" w:hAnsi="Times New Roman" w:cs="Times New Roman"/>
          <w:color w:val="000000" w:themeColor="text1"/>
        </w:rPr>
        <w:t>(F)</w:t>
      </w:r>
      <w:r w:rsidR="00492EFC" w:rsidRPr="004B4716">
        <w:rPr>
          <w:rFonts w:ascii="Times New Roman" w:hAnsi="Times New Roman" w:cs="Times New Roman"/>
          <w:color w:val="000000" w:themeColor="text1"/>
        </w:rPr>
        <w:t xml:space="preserve"> Reactome pathway enrichment analysis of macrophages co-cultured with vandortuzumab–exatecan– versus vandortuzumab–MMAE–treated tumor cells, each filtered with log</w:t>
      </w:r>
      <w:r w:rsidR="00492EFC" w:rsidRPr="004B4716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="00492EFC" w:rsidRPr="004B4716">
        <w:rPr>
          <w:rFonts w:ascii="Times New Roman" w:hAnsi="Times New Roman" w:cs="Times New Roman"/>
          <w:color w:val="000000" w:themeColor="text1"/>
        </w:rPr>
        <w:t xml:space="preserve">FoldChange &lt; -0.5. </w:t>
      </w:r>
      <w:r w:rsidR="00492EFC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(G) </w:t>
      </w:r>
      <w:r w:rsidR="00492EFC" w:rsidRPr="004B4716">
        <w:rPr>
          <w:rFonts w:ascii="Times New Roman" w:hAnsi="Times New Roman" w:cs="Times New Roman"/>
          <w:color w:val="000000" w:themeColor="text1"/>
        </w:rPr>
        <w:t>Fast gene set enrichment analysis (</w:t>
      </w:r>
      <w:proofErr w:type="spellStart"/>
      <w:r w:rsidR="00492EFC" w:rsidRPr="004B4716">
        <w:rPr>
          <w:rFonts w:ascii="Times New Roman" w:hAnsi="Times New Roman" w:cs="Times New Roman"/>
          <w:color w:val="000000" w:themeColor="text1"/>
        </w:rPr>
        <w:t>fgsea</w:t>
      </w:r>
      <w:proofErr w:type="spellEnd"/>
      <w:r w:rsidR="00492EFC" w:rsidRPr="004B4716">
        <w:rPr>
          <w:rFonts w:ascii="Times New Roman" w:hAnsi="Times New Roman" w:cs="Times New Roman"/>
          <w:color w:val="000000" w:themeColor="text1"/>
        </w:rPr>
        <w:t xml:space="preserve">) was performed on DESeq2-ranked murine genes using </w:t>
      </w:r>
      <w:proofErr w:type="spellStart"/>
      <w:r w:rsidR="00492EFC" w:rsidRPr="004B4716">
        <w:rPr>
          <w:rFonts w:ascii="Times New Roman" w:hAnsi="Times New Roman" w:cs="Times New Roman"/>
          <w:color w:val="000000" w:themeColor="text1"/>
        </w:rPr>
        <w:t>MSigDB</w:t>
      </w:r>
      <w:proofErr w:type="spellEnd"/>
      <w:r w:rsidR="00492EFC" w:rsidRPr="004B4716">
        <w:rPr>
          <w:rFonts w:ascii="Times New Roman" w:hAnsi="Times New Roman" w:cs="Times New Roman"/>
          <w:color w:val="000000" w:themeColor="text1"/>
        </w:rPr>
        <w:t xml:space="preserve"> Hallmark gene sets. Bars represent the normalized enrichment score (NES); orange indicates gene sets enriched in the WT-Exatecan condition and blue indicates gene sets enriched in the WT-MMAE condition. Only gene sets with adjusted p &lt; 0.05 are displayed. 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>(</w:t>
      </w:r>
      <w:r w:rsidR="00492EFC" w:rsidRPr="004B4716">
        <w:rPr>
          <w:rFonts w:ascii="Times New Roman" w:hAnsi="Times New Roman" w:cs="Times New Roman"/>
          <w:b/>
          <w:bCs/>
          <w:color w:val="000000" w:themeColor="text1"/>
        </w:rPr>
        <w:t>H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) </w:t>
      </w:r>
      <w:r w:rsidR="009745B9" w:rsidRPr="004B4716">
        <w:rPr>
          <w:rFonts w:ascii="Times New Roman" w:hAnsi="Times New Roman" w:cs="Times New Roman"/>
          <w:color w:val="000000" w:themeColor="text1"/>
        </w:rPr>
        <w:t xml:space="preserve">Mean z-scored expression was computed across curated gene signatures for MHC-I antigen presentation and inflammatory macrophage activation in murine macrophage transcriptomes. Each point represents an individual sample (n = 3 per condition). </w:t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(</w:t>
      </w:r>
      <w:r w:rsidR="00492EFC" w:rsidRPr="004B4716">
        <w:rPr>
          <w:rStyle w:val="Strong"/>
          <w:rFonts w:ascii="Times New Roman" w:hAnsi="Times New Roman" w:cs="Times New Roman"/>
          <w:color w:val="000000" w:themeColor="text1"/>
        </w:rPr>
        <w:t>I</w:t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)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Complement-related transcript expression from bulk RNA-seq of macrophages co-cultured with antibody-treated tumor cells. Vandortuzumab treatment increased expression of several complement components and regulatory transcripts relative to isotype control, suggesting that Fc-mediated complement activation may contribute to macrophage priming.</w:t>
      </w:r>
      <w:r w:rsidR="004C5CB4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(</w:t>
      </w:r>
      <w:r w:rsidR="009745B9" w:rsidRPr="004B4716">
        <w:rPr>
          <w:rStyle w:val="Strong"/>
          <w:rFonts w:ascii="Times New Roman" w:hAnsi="Times New Roman" w:cs="Times New Roman"/>
          <w:color w:val="000000" w:themeColor="text1"/>
        </w:rPr>
        <w:t>J</w:t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)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Representative flow cytometry gating strategy for OT-I T-cell activation. CD8⁺ T cells were identified within the live (ViaDye Red⁻) gate; CellTrace Violet dilution and CD44 upregulation were used to assess proliferation and activation, respectively.</w:t>
      </w:r>
      <w:r w:rsidR="004C5CB4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(</w:t>
      </w:r>
      <w:r w:rsidR="009745B9" w:rsidRPr="004B4716">
        <w:rPr>
          <w:rStyle w:val="Strong"/>
          <w:rFonts w:ascii="Times New Roman" w:hAnsi="Times New Roman" w:cs="Times New Roman"/>
          <w:color w:val="000000" w:themeColor="text1"/>
        </w:rPr>
        <w:t>K</w:t>
      </w:r>
      <w:r w:rsidR="00C63898" w:rsidRPr="004B4716">
        <w:rPr>
          <w:rStyle w:val="Strong"/>
          <w:rFonts w:ascii="Times New Roman" w:hAnsi="Times New Roman" w:cs="Times New Roman"/>
          <w:color w:val="000000" w:themeColor="text1"/>
        </w:rPr>
        <w:t>)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Peptide control histograms for OT-I T-cell proliferation. SIINFEKL peptide (positive control, 1 µg/mL) </w:t>
      </w:r>
      <w:r w:rsidR="00CA45D6" w:rsidRPr="004B4716">
        <w:rPr>
          <w:rFonts w:ascii="Times New Roman" w:hAnsi="Times New Roman" w:cs="Times New Roman"/>
          <w:color w:val="000000" w:themeColor="text1"/>
        </w:rPr>
        <w:t>and</w:t>
      </w:r>
      <w:r w:rsidR="00C63898" w:rsidRPr="004B4716">
        <w:rPr>
          <w:rFonts w:ascii="Times New Roman" w:hAnsi="Times New Roman" w:cs="Times New Roman"/>
          <w:color w:val="000000" w:themeColor="text1"/>
        </w:rPr>
        <w:t xml:space="preserve"> mock GFP peptide (negative control) </w:t>
      </w:r>
      <w:r w:rsidR="00CA45D6" w:rsidRPr="004B4716">
        <w:rPr>
          <w:rFonts w:ascii="Times New Roman" w:hAnsi="Times New Roman" w:cs="Times New Roman"/>
          <w:color w:val="000000" w:themeColor="text1"/>
        </w:rPr>
        <w:t xml:space="preserve">are shown. Data in </w:t>
      </w:r>
      <w:r w:rsidR="00CA45D6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(A) </w:t>
      </w:r>
      <w:r w:rsidR="00CA45D6" w:rsidRPr="004B4716">
        <w:rPr>
          <w:rFonts w:ascii="Times New Roman" w:hAnsi="Times New Roman" w:cs="Times New Roman"/>
          <w:color w:val="000000" w:themeColor="text1"/>
        </w:rPr>
        <w:t xml:space="preserve">and </w:t>
      </w:r>
      <w:r w:rsidR="00CA45D6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(B) </w:t>
      </w:r>
      <w:r w:rsidR="00CA45D6" w:rsidRPr="004B4716">
        <w:rPr>
          <w:rFonts w:ascii="Times New Roman" w:hAnsi="Times New Roman" w:cs="Times New Roman"/>
          <w:color w:val="000000" w:themeColor="text1"/>
        </w:rPr>
        <w:t xml:space="preserve">represented as mean ± SD. Dose-response curves in </w:t>
      </w:r>
      <w:r w:rsidR="00CA45D6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(B) </w:t>
      </w:r>
      <w:r w:rsidR="00CA45D6" w:rsidRPr="004B4716">
        <w:rPr>
          <w:rFonts w:ascii="Times New Roman" w:hAnsi="Times New Roman" w:cs="Times New Roman"/>
          <w:color w:val="000000" w:themeColor="text1"/>
        </w:rPr>
        <w:t xml:space="preserve">were fit using a 4PL model. Boxes in </w:t>
      </w:r>
      <w:r w:rsidR="00CA45D6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(H) </w:t>
      </w:r>
      <w:r w:rsidR="00CA45D6" w:rsidRPr="004B4716">
        <w:rPr>
          <w:rFonts w:ascii="Times New Roman" w:hAnsi="Times New Roman" w:cs="Times New Roman"/>
          <w:color w:val="000000" w:themeColor="text1"/>
        </w:rPr>
        <w:t>indicate interquartile range with median line. Pairwise comparisons were performed using Welch's t-test.</w:t>
      </w:r>
    </w:p>
    <w:p w14:paraId="608B2379" w14:textId="5104FF5D" w:rsidR="005838C2" w:rsidRPr="004B4716" w:rsidRDefault="005838C2" w:rsidP="00A41D77">
      <w:pPr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color w:val="000000" w:themeColor="text1"/>
        </w:rPr>
        <w:br w:type="page"/>
      </w:r>
    </w:p>
    <w:p w14:paraId="47C56A4E" w14:textId="5BA8A430" w:rsidR="00A41D77" w:rsidRPr="004B4716" w:rsidRDefault="005838C2" w:rsidP="00A41D77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Figure 5. </w:t>
      </w:r>
    </w:p>
    <w:p w14:paraId="3FB1F623" w14:textId="5C442B06" w:rsidR="005838C2" w:rsidRPr="004B4716" w:rsidRDefault="008927FD" w:rsidP="00A41D77">
      <w:pPr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E335C9F" wp14:editId="6A38D75F">
            <wp:extent cx="5847347" cy="7568829"/>
            <wp:effectExtent l="0" t="0" r="0" b="635"/>
            <wp:docPr id="444055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055007" name=""/>
                    <pic:cNvPicPr/>
                  </pic:nvPicPr>
                  <pic:blipFill rotWithShape="1">
                    <a:blip r:embed="rId14"/>
                    <a:srcRect r="16801" b="11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799" cy="7583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6DAA8" w14:textId="568A2FCA" w:rsidR="00E00AB5" w:rsidRPr="004B4716" w:rsidRDefault="00E00AB5" w:rsidP="00A41D77">
      <w:pPr>
        <w:rPr>
          <w:rFonts w:ascii="Times New Roman" w:hAnsi="Times New Roman" w:cs="Times New Roman"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5. </w:t>
      </w:r>
      <w:r w:rsidR="0023527B" w:rsidRPr="004B4716">
        <w:rPr>
          <w:rFonts w:ascii="Times New Roman" w:hAnsi="Times New Roman" w:cs="Times New Roman"/>
          <w:b/>
          <w:bCs/>
          <w:color w:val="000000" w:themeColor="text1"/>
        </w:rPr>
        <w:t>Extended in vivo xenograft data and characterization of 22Rv1.hSTEAP1-Luc subline.</w:t>
      </w:r>
      <w:r w:rsidR="00210096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8927FD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(A) </w:t>
      </w:r>
      <w:r w:rsidR="008927FD" w:rsidRPr="004B4716">
        <w:rPr>
          <w:rFonts w:ascii="Times New Roman" w:hAnsi="Times New Roman" w:cs="Times New Roman"/>
          <w:color w:val="000000" w:themeColor="text1"/>
        </w:rPr>
        <w:t xml:space="preserve">Mass spectrometry analysis of serum free exatecan in rats </w:t>
      </w:r>
      <w:r w:rsidR="008927FD" w:rsidRPr="004B4716">
        <w:rPr>
          <w:rFonts w:ascii="Times New Roman" w:hAnsi="Times New Roman" w:cs="Times New Roman"/>
          <w:color w:val="000000" w:themeColor="text1"/>
        </w:rPr>
        <w:lastRenderedPageBreak/>
        <w:t xml:space="preserve">following single dose of 5 mg/kg v-exatecan. </w:t>
      </w:r>
      <w:r w:rsidR="008927FD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(B) </w:t>
      </w:r>
      <w:r w:rsidR="008927FD" w:rsidRPr="004B4716">
        <w:rPr>
          <w:rFonts w:ascii="Times New Roman" w:hAnsi="Times New Roman" w:cs="Times New Roman"/>
          <w:color w:val="000000" w:themeColor="text1"/>
        </w:rPr>
        <w:t xml:space="preserve">Mass spectrometry analysis of free exatecan after incubating 100 ug/mL v-exatecan in 100% human serum. 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>(</w:t>
      </w:r>
      <w:r w:rsidR="008927FD" w:rsidRPr="004B4716">
        <w:rPr>
          <w:rFonts w:ascii="Times New Roman" w:hAnsi="Times New Roman" w:cs="Times New Roman"/>
          <w:b/>
          <w:bCs/>
          <w:color w:val="000000" w:themeColor="text1"/>
        </w:rPr>
        <w:t>C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>)</w:t>
      </w:r>
      <w:r w:rsidR="009745B9" w:rsidRPr="004B4716">
        <w:rPr>
          <w:rFonts w:ascii="Times New Roman" w:hAnsi="Times New Roman" w:cs="Times New Roman"/>
          <w:color w:val="000000" w:themeColor="text1"/>
        </w:rPr>
        <w:t xml:space="preserve"> PC3.hSTEAP1 tumor volume at day 50 following treatment (1 dose of 4 mg/kg isotype, vandortuzumab, or vandortuzumab-exatecan). </w:t>
      </w:r>
      <w:r w:rsidR="008927FD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(D) </w:t>
      </w:r>
      <w:r w:rsidR="008927FD" w:rsidRPr="004B4716">
        <w:rPr>
          <w:rFonts w:ascii="Times New Roman" w:hAnsi="Times New Roman" w:cs="Times New Roman"/>
          <w:color w:val="000000" w:themeColor="text1"/>
        </w:rPr>
        <w:t xml:space="preserve">Intratumoral and serum exatecan accumulation in PC3.hSTEAP1 tumor-bearing mice at day 4 following a single 5 mg/kg dose of </w:t>
      </w:r>
      <w:r w:rsidR="00F07D3D" w:rsidRPr="004B4716">
        <w:rPr>
          <w:rFonts w:ascii="Times New Roman" w:hAnsi="Times New Roman" w:cs="Times New Roman"/>
          <w:color w:val="000000" w:themeColor="text1"/>
        </w:rPr>
        <w:t xml:space="preserve">vandortuzumab or </w:t>
      </w:r>
      <w:r w:rsidR="008927FD" w:rsidRPr="004B4716">
        <w:rPr>
          <w:rFonts w:ascii="Times New Roman" w:hAnsi="Times New Roman" w:cs="Times New Roman"/>
          <w:color w:val="000000" w:themeColor="text1"/>
        </w:rPr>
        <w:t xml:space="preserve">v-exatecan. 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>(</w:t>
      </w:r>
      <w:r w:rsidR="008927FD" w:rsidRPr="004B4716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>)</w:t>
      </w:r>
      <w:r w:rsidR="009745B9" w:rsidRPr="004B4716">
        <w:rPr>
          <w:rFonts w:ascii="Times New Roman" w:hAnsi="Times New Roman" w:cs="Times New Roman"/>
          <w:color w:val="000000" w:themeColor="text1"/>
        </w:rPr>
        <w:t xml:space="preserve"> Derivation of 22Rv1.hSTEAP1 CM bone metastasis subline. Bone marrow was flushed from the femur of a tumor-bearing mouse and subsequently re-cultured. 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>(</w:t>
      </w:r>
      <w:r w:rsidR="008927FD" w:rsidRPr="004B4716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>)</w:t>
      </w:r>
      <w:r w:rsidR="009745B9" w:rsidRPr="004B4716">
        <w:rPr>
          <w:rFonts w:ascii="Times New Roman" w:hAnsi="Times New Roman" w:cs="Times New Roman"/>
          <w:color w:val="000000" w:themeColor="text1"/>
        </w:rPr>
        <w:t xml:space="preserve"> Flow cytometry analysis of the CM subline suggesting clonal enrichment and loss of the </w:t>
      </w:r>
      <w:proofErr w:type="spellStart"/>
      <w:r w:rsidR="009745B9" w:rsidRPr="004B4716">
        <w:rPr>
          <w:rFonts w:ascii="Times New Roman" w:hAnsi="Times New Roman" w:cs="Times New Roman"/>
          <w:color w:val="000000" w:themeColor="text1"/>
        </w:rPr>
        <w:t>EpCAM</w:t>
      </w:r>
      <w:r w:rsidR="009745B9" w:rsidRPr="004B4716">
        <w:rPr>
          <w:rFonts w:ascii="Times New Roman" w:hAnsi="Times New Roman" w:cs="Times New Roman"/>
          <w:color w:val="000000" w:themeColor="text1"/>
          <w:vertAlign w:val="superscript"/>
        </w:rPr>
        <w:t>high</w:t>
      </w:r>
      <w:proofErr w:type="spellEnd"/>
      <w:r w:rsidR="009745B9" w:rsidRPr="004B4716">
        <w:rPr>
          <w:rFonts w:ascii="Times New Roman" w:hAnsi="Times New Roman" w:cs="Times New Roman"/>
          <w:color w:val="000000" w:themeColor="text1"/>
        </w:rPr>
        <w:t xml:space="preserve"> CD44</w:t>
      </w:r>
      <w:r w:rsidR="009745B9" w:rsidRPr="004B4716">
        <w:rPr>
          <w:rFonts w:ascii="Times New Roman" w:hAnsi="Times New Roman" w:cs="Times New Roman"/>
          <w:color w:val="000000" w:themeColor="text1"/>
          <w:vertAlign w:val="superscript"/>
        </w:rPr>
        <w:t>high</w:t>
      </w:r>
      <w:r w:rsidR="009745B9" w:rsidRPr="004B4716">
        <w:rPr>
          <w:rFonts w:ascii="Times New Roman" w:hAnsi="Times New Roman" w:cs="Times New Roman"/>
          <w:color w:val="000000" w:themeColor="text1"/>
        </w:rPr>
        <w:t xml:space="preserve"> double-positive population. 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>(</w:t>
      </w:r>
      <w:r w:rsidR="008927FD" w:rsidRPr="004B4716">
        <w:rPr>
          <w:rFonts w:ascii="Times New Roman" w:hAnsi="Times New Roman" w:cs="Times New Roman"/>
          <w:b/>
          <w:bCs/>
          <w:color w:val="000000" w:themeColor="text1"/>
        </w:rPr>
        <w:t>G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>)</w:t>
      </w:r>
      <w:r w:rsidR="009745B9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821170" w:rsidRPr="004B4716">
        <w:rPr>
          <w:rFonts w:ascii="Times New Roman" w:hAnsi="Times New Roman" w:cs="Times New Roman"/>
          <w:color w:val="000000" w:themeColor="text1"/>
        </w:rPr>
        <w:t xml:space="preserve">Tumor growth in the 22Rv1.hSTEAP1 CM subcutaneous model at day 18 following treatment (2 doses of 2 mg/kg isotype or vandortuzumab–exatecan). 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>(</w:t>
      </w:r>
      <w:r w:rsidR="008927FD" w:rsidRPr="004B4716">
        <w:rPr>
          <w:rFonts w:ascii="Times New Roman" w:hAnsi="Times New Roman" w:cs="Times New Roman"/>
          <w:b/>
          <w:bCs/>
          <w:color w:val="000000" w:themeColor="text1"/>
        </w:rPr>
        <w:t>H</w:t>
      </w:r>
      <w:r w:rsidR="009745B9" w:rsidRPr="004B4716">
        <w:rPr>
          <w:rFonts w:ascii="Times New Roman" w:hAnsi="Times New Roman" w:cs="Times New Roman"/>
          <w:b/>
          <w:bCs/>
          <w:color w:val="000000" w:themeColor="text1"/>
        </w:rPr>
        <w:t>)</w:t>
      </w:r>
      <w:r w:rsidR="009745B9" w:rsidRPr="004B4716">
        <w:rPr>
          <w:rFonts w:ascii="Times New Roman" w:hAnsi="Times New Roman" w:cs="Times New Roman"/>
          <w:color w:val="000000" w:themeColor="text1"/>
        </w:rPr>
        <w:t xml:space="preserve"> </w:t>
      </w:r>
      <w:r w:rsidR="00821170" w:rsidRPr="004B4716">
        <w:rPr>
          <w:rFonts w:ascii="Times New Roman" w:hAnsi="Times New Roman" w:cs="Times New Roman"/>
          <w:color w:val="000000" w:themeColor="text1"/>
        </w:rPr>
        <w:t>Bioluminescent total flux of 22Rv1.hSTEAP1 CM bone metastases at day 18 following treatment initiation (3 doses of 4 mg/kg isotype or vandortuzumab–exatecan). Data represented as mean ± SD. Statistical analyses performed with one-way ANOVA with Tukey’s multiple comparisons test (</w:t>
      </w:r>
      <w:r w:rsidR="008927FD" w:rsidRPr="004B4716">
        <w:rPr>
          <w:rFonts w:ascii="Times New Roman" w:hAnsi="Times New Roman" w:cs="Times New Roman"/>
          <w:color w:val="000000" w:themeColor="text1"/>
        </w:rPr>
        <w:t>C, G</w:t>
      </w:r>
      <w:r w:rsidR="00821170" w:rsidRPr="004B4716">
        <w:rPr>
          <w:rFonts w:ascii="Times New Roman" w:hAnsi="Times New Roman" w:cs="Times New Roman"/>
          <w:color w:val="000000" w:themeColor="text1"/>
        </w:rPr>
        <w:t>); Welch’s t test (</w:t>
      </w:r>
      <w:r w:rsidR="008927FD" w:rsidRPr="004B4716">
        <w:rPr>
          <w:rFonts w:ascii="Times New Roman" w:hAnsi="Times New Roman" w:cs="Times New Roman"/>
          <w:color w:val="000000" w:themeColor="text1"/>
        </w:rPr>
        <w:t>D, H</w:t>
      </w:r>
      <w:r w:rsidR="00821170" w:rsidRPr="004B4716">
        <w:rPr>
          <w:rFonts w:ascii="Times New Roman" w:hAnsi="Times New Roman" w:cs="Times New Roman"/>
          <w:color w:val="000000" w:themeColor="text1"/>
        </w:rPr>
        <w:t>).</w:t>
      </w:r>
      <w:r w:rsidRPr="004B4716">
        <w:rPr>
          <w:rFonts w:ascii="Times New Roman" w:hAnsi="Times New Roman" w:cs="Times New Roman"/>
          <w:b/>
          <w:bCs/>
          <w:color w:val="000000" w:themeColor="text1"/>
        </w:rPr>
        <w:br w:type="page"/>
      </w:r>
      <w:r w:rsidRPr="004B4716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Figure 6. </w:t>
      </w:r>
    </w:p>
    <w:p w14:paraId="1FB945D6" w14:textId="69FEC170" w:rsidR="00E00AB5" w:rsidRPr="004B4716" w:rsidRDefault="00B83EE7" w:rsidP="00A41D77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6D4FD661" wp14:editId="1B7EA2D5">
            <wp:extent cx="5579276" cy="8036383"/>
            <wp:effectExtent l="0" t="0" r="0" b="3175"/>
            <wp:docPr id="1983723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23906" name=""/>
                    <pic:cNvPicPr/>
                  </pic:nvPicPr>
                  <pic:blipFill rotWithShape="1">
                    <a:blip r:embed="rId15"/>
                    <a:srcRect l="4480" t="3824" r="13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40" cy="8058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39DD30" w14:textId="0E144423" w:rsidR="00E00AB5" w:rsidRPr="004B4716" w:rsidRDefault="008927FD" w:rsidP="00A41D77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3A86B733" wp14:editId="0118D63A">
            <wp:extent cx="5883442" cy="5595934"/>
            <wp:effectExtent l="0" t="0" r="0" b="5080"/>
            <wp:docPr id="234907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907081" name=""/>
                    <pic:cNvPicPr/>
                  </pic:nvPicPr>
                  <pic:blipFill rotWithShape="1">
                    <a:blip r:embed="rId16"/>
                    <a:srcRect l="3239" r="5456" b="28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206" cy="5600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6D0A16" w14:textId="392C2A5E" w:rsidR="00434E01" w:rsidRPr="004B4716" w:rsidRDefault="0023527B" w:rsidP="00434E01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B4716">
        <w:rPr>
          <w:rFonts w:ascii="Times New Roman" w:hAnsi="Times New Roman" w:cs="Times New Roman"/>
          <w:b/>
          <w:bCs/>
          <w:color w:val="000000" w:themeColor="text1"/>
        </w:rPr>
        <w:t>Supplementary Figure 6. EMT-6 syngeneic model data and extended PT-09 characterization.</w:t>
      </w:r>
      <w:r w:rsidR="00434E01" w:rsidRPr="004B471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39B3FD16" w14:textId="4BFED158" w:rsidR="00B75855" w:rsidRPr="004B4716" w:rsidRDefault="00A238F1" w:rsidP="00B349BB">
      <w:pPr>
        <w:jc w:val="left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(A)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Flow cytometry confirming STEAP1 surface expression on transduced EMT-6 cells. In vitro cytotoxicity of EMT-6.hSTEAP1 cells treated with vandortuzumab–exatecan, vandortuzumab–MMAE, and corresponding free payloads following 96-hour incubation, assessed by CellTiter-Glo. </w:t>
      </w:r>
      <w:r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(B)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Schematic of the treatment schedule for the EMT-6.hSTEAP1 syngeneic model. Individual tumor growth curves of EMT-6.hSTEAP1 tumors in BALB/c mice treated with vandortuzumab, vandortuzumab–exatecan, or vehicle control. Vandortuzumab–exatecan reduced mean tumor volume by 41% relative to isotype control (267.1 mm³ vs. 649.5 mm³ at day 11). </w:t>
      </w:r>
      <w:r w:rsidR="005D76A1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Post-hoc flow cytometry of i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ntratumoral F4/80⁺CD11b⁺ macrophages and CD44 </w:t>
      </w:r>
      <w:r w:rsidR="005D76A1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MFI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on tumor-infiltrating CD8⁺ T cells </w:t>
      </w:r>
      <w:r w:rsidR="005D76A1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are shown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. </w:t>
      </w:r>
      <w:r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(C)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Representative flow cytometry gating strategy. </w:t>
      </w:r>
      <w:r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(D)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Tumor growth curves for the EMT-6.hSTEAP1 combination study comparing vandortuzumab–exatecan, anti-CD40 agonist, combination therapy, and vehicle control. Combination treatment resulted in greater tumor growth inhibition (mean volume 401 mm³) compared with vandortuzumab–exatecan (891 mm³) or anti-CD40 (1,185 mm³) monotherapy at day 16</w:t>
      </w:r>
      <w:r w:rsidR="005D76A1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. </w:t>
      </w:r>
      <w:r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(E)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In vitro cytotoxicity of </w:t>
      </w:r>
      <w:r w:rsidR="009C17AE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v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–exatecan, </w:t>
      </w:r>
      <w:r w:rsidR="009C17AE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v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–MMAE, and corresponding free payloads in PT-09.hSTEAP1 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lastRenderedPageBreak/>
        <w:t xml:space="preserve">cells following 96-hour incubation, assessed by CellTiter-Glo. </w:t>
      </w:r>
      <w:r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(F)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PT-09.hSTEAP1 tumor volume at initial endpoint (day 34) following treatment with isotype control or </w:t>
      </w:r>
      <w:r w:rsidR="009C17AE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v</w:t>
      </w:r>
      <w:r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–exatecan. For rechallenge studies, the endpoint was predefined at 4 weeks post-rechallenge</w:t>
      </w:r>
      <w:r w:rsidR="005D76A1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. </w:t>
      </w:r>
      <w:r w:rsidR="00F07D3D"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(G)</w:t>
      </w:r>
      <w:r w:rsidR="00F07D3D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Intratumoral and serum accumulation of free payload in PT-09.hSTEAP1 bearing mice assessed four days after a single 5 mg/kg dose administration of vandortuzumab or v-exatecan. </w:t>
      </w:r>
      <w:r w:rsidR="00F07D3D"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(H</w:t>
      </w:r>
      <w:r w:rsidR="009C17AE"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) </w:t>
      </w:r>
      <w:r w:rsidR="009C17AE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Representative immunohistochemical images of residual PT-09.hSTEAP1 tumors at day 34 from isotype control– and vandortuzumab–exatecan–treated mice, stained for F4/80 and CD8 across biological replicates.</w:t>
      </w:r>
      <w:r w:rsidR="00B349BB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="005D76A1" w:rsidRPr="004B4716">
        <w:rPr>
          <w:rFonts w:ascii="Times New Roman" w:hAnsi="Times New Roman" w:cs="Times New Roman"/>
          <w:color w:val="000000" w:themeColor="text1"/>
        </w:rPr>
        <w:t xml:space="preserve">Data represented as mean ± SD. </w:t>
      </w:r>
      <w:r w:rsidR="00B75855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Dose–response curves in </w:t>
      </w:r>
      <w:r w:rsidR="00B75855"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(A) </w:t>
      </w:r>
      <w:r w:rsidR="00B75855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and </w:t>
      </w:r>
      <w:r w:rsidR="00B75855"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(E)</w:t>
      </w:r>
      <w:r w:rsidR="00B75855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were fit using a 4PL regression model.</w:t>
      </w:r>
      <w:r w:rsidR="005D76A1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="00B349BB" w:rsidRPr="004B4716">
        <w:rPr>
          <w:rFonts w:ascii="Times New Roman" w:hAnsi="Times New Roman" w:cs="Times New Roman"/>
          <w:color w:val="000000" w:themeColor="text1"/>
        </w:rPr>
        <w:t xml:space="preserve">Statistical analyses performed with one-way ANOVA with Tukey’s multiple comparisons test for </w:t>
      </w:r>
      <w:r w:rsidR="00B349BB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e</w:t>
      </w:r>
      <w:r w:rsidR="005D76A1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ndpoint tumor volume in </w:t>
      </w:r>
      <w:r w:rsidR="005D76A1"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(B)</w:t>
      </w:r>
      <w:r w:rsidR="005D76A1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, </w:t>
      </w:r>
      <w:r w:rsidR="005D76A1"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(D)</w:t>
      </w:r>
      <w:r w:rsidR="005D76A1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, and</w:t>
      </w:r>
      <w:r w:rsidR="005D76A1"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(F)</w:t>
      </w:r>
      <w:r w:rsidR="00F07D3D" w:rsidRPr="004B47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</w:t>
      </w:r>
      <w:r w:rsidR="00F07D3D" w:rsidRPr="004B4716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and Welch’s t test in (G). </w:t>
      </w:r>
    </w:p>
    <w:sectPr w:rsidR="00B75855" w:rsidRPr="004B47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95B9D8" w14:textId="77777777" w:rsidR="00F550A6" w:rsidRDefault="00F550A6" w:rsidP="00B34640">
      <w:r>
        <w:separator/>
      </w:r>
    </w:p>
  </w:endnote>
  <w:endnote w:type="continuationSeparator" w:id="0">
    <w:p w14:paraId="4CB6F8E9" w14:textId="77777777" w:rsidR="00F550A6" w:rsidRDefault="00F550A6" w:rsidP="00B3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DA5762" w14:textId="77777777" w:rsidR="00F550A6" w:rsidRDefault="00F550A6" w:rsidP="00B34640">
      <w:r>
        <w:separator/>
      </w:r>
    </w:p>
  </w:footnote>
  <w:footnote w:type="continuationSeparator" w:id="0">
    <w:p w14:paraId="36E4004A" w14:textId="77777777" w:rsidR="00F550A6" w:rsidRDefault="00F550A6" w:rsidP="00B34640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pwssrz0n9av07eeddqpzvv19zzpsd5xeewa&quot;&gt;My EndNote Library&lt;record-ids&gt;&lt;item&gt;427&lt;/item&gt;&lt;/record-ids&gt;&lt;/item&gt;&lt;/Libraries&gt;"/>
  </w:docVars>
  <w:rsids>
    <w:rsidRoot w:val="00AC416B"/>
    <w:rsid w:val="0000073F"/>
    <w:rsid w:val="00010788"/>
    <w:rsid w:val="00013005"/>
    <w:rsid w:val="00014BA4"/>
    <w:rsid w:val="00017B2F"/>
    <w:rsid w:val="000204A5"/>
    <w:rsid w:val="000522F2"/>
    <w:rsid w:val="00067AB2"/>
    <w:rsid w:val="00076FA3"/>
    <w:rsid w:val="00083118"/>
    <w:rsid w:val="000841DB"/>
    <w:rsid w:val="000A71F8"/>
    <w:rsid w:val="000B4BB6"/>
    <w:rsid w:val="000B7FF6"/>
    <w:rsid w:val="000C711D"/>
    <w:rsid w:val="000D1AC5"/>
    <w:rsid w:val="000D5903"/>
    <w:rsid w:val="001170EC"/>
    <w:rsid w:val="00122A8D"/>
    <w:rsid w:val="00137548"/>
    <w:rsid w:val="00137675"/>
    <w:rsid w:val="0013770B"/>
    <w:rsid w:val="00144910"/>
    <w:rsid w:val="00146955"/>
    <w:rsid w:val="00146B06"/>
    <w:rsid w:val="0017112A"/>
    <w:rsid w:val="00171620"/>
    <w:rsid w:val="001961C3"/>
    <w:rsid w:val="001A00D6"/>
    <w:rsid w:val="001D4FD1"/>
    <w:rsid w:val="001D63FF"/>
    <w:rsid w:val="001F7273"/>
    <w:rsid w:val="00207E0E"/>
    <w:rsid w:val="00210096"/>
    <w:rsid w:val="00217BCF"/>
    <w:rsid w:val="00220C17"/>
    <w:rsid w:val="00231A71"/>
    <w:rsid w:val="0023527B"/>
    <w:rsid w:val="00266D88"/>
    <w:rsid w:val="00273FE1"/>
    <w:rsid w:val="00295E6E"/>
    <w:rsid w:val="002A3E9F"/>
    <w:rsid w:val="002B0858"/>
    <w:rsid w:val="002B6467"/>
    <w:rsid w:val="002C1E2A"/>
    <w:rsid w:val="002E21FE"/>
    <w:rsid w:val="00311383"/>
    <w:rsid w:val="00312DD6"/>
    <w:rsid w:val="00320296"/>
    <w:rsid w:val="00320D10"/>
    <w:rsid w:val="00321CC6"/>
    <w:rsid w:val="00325072"/>
    <w:rsid w:val="003276C6"/>
    <w:rsid w:val="0034560B"/>
    <w:rsid w:val="003550DD"/>
    <w:rsid w:val="003B3E73"/>
    <w:rsid w:val="003B4009"/>
    <w:rsid w:val="003C5734"/>
    <w:rsid w:val="003C6266"/>
    <w:rsid w:val="003C738F"/>
    <w:rsid w:val="003C7912"/>
    <w:rsid w:val="003D1CB0"/>
    <w:rsid w:val="003D5955"/>
    <w:rsid w:val="003D7CFB"/>
    <w:rsid w:val="003E3731"/>
    <w:rsid w:val="003F5074"/>
    <w:rsid w:val="003F6286"/>
    <w:rsid w:val="00403DE8"/>
    <w:rsid w:val="0041145F"/>
    <w:rsid w:val="00425E65"/>
    <w:rsid w:val="00430143"/>
    <w:rsid w:val="00434E01"/>
    <w:rsid w:val="0044135F"/>
    <w:rsid w:val="00455368"/>
    <w:rsid w:val="00460E62"/>
    <w:rsid w:val="004619C4"/>
    <w:rsid w:val="00481E1E"/>
    <w:rsid w:val="0048764D"/>
    <w:rsid w:val="00492DFF"/>
    <w:rsid w:val="00492EFC"/>
    <w:rsid w:val="004A1B21"/>
    <w:rsid w:val="004A1FE7"/>
    <w:rsid w:val="004B4716"/>
    <w:rsid w:val="004C3F6F"/>
    <w:rsid w:val="004C5CB4"/>
    <w:rsid w:val="004D0A1F"/>
    <w:rsid w:val="004D3620"/>
    <w:rsid w:val="004F6D73"/>
    <w:rsid w:val="005007D4"/>
    <w:rsid w:val="00500AE6"/>
    <w:rsid w:val="005130BF"/>
    <w:rsid w:val="005226F6"/>
    <w:rsid w:val="0052708A"/>
    <w:rsid w:val="0056181E"/>
    <w:rsid w:val="00574C23"/>
    <w:rsid w:val="005838C2"/>
    <w:rsid w:val="0059280B"/>
    <w:rsid w:val="00593C4F"/>
    <w:rsid w:val="005A3DEC"/>
    <w:rsid w:val="005A69A9"/>
    <w:rsid w:val="005D1301"/>
    <w:rsid w:val="005D76A1"/>
    <w:rsid w:val="005E2D55"/>
    <w:rsid w:val="005E4819"/>
    <w:rsid w:val="005F7040"/>
    <w:rsid w:val="005F7618"/>
    <w:rsid w:val="006216C6"/>
    <w:rsid w:val="00622D8A"/>
    <w:rsid w:val="00624A86"/>
    <w:rsid w:val="00626056"/>
    <w:rsid w:val="00630C01"/>
    <w:rsid w:val="006360A6"/>
    <w:rsid w:val="00652260"/>
    <w:rsid w:val="00654390"/>
    <w:rsid w:val="00655111"/>
    <w:rsid w:val="0066102A"/>
    <w:rsid w:val="00663956"/>
    <w:rsid w:val="00673F9A"/>
    <w:rsid w:val="00677B2B"/>
    <w:rsid w:val="00683B09"/>
    <w:rsid w:val="00686FFE"/>
    <w:rsid w:val="006A4730"/>
    <w:rsid w:val="006B01B1"/>
    <w:rsid w:val="006B4CDF"/>
    <w:rsid w:val="006E094C"/>
    <w:rsid w:val="006F338D"/>
    <w:rsid w:val="006F4692"/>
    <w:rsid w:val="007106E7"/>
    <w:rsid w:val="00756E7B"/>
    <w:rsid w:val="007775C6"/>
    <w:rsid w:val="00780F7C"/>
    <w:rsid w:val="00793B03"/>
    <w:rsid w:val="007A7CE2"/>
    <w:rsid w:val="007C53AD"/>
    <w:rsid w:val="007C6131"/>
    <w:rsid w:val="007E77D1"/>
    <w:rsid w:val="007F01E8"/>
    <w:rsid w:val="007F184D"/>
    <w:rsid w:val="007F5C9E"/>
    <w:rsid w:val="007F7656"/>
    <w:rsid w:val="0081313F"/>
    <w:rsid w:val="0081646F"/>
    <w:rsid w:val="00821170"/>
    <w:rsid w:val="0083257F"/>
    <w:rsid w:val="008359C6"/>
    <w:rsid w:val="00853BF7"/>
    <w:rsid w:val="00856A44"/>
    <w:rsid w:val="00860131"/>
    <w:rsid w:val="008607E0"/>
    <w:rsid w:val="008667D4"/>
    <w:rsid w:val="008669CC"/>
    <w:rsid w:val="008723E7"/>
    <w:rsid w:val="008872AF"/>
    <w:rsid w:val="008927FD"/>
    <w:rsid w:val="008A640F"/>
    <w:rsid w:val="008B31A0"/>
    <w:rsid w:val="008B743C"/>
    <w:rsid w:val="008F2B21"/>
    <w:rsid w:val="008F2D0D"/>
    <w:rsid w:val="008F53DE"/>
    <w:rsid w:val="008F5A0B"/>
    <w:rsid w:val="0090066B"/>
    <w:rsid w:val="00902307"/>
    <w:rsid w:val="00965F02"/>
    <w:rsid w:val="009745B9"/>
    <w:rsid w:val="009929FA"/>
    <w:rsid w:val="00993BAA"/>
    <w:rsid w:val="009B09DA"/>
    <w:rsid w:val="009B3170"/>
    <w:rsid w:val="009C17AE"/>
    <w:rsid w:val="009F7CF3"/>
    <w:rsid w:val="00A238F1"/>
    <w:rsid w:val="00A41D77"/>
    <w:rsid w:val="00A4394E"/>
    <w:rsid w:val="00A46624"/>
    <w:rsid w:val="00A61AAD"/>
    <w:rsid w:val="00A7599C"/>
    <w:rsid w:val="00A7741F"/>
    <w:rsid w:val="00A84595"/>
    <w:rsid w:val="00A91964"/>
    <w:rsid w:val="00A92E79"/>
    <w:rsid w:val="00A92F9B"/>
    <w:rsid w:val="00AA007A"/>
    <w:rsid w:val="00AA3E16"/>
    <w:rsid w:val="00AA5B4C"/>
    <w:rsid w:val="00AB4E54"/>
    <w:rsid w:val="00AC416B"/>
    <w:rsid w:val="00AC639A"/>
    <w:rsid w:val="00AC67BA"/>
    <w:rsid w:val="00AD0F1B"/>
    <w:rsid w:val="00AE3CF7"/>
    <w:rsid w:val="00AE5CF9"/>
    <w:rsid w:val="00AF4224"/>
    <w:rsid w:val="00B00743"/>
    <w:rsid w:val="00B11C53"/>
    <w:rsid w:val="00B12F5B"/>
    <w:rsid w:val="00B20579"/>
    <w:rsid w:val="00B25E70"/>
    <w:rsid w:val="00B34640"/>
    <w:rsid w:val="00B349BB"/>
    <w:rsid w:val="00B36611"/>
    <w:rsid w:val="00B378F2"/>
    <w:rsid w:val="00B54E42"/>
    <w:rsid w:val="00B56E0E"/>
    <w:rsid w:val="00B73F00"/>
    <w:rsid w:val="00B75855"/>
    <w:rsid w:val="00B758EE"/>
    <w:rsid w:val="00B817CE"/>
    <w:rsid w:val="00B81E01"/>
    <w:rsid w:val="00B83EE7"/>
    <w:rsid w:val="00B84B63"/>
    <w:rsid w:val="00BB5CE5"/>
    <w:rsid w:val="00BB7AF6"/>
    <w:rsid w:val="00BC7797"/>
    <w:rsid w:val="00BE0C4C"/>
    <w:rsid w:val="00BF5BB2"/>
    <w:rsid w:val="00C026E3"/>
    <w:rsid w:val="00C25687"/>
    <w:rsid w:val="00C334AA"/>
    <w:rsid w:val="00C3574B"/>
    <w:rsid w:val="00C5126A"/>
    <w:rsid w:val="00C60D08"/>
    <w:rsid w:val="00C63898"/>
    <w:rsid w:val="00C66808"/>
    <w:rsid w:val="00C8143C"/>
    <w:rsid w:val="00C91A11"/>
    <w:rsid w:val="00CA45D6"/>
    <w:rsid w:val="00CD4054"/>
    <w:rsid w:val="00CD6059"/>
    <w:rsid w:val="00CF2FD1"/>
    <w:rsid w:val="00D02B4D"/>
    <w:rsid w:val="00D06047"/>
    <w:rsid w:val="00D15134"/>
    <w:rsid w:val="00D2192B"/>
    <w:rsid w:val="00D264C0"/>
    <w:rsid w:val="00D3067F"/>
    <w:rsid w:val="00D41BEA"/>
    <w:rsid w:val="00D50737"/>
    <w:rsid w:val="00D53122"/>
    <w:rsid w:val="00D54DA2"/>
    <w:rsid w:val="00D723DC"/>
    <w:rsid w:val="00D77676"/>
    <w:rsid w:val="00D81CAC"/>
    <w:rsid w:val="00DA20A1"/>
    <w:rsid w:val="00DA6E40"/>
    <w:rsid w:val="00DB549F"/>
    <w:rsid w:val="00DC4836"/>
    <w:rsid w:val="00DC567B"/>
    <w:rsid w:val="00E00AB5"/>
    <w:rsid w:val="00E05411"/>
    <w:rsid w:val="00E133FD"/>
    <w:rsid w:val="00E13CBA"/>
    <w:rsid w:val="00E16FD7"/>
    <w:rsid w:val="00E2227E"/>
    <w:rsid w:val="00E346E7"/>
    <w:rsid w:val="00E35B74"/>
    <w:rsid w:val="00E41EA2"/>
    <w:rsid w:val="00E423B6"/>
    <w:rsid w:val="00E43732"/>
    <w:rsid w:val="00E51E32"/>
    <w:rsid w:val="00E53457"/>
    <w:rsid w:val="00E9092B"/>
    <w:rsid w:val="00EB522C"/>
    <w:rsid w:val="00EC31CE"/>
    <w:rsid w:val="00EC3F0D"/>
    <w:rsid w:val="00ED2326"/>
    <w:rsid w:val="00EE091B"/>
    <w:rsid w:val="00EE62FB"/>
    <w:rsid w:val="00EF036F"/>
    <w:rsid w:val="00EF4DFC"/>
    <w:rsid w:val="00F05419"/>
    <w:rsid w:val="00F07D3D"/>
    <w:rsid w:val="00F3136B"/>
    <w:rsid w:val="00F4382D"/>
    <w:rsid w:val="00F43B04"/>
    <w:rsid w:val="00F45FD6"/>
    <w:rsid w:val="00F47727"/>
    <w:rsid w:val="00F53E54"/>
    <w:rsid w:val="00F550A6"/>
    <w:rsid w:val="00F651F4"/>
    <w:rsid w:val="00F66890"/>
    <w:rsid w:val="00F71389"/>
    <w:rsid w:val="00F90C1C"/>
    <w:rsid w:val="00F96FF4"/>
    <w:rsid w:val="00FC01D8"/>
    <w:rsid w:val="00FC5728"/>
    <w:rsid w:val="00FD3241"/>
    <w:rsid w:val="00FD5D35"/>
    <w:rsid w:val="00FD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BFBD9"/>
  <w15:chartTrackingRefBased/>
  <w15:docId w15:val="{6F0DE86C-9FC1-F84C-B85B-A460AFCF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C4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1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1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1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1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1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1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41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1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1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1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1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1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1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1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1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1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4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1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4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1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1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41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1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1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1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1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1D77"/>
    <w:rPr>
      <w:color w:val="0000FF"/>
      <w:u w:val="single"/>
    </w:rPr>
  </w:style>
  <w:style w:type="paragraph" w:customStyle="1" w:styleId="font-claude-response-body">
    <w:name w:val="font-claude-response-body"/>
    <w:basedOn w:val="Normal"/>
    <w:rsid w:val="00A41D7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41D7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34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4640"/>
  </w:style>
  <w:style w:type="paragraph" w:styleId="Footer">
    <w:name w:val="footer"/>
    <w:basedOn w:val="Normal"/>
    <w:link w:val="FooterChar"/>
    <w:uiPriority w:val="99"/>
    <w:unhideWhenUsed/>
    <w:rsid w:val="00B34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4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chary.hartman@duke.edu" TargetMode="Externa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697803-BFF9-8C4E-8E5B-6CBCA641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Wang</dc:creator>
  <cp:keywords/>
  <dc:description/>
  <cp:lastModifiedBy>John Wang</cp:lastModifiedBy>
  <cp:revision>2</cp:revision>
  <cp:lastPrinted>2026-03-19T23:42:00Z</cp:lastPrinted>
  <dcterms:created xsi:type="dcterms:W3CDTF">2026-07-20T11:05:00Z</dcterms:created>
  <dcterms:modified xsi:type="dcterms:W3CDTF">2026-07-20T11:05:00Z</dcterms:modified>
</cp:coreProperties>
</file>