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BCE" w:rsidRPr="00BD3056" w:rsidRDefault="00767BCE" w:rsidP="00767BCE">
      <w:pPr>
        <w:pStyle w:val="FirstParagraph"/>
        <w:spacing w:line="480" w:lineRule="auto"/>
        <w:rPr>
          <w:rFonts w:cs="Times New Roman"/>
          <w:sz w:val="22"/>
          <w:szCs w:val="22"/>
        </w:rPr>
      </w:pPr>
      <w:r>
        <w:rPr>
          <w:rFonts w:cs="Times New Roman"/>
          <w:b/>
          <w:bCs/>
        </w:rPr>
        <w:t>Supplementary Figure</w:t>
      </w:r>
      <w:r w:rsidRPr="00BD3056">
        <w:rPr>
          <w:rFonts w:cs="Times New Roman"/>
          <w:b/>
          <w:bCs/>
          <w:sz w:val="22"/>
          <w:szCs w:val="22"/>
        </w:rPr>
        <w:t xml:space="preserve"> 1</w:t>
      </w:r>
      <w:r w:rsidRPr="00BD3056">
        <w:rPr>
          <w:rFonts w:cs="Times New Roman"/>
          <w:sz w:val="22"/>
          <w:szCs w:val="22"/>
        </w:rPr>
        <w:t xml:space="preserve"> Identification of immune-associated cell types via </w:t>
      </w:r>
      <w:proofErr w:type="spellStart"/>
      <w:r w:rsidRPr="00BD3056">
        <w:rPr>
          <w:rFonts w:cs="Times New Roman"/>
          <w:sz w:val="22"/>
          <w:szCs w:val="22"/>
        </w:rPr>
        <w:t>xCell</w:t>
      </w:r>
      <w:proofErr w:type="spellEnd"/>
      <w:r w:rsidRPr="00BD3056">
        <w:rPr>
          <w:rFonts w:cs="Times New Roman"/>
          <w:sz w:val="22"/>
          <w:szCs w:val="22"/>
        </w:rPr>
        <w:t xml:space="preserve">. A-C: </w:t>
      </w:r>
      <w:proofErr w:type="spellStart"/>
      <w:r w:rsidRPr="00BD3056">
        <w:rPr>
          <w:rFonts w:cs="Times New Roman"/>
          <w:sz w:val="22"/>
          <w:szCs w:val="22"/>
        </w:rPr>
        <w:t>Univariate</w:t>
      </w:r>
      <w:proofErr w:type="spellEnd"/>
      <w:r w:rsidRPr="00BD3056">
        <w:rPr>
          <w:rFonts w:cs="Times New Roman"/>
          <w:sz w:val="22"/>
          <w:szCs w:val="22"/>
        </w:rPr>
        <w:t xml:space="preserve"> Cox regression analysis results between high- and low-expression cell types in the OAK, ORIENT-11 and POPLAR trials are presented in dot plots. D: </w:t>
      </w:r>
      <w:proofErr w:type="spellStart"/>
      <w:r w:rsidRPr="00BD3056">
        <w:rPr>
          <w:rFonts w:cs="Times New Roman"/>
          <w:sz w:val="22"/>
          <w:szCs w:val="22"/>
        </w:rPr>
        <w:t>Univariate</w:t>
      </w:r>
      <w:proofErr w:type="spellEnd"/>
      <w:r w:rsidRPr="00BD3056">
        <w:rPr>
          <w:rFonts w:cs="Times New Roman"/>
          <w:sz w:val="22"/>
          <w:szCs w:val="22"/>
        </w:rPr>
        <w:t xml:space="preserve"> Cox regression analysis results between high- and low-expression </w:t>
      </w:r>
      <w:proofErr w:type="spellStart"/>
      <w:proofErr w:type="gramStart"/>
      <w:r w:rsidRPr="00BD3056">
        <w:rPr>
          <w:rFonts w:cs="Times New Roman"/>
          <w:sz w:val="22"/>
          <w:szCs w:val="22"/>
        </w:rPr>
        <w:t>cDC</w:t>
      </w:r>
      <w:proofErr w:type="spellEnd"/>
      <w:proofErr w:type="gramEnd"/>
      <w:r w:rsidRPr="00BD3056">
        <w:rPr>
          <w:rFonts w:cs="Times New Roman"/>
          <w:sz w:val="22"/>
          <w:szCs w:val="22"/>
        </w:rPr>
        <w:t xml:space="preserve"> in the ORIENT-11, OAK and POPLAR trials presented in a forest plot. E-G: Kaplan–Meier survival curves of cDC2 expression in the OAK, ORIENT-11 and POPLAR trials. Survival curves were compared via the log-rank test.</w:t>
      </w:r>
    </w:p>
    <w:p w:rsidR="00767BCE" w:rsidRPr="00BD3056" w:rsidRDefault="00767BCE" w:rsidP="00767BCE">
      <w:pPr>
        <w:pStyle w:val="BodyText"/>
        <w:spacing w:line="480" w:lineRule="auto"/>
        <w:rPr>
          <w:rFonts w:cs="Times New Roman"/>
          <w:sz w:val="22"/>
          <w:szCs w:val="22"/>
        </w:rPr>
      </w:pPr>
      <w:r>
        <w:rPr>
          <w:rFonts w:cs="Times New Roman"/>
          <w:b/>
          <w:bCs/>
        </w:rPr>
        <w:t>Supplementary Figure</w:t>
      </w:r>
      <w:r w:rsidRPr="00BD3056">
        <w:rPr>
          <w:b/>
          <w:bCs/>
          <w:sz w:val="22"/>
          <w:szCs w:val="22"/>
        </w:rPr>
        <w:t xml:space="preserve"> 2</w:t>
      </w:r>
      <w:r w:rsidRPr="00BD3056">
        <w:rPr>
          <w:rFonts w:cs="Times New Roman"/>
          <w:sz w:val="22"/>
          <w:szCs w:val="22"/>
        </w:rPr>
        <w:t xml:space="preserve"> Significant differences between the R and NR groups in CD8⁺ T Tex cells (A), CD4⁺ T </w:t>
      </w:r>
      <w:proofErr w:type="spellStart"/>
      <w:r w:rsidRPr="00BD3056">
        <w:rPr>
          <w:rFonts w:cs="Times New Roman"/>
          <w:sz w:val="22"/>
          <w:szCs w:val="22"/>
        </w:rPr>
        <w:t>Treg</w:t>
      </w:r>
      <w:proofErr w:type="spellEnd"/>
      <w:r w:rsidRPr="00BD3056">
        <w:rPr>
          <w:rFonts w:cs="Times New Roman"/>
          <w:sz w:val="22"/>
          <w:szCs w:val="22"/>
        </w:rPr>
        <w:t xml:space="preserve"> cells (B) and cancer cells (C).</w:t>
      </w:r>
    </w:p>
    <w:p w:rsidR="00767BCE" w:rsidRPr="00BD3056" w:rsidRDefault="00767BCE" w:rsidP="00767BCE">
      <w:pPr>
        <w:pStyle w:val="BodyText"/>
        <w:spacing w:line="480" w:lineRule="auto"/>
        <w:rPr>
          <w:sz w:val="22"/>
          <w:szCs w:val="22"/>
        </w:rPr>
      </w:pPr>
      <w:proofErr w:type="gramStart"/>
      <w:r>
        <w:rPr>
          <w:rFonts w:cs="Times New Roman"/>
          <w:b/>
          <w:bCs/>
        </w:rPr>
        <w:t>Supplementary Figure</w:t>
      </w:r>
      <w:r w:rsidRPr="00BD3056">
        <w:rPr>
          <w:rFonts w:cs="Times New Roman"/>
          <w:b/>
          <w:bCs/>
          <w:sz w:val="22"/>
          <w:szCs w:val="22"/>
        </w:rPr>
        <w:t xml:space="preserve"> 3 </w:t>
      </w:r>
      <w:r w:rsidRPr="00BD3056">
        <w:rPr>
          <w:rFonts w:cs="Times New Roman"/>
          <w:sz w:val="22"/>
          <w:szCs w:val="22"/>
        </w:rPr>
        <w:t>Survival analysis of immunotherapy-negative genes in specific cell types.</w:t>
      </w:r>
      <w:proofErr w:type="gramEnd"/>
      <w:r w:rsidRPr="00BD3056">
        <w:rPr>
          <w:rFonts w:cs="Times New Roman"/>
          <w:b/>
          <w:bCs/>
          <w:sz w:val="22"/>
          <w:szCs w:val="22"/>
        </w:rPr>
        <w:t xml:space="preserve"> </w:t>
      </w:r>
      <w:r w:rsidRPr="00BD3056">
        <w:rPr>
          <w:rFonts w:cs="Times New Roman"/>
          <w:sz w:val="22"/>
          <w:szCs w:val="22"/>
        </w:rPr>
        <w:t xml:space="preserve">A-J: Kaplan–Meier survival curves of PFS in high- or low-expressing immunotherapy-negative-gene groups in the OAK and POPLAR trials. </w:t>
      </w:r>
      <w:proofErr w:type="gramStart"/>
      <w:r w:rsidRPr="00BD3056">
        <w:rPr>
          <w:rFonts w:cs="Times New Roman"/>
          <w:sz w:val="22"/>
          <w:szCs w:val="22"/>
        </w:rPr>
        <w:t>PFS, progression-free survival.</w:t>
      </w:r>
      <w:proofErr w:type="gramEnd"/>
    </w:p>
    <w:p w:rsidR="00767BCE" w:rsidRPr="00BD3056" w:rsidRDefault="00767BCE" w:rsidP="00767BCE">
      <w:pPr>
        <w:pStyle w:val="FirstParagraph"/>
        <w:spacing w:line="480" w:lineRule="auto"/>
        <w:rPr>
          <w:rFonts w:cs="Times New Roman"/>
          <w:sz w:val="22"/>
          <w:szCs w:val="22"/>
        </w:rPr>
      </w:pPr>
      <w:r>
        <w:rPr>
          <w:rFonts w:cs="Times New Roman"/>
          <w:b/>
          <w:bCs/>
        </w:rPr>
        <w:t>Supplementary Figure</w:t>
      </w:r>
      <w:r w:rsidRPr="00BD3056">
        <w:rPr>
          <w:rFonts w:cs="Times New Roman"/>
          <w:b/>
          <w:bCs/>
          <w:sz w:val="22"/>
          <w:szCs w:val="22"/>
        </w:rPr>
        <w:t xml:space="preserve"> 4</w:t>
      </w:r>
      <w:r w:rsidRPr="00BD3056">
        <w:rPr>
          <w:rFonts w:cs="Times New Roman"/>
          <w:sz w:val="22"/>
          <w:szCs w:val="22"/>
        </w:rPr>
        <w:t xml:space="preserve"> Determining the optimal number of clusters. A-B: </w:t>
      </w:r>
      <w:proofErr w:type="spellStart"/>
      <w:r w:rsidRPr="00BD3056">
        <w:rPr>
          <w:rFonts w:cs="Times New Roman"/>
          <w:sz w:val="22"/>
          <w:szCs w:val="22"/>
        </w:rPr>
        <w:t>Heatmaps</w:t>
      </w:r>
      <w:proofErr w:type="spellEnd"/>
      <w:r w:rsidRPr="00BD3056">
        <w:rPr>
          <w:rFonts w:cs="Times New Roman"/>
          <w:sz w:val="22"/>
          <w:szCs w:val="22"/>
        </w:rPr>
        <w:t xml:space="preserve"> presenting the optimal number of clusters after NMF and </w:t>
      </w:r>
      <w:proofErr w:type="spellStart"/>
      <w:r w:rsidRPr="00BD3056">
        <w:rPr>
          <w:rFonts w:cs="Times New Roman"/>
          <w:sz w:val="22"/>
          <w:szCs w:val="22"/>
        </w:rPr>
        <w:t>ConsensusCluster</w:t>
      </w:r>
      <w:proofErr w:type="spellEnd"/>
      <w:r w:rsidRPr="00BD3056">
        <w:rPr>
          <w:rFonts w:cs="Times New Roman"/>
          <w:sz w:val="22"/>
          <w:szCs w:val="22"/>
        </w:rPr>
        <w:t xml:space="preserve"> in the OAK trials. C-D: </w:t>
      </w:r>
      <w:proofErr w:type="spellStart"/>
      <w:r w:rsidRPr="00BD3056">
        <w:rPr>
          <w:rFonts w:cs="Times New Roman"/>
          <w:sz w:val="22"/>
          <w:szCs w:val="22"/>
        </w:rPr>
        <w:t>Heatmaps</w:t>
      </w:r>
      <w:proofErr w:type="spellEnd"/>
      <w:r w:rsidRPr="00BD3056">
        <w:rPr>
          <w:rFonts w:cs="Times New Roman"/>
          <w:sz w:val="22"/>
          <w:szCs w:val="22"/>
        </w:rPr>
        <w:t xml:space="preserve"> presenting the optimal number of clusters after NMF and </w:t>
      </w:r>
      <w:proofErr w:type="spellStart"/>
      <w:r w:rsidRPr="00BD3056">
        <w:rPr>
          <w:rFonts w:cs="Times New Roman"/>
          <w:sz w:val="22"/>
          <w:szCs w:val="22"/>
        </w:rPr>
        <w:t>ConsensusCluster</w:t>
      </w:r>
      <w:proofErr w:type="spellEnd"/>
      <w:r w:rsidRPr="00BD3056">
        <w:rPr>
          <w:rFonts w:cs="Times New Roman"/>
          <w:sz w:val="22"/>
          <w:szCs w:val="22"/>
        </w:rPr>
        <w:t xml:space="preserve"> in the POPLAR trials. </w:t>
      </w:r>
      <w:proofErr w:type="gramStart"/>
      <w:r w:rsidRPr="00BD3056">
        <w:rPr>
          <w:rFonts w:cs="Times New Roman"/>
          <w:sz w:val="22"/>
          <w:szCs w:val="22"/>
        </w:rPr>
        <w:t>NMF, nonnegative matrix factorization.</w:t>
      </w:r>
      <w:proofErr w:type="gramEnd"/>
    </w:p>
    <w:p w:rsidR="00767BCE" w:rsidRPr="00BD3056" w:rsidRDefault="00767BCE" w:rsidP="00767BCE">
      <w:pPr>
        <w:pStyle w:val="FirstParagraph"/>
        <w:spacing w:line="480" w:lineRule="auto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</w:rPr>
        <w:t>Supplementary Figure</w:t>
      </w:r>
      <w:r w:rsidRPr="00BD3056">
        <w:rPr>
          <w:rFonts w:cs="Times New Roman"/>
          <w:b/>
          <w:bCs/>
          <w:sz w:val="22"/>
          <w:szCs w:val="22"/>
        </w:rPr>
        <w:t xml:space="preserve"> 5 </w:t>
      </w:r>
      <w:proofErr w:type="spellStart"/>
      <w:r w:rsidRPr="00BD3056">
        <w:rPr>
          <w:rFonts w:cs="Times New Roman"/>
          <w:sz w:val="22"/>
          <w:szCs w:val="22"/>
        </w:rPr>
        <w:t>ImmuneScores</w:t>
      </w:r>
      <w:proofErr w:type="spellEnd"/>
      <w:r w:rsidRPr="00BD3056">
        <w:rPr>
          <w:rFonts w:cs="Times New Roman"/>
          <w:sz w:val="22"/>
          <w:szCs w:val="22"/>
        </w:rPr>
        <w:t xml:space="preserve"> for </w:t>
      </w:r>
      <w:r w:rsidRPr="00BD3056">
        <w:rPr>
          <w:sz w:val="22"/>
          <w:szCs w:val="22"/>
        </w:rPr>
        <w:t>predicting</w:t>
      </w:r>
      <w:r w:rsidRPr="00BD3056">
        <w:rPr>
          <w:rFonts w:cs="Times New Roman"/>
          <w:sz w:val="22"/>
          <w:szCs w:val="22"/>
        </w:rPr>
        <w:t xml:space="preserve"> immunotherapy efficacy in the GSE218989 cohort. A: Kaplan–Meier survival curves of different </w:t>
      </w:r>
      <w:proofErr w:type="spellStart"/>
      <w:r w:rsidRPr="00BD3056">
        <w:rPr>
          <w:rFonts w:cs="Times New Roman"/>
          <w:sz w:val="22"/>
          <w:szCs w:val="22"/>
        </w:rPr>
        <w:t>ImmuneBetterScore</w:t>
      </w:r>
      <w:proofErr w:type="spellEnd"/>
      <w:r w:rsidRPr="00BD3056">
        <w:rPr>
          <w:rFonts w:cs="Times New Roman"/>
          <w:sz w:val="22"/>
          <w:szCs w:val="22"/>
        </w:rPr>
        <w:t xml:space="preserve"> groups. B: Kaplan–Meier survival curves of different </w:t>
      </w:r>
      <w:proofErr w:type="spellStart"/>
      <w:r w:rsidRPr="00BD3056">
        <w:rPr>
          <w:rFonts w:cs="Times New Roman"/>
          <w:sz w:val="22"/>
          <w:szCs w:val="22"/>
        </w:rPr>
        <w:t>ImmuneWorseScore</w:t>
      </w:r>
      <w:proofErr w:type="spellEnd"/>
      <w:r w:rsidRPr="00BD3056">
        <w:rPr>
          <w:rFonts w:cs="Times New Roman"/>
          <w:sz w:val="22"/>
          <w:szCs w:val="22"/>
        </w:rPr>
        <w:t xml:space="preserve"> groups. C: Kaplan–Meier survival curves of different </w:t>
      </w:r>
      <w:proofErr w:type="spellStart"/>
      <w:r w:rsidRPr="00BD3056">
        <w:rPr>
          <w:rFonts w:cs="Times New Roman"/>
          <w:sz w:val="22"/>
          <w:szCs w:val="22"/>
        </w:rPr>
        <w:t>ComprehensiveImmuneScore</w:t>
      </w:r>
      <w:proofErr w:type="spellEnd"/>
      <w:r w:rsidRPr="00BD3056">
        <w:rPr>
          <w:rFonts w:cs="Times New Roman"/>
          <w:sz w:val="22"/>
          <w:szCs w:val="22"/>
        </w:rPr>
        <w:t xml:space="preserve"> groups.</w:t>
      </w:r>
    </w:p>
    <w:p w:rsidR="00B527E8" w:rsidRDefault="00B527E8">
      <w:bookmarkStart w:id="0" w:name="_GoBack"/>
      <w:bookmarkEnd w:id="0"/>
    </w:p>
    <w:sectPr w:rsidR="00B527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BCE"/>
    <w:rsid w:val="00406BC9"/>
    <w:rsid w:val="00767BCE"/>
    <w:rsid w:val="00B527E8"/>
    <w:rsid w:val="00CD476A"/>
    <w:rsid w:val="00F1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1"/>
    <w:qFormat/>
    <w:rsid w:val="00767BCE"/>
    <w:pPr>
      <w:spacing w:after="0" w:line="360" w:lineRule="auto"/>
      <w:ind w:firstLine="482"/>
      <w:jc w:val="both"/>
      <w:textAlignment w:val="baseline"/>
    </w:pPr>
    <w:rPr>
      <w:rFonts w:ascii="Times New Roman" w:eastAsiaTheme="minorEastAsia" w:hAnsi="Times New Roman"/>
      <w:sz w:val="21"/>
      <w:szCs w:val="20"/>
      <w:lang w:val="en-US" w:eastAsia="zh-CN"/>
    </w:rPr>
  </w:style>
  <w:style w:type="character" w:customStyle="1" w:styleId="BodyTextChar">
    <w:name w:val="Body Text Char"/>
    <w:basedOn w:val="DefaultParagraphFont"/>
    <w:uiPriority w:val="99"/>
    <w:semiHidden/>
    <w:rsid w:val="00767BCE"/>
  </w:style>
  <w:style w:type="paragraph" w:customStyle="1" w:styleId="FirstParagraph">
    <w:name w:val="First Paragraph"/>
    <w:basedOn w:val="BodyText"/>
    <w:next w:val="BodyText"/>
    <w:qFormat/>
    <w:rsid w:val="00767BCE"/>
    <w:rPr>
      <w:szCs w:val="24"/>
    </w:rPr>
  </w:style>
  <w:style w:type="character" w:customStyle="1" w:styleId="BodyTextChar1">
    <w:name w:val="Body Text Char1"/>
    <w:basedOn w:val="DefaultParagraphFont"/>
    <w:link w:val="BodyText"/>
    <w:qFormat/>
    <w:rsid w:val="00767BCE"/>
    <w:rPr>
      <w:rFonts w:ascii="Times New Roman" w:eastAsiaTheme="minorEastAsia" w:hAnsi="Times New Roman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1"/>
    <w:qFormat/>
    <w:rsid w:val="00767BCE"/>
    <w:pPr>
      <w:spacing w:after="0" w:line="360" w:lineRule="auto"/>
      <w:ind w:firstLine="482"/>
      <w:jc w:val="both"/>
      <w:textAlignment w:val="baseline"/>
    </w:pPr>
    <w:rPr>
      <w:rFonts w:ascii="Times New Roman" w:eastAsiaTheme="minorEastAsia" w:hAnsi="Times New Roman"/>
      <w:sz w:val="21"/>
      <w:szCs w:val="20"/>
      <w:lang w:val="en-US" w:eastAsia="zh-CN"/>
    </w:rPr>
  </w:style>
  <w:style w:type="character" w:customStyle="1" w:styleId="BodyTextChar">
    <w:name w:val="Body Text Char"/>
    <w:basedOn w:val="DefaultParagraphFont"/>
    <w:uiPriority w:val="99"/>
    <w:semiHidden/>
    <w:rsid w:val="00767BCE"/>
  </w:style>
  <w:style w:type="paragraph" w:customStyle="1" w:styleId="FirstParagraph">
    <w:name w:val="First Paragraph"/>
    <w:basedOn w:val="BodyText"/>
    <w:next w:val="BodyText"/>
    <w:qFormat/>
    <w:rsid w:val="00767BCE"/>
    <w:rPr>
      <w:szCs w:val="24"/>
    </w:rPr>
  </w:style>
  <w:style w:type="character" w:customStyle="1" w:styleId="BodyTextChar1">
    <w:name w:val="Body Text Char1"/>
    <w:basedOn w:val="DefaultParagraphFont"/>
    <w:link w:val="BodyText"/>
    <w:qFormat/>
    <w:rsid w:val="00767BCE"/>
    <w:rPr>
      <w:rFonts w:ascii="Times New Roman" w:eastAsiaTheme="minorEastAsia" w:hAnsi="Times New Roman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Ramya Elumalai (Integra)</dc:creator>
  <cp:lastModifiedBy>Ramya Elumalai (Integra)</cp:lastModifiedBy>
  <cp:revision>1</cp:revision>
  <dcterms:created xsi:type="dcterms:W3CDTF">2026-09-05T13:54:00Z</dcterms:created>
  <dcterms:modified xsi:type="dcterms:W3CDTF">2026-09-05T13:55:00Z</dcterms:modified>
</cp:coreProperties>
</file>