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02BA3" w14:textId="77777777" w:rsidR="00B052FE" w:rsidRPr="00E20B89" w:rsidRDefault="00CB73A9">
      <w:pPr>
        <w:rPr>
          <w:b/>
          <w:bCs/>
        </w:rPr>
      </w:pPr>
      <w:r w:rsidRPr="00E20B89">
        <w:rPr>
          <w:b/>
          <w:bCs/>
        </w:rPr>
        <w:t>Supplementary Data:</w:t>
      </w:r>
    </w:p>
    <w:p w14:paraId="63D6CCCD" w14:textId="77777777" w:rsidR="00B052FE" w:rsidRPr="00E20B89" w:rsidRDefault="00B052FE">
      <w:pPr>
        <w:rPr>
          <w:sz w:val="20"/>
          <w:szCs w:val="20"/>
        </w:rPr>
      </w:pPr>
    </w:p>
    <w:tbl>
      <w:tblPr>
        <w:tblStyle w:val="TableGrid"/>
        <w:tblW w:w="7799" w:type="dxa"/>
        <w:tblLook w:val="04A0" w:firstRow="1" w:lastRow="0" w:firstColumn="1" w:lastColumn="0" w:noHBand="0" w:noVBand="1"/>
      </w:tblPr>
      <w:tblGrid>
        <w:gridCol w:w="889"/>
        <w:gridCol w:w="5785"/>
        <w:gridCol w:w="1125"/>
      </w:tblGrid>
      <w:tr w:rsidR="00B052FE" w:rsidRPr="00E20B89" w14:paraId="785A3EC6" w14:textId="77777777">
        <w:tc>
          <w:tcPr>
            <w:tcW w:w="889" w:type="dxa"/>
          </w:tcPr>
          <w:p w14:paraId="427BC457" w14:textId="77777777" w:rsidR="00B052FE" w:rsidRPr="00E20B89" w:rsidRDefault="00CB73A9">
            <w:pPr>
              <w:rPr>
                <w:b/>
                <w:bCs/>
                <w:sz w:val="20"/>
                <w:szCs w:val="20"/>
              </w:rPr>
            </w:pPr>
            <w:r w:rsidRPr="00E20B89">
              <w:rPr>
                <w:b/>
                <w:bCs/>
                <w:sz w:val="20"/>
                <w:szCs w:val="20"/>
              </w:rPr>
              <w:t>Sr. No.</w:t>
            </w:r>
          </w:p>
        </w:tc>
        <w:tc>
          <w:tcPr>
            <w:tcW w:w="5785" w:type="dxa"/>
          </w:tcPr>
          <w:p w14:paraId="21281EB7" w14:textId="77777777" w:rsidR="00B052FE" w:rsidRPr="00E20B89" w:rsidRDefault="00CB73A9">
            <w:pPr>
              <w:rPr>
                <w:b/>
                <w:bCs/>
                <w:sz w:val="20"/>
                <w:szCs w:val="20"/>
              </w:rPr>
            </w:pPr>
            <w:r w:rsidRPr="00E20B89">
              <w:rPr>
                <w:b/>
                <w:bCs/>
                <w:sz w:val="20"/>
                <w:szCs w:val="20"/>
              </w:rPr>
              <w:t>Contents</w:t>
            </w:r>
          </w:p>
        </w:tc>
        <w:tc>
          <w:tcPr>
            <w:tcW w:w="1125" w:type="dxa"/>
          </w:tcPr>
          <w:p w14:paraId="1B2F158B" w14:textId="77777777" w:rsidR="00B052FE" w:rsidRPr="00E20B89" w:rsidRDefault="00CB73A9">
            <w:pPr>
              <w:rPr>
                <w:b/>
                <w:bCs/>
                <w:sz w:val="20"/>
                <w:szCs w:val="20"/>
              </w:rPr>
            </w:pPr>
            <w:r w:rsidRPr="00E20B89">
              <w:rPr>
                <w:b/>
                <w:bCs/>
                <w:sz w:val="20"/>
                <w:szCs w:val="20"/>
              </w:rPr>
              <w:t>Page Nos.</w:t>
            </w:r>
          </w:p>
        </w:tc>
      </w:tr>
      <w:tr w:rsidR="00B052FE" w:rsidRPr="00E20B89" w14:paraId="13272B41" w14:textId="77777777">
        <w:tc>
          <w:tcPr>
            <w:tcW w:w="889" w:type="dxa"/>
          </w:tcPr>
          <w:p w14:paraId="3927247F" w14:textId="77777777" w:rsidR="00B052FE" w:rsidRPr="00E20B89" w:rsidRDefault="00CB73A9">
            <w:pPr>
              <w:jc w:val="right"/>
              <w:rPr>
                <w:sz w:val="20"/>
                <w:szCs w:val="20"/>
              </w:rPr>
            </w:pPr>
            <w:r w:rsidRPr="00E20B89">
              <w:rPr>
                <w:sz w:val="20"/>
                <w:szCs w:val="20"/>
              </w:rPr>
              <w:t>1)</w:t>
            </w:r>
          </w:p>
        </w:tc>
        <w:tc>
          <w:tcPr>
            <w:tcW w:w="5785" w:type="dxa"/>
          </w:tcPr>
          <w:p w14:paraId="2DAFEBA3" w14:textId="77777777" w:rsidR="00B052FE" w:rsidRPr="00E20B89" w:rsidRDefault="00CB73A9">
            <w:pPr>
              <w:rPr>
                <w:sz w:val="20"/>
                <w:szCs w:val="20"/>
              </w:rPr>
            </w:pPr>
            <w:r w:rsidRPr="00E20B89">
              <w:rPr>
                <w:sz w:val="20"/>
                <w:szCs w:val="20"/>
              </w:rPr>
              <w:t>Appendix I: Search Terms and Search Strategy</w:t>
            </w:r>
          </w:p>
        </w:tc>
        <w:tc>
          <w:tcPr>
            <w:tcW w:w="1125" w:type="dxa"/>
          </w:tcPr>
          <w:p w14:paraId="50EF9B57" w14:textId="77777777" w:rsidR="00B052FE" w:rsidRPr="00E20B89" w:rsidRDefault="00CB73A9">
            <w:pPr>
              <w:rPr>
                <w:sz w:val="20"/>
                <w:szCs w:val="20"/>
              </w:rPr>
            </w:pPr>
            <w:r w:rsidRPr="00E20B89">
              <w:rPr>
                <w:sz w:val="20"/>
                <w:szCs w:val="20"/>
              </w:rPr>
              <w:t>2</w:t>
            </w:r>
          </w:p>
        </w:tc>
      </w:tr>
      <w:tr w:rsidR="00B052FE" w:rsidRPr="00E20B89" w14:paraId="438F9858" w14:textId="77777777">
        <w:tc>
          <w:tcPr>
            <w:tcW w:w="889" w:type="dxa"/>
          </w:tcPr>
          <w:p w14:paraId="60B31D80" w14:textId="77777777" w:rsidR="00B052FE" w:rsidRPr="00E20B89" w:rsidRDefault="00CB73A9">
            <w:pPr>
              <w:jc w:val="right"/>
              <w:rPr>
                <w:sz w:val="20"/>
                <w:szCs w:val="20"/>
              </w:rPr>
            </w:pPr>
            <w:r w:rsidRPr="00E20B89">
              <w:rPr>
                <w:sz w:val="20"/>
                <w:szCs w:val="20"/>
              </w:rPr>
              <w:t>2)</w:t>
            </w:r>
          </w:p>
        </w:tc>
        <w:tc>
          <w:tcPr>
            <w:tcW w:w="5785" w:type="dxa"/>
          </w:tcPr>
          <w:p w14:paraId="527F9CE1" w14:textId="77777777" w:rsidR="00B052FE" w:rsidRPr="00E20B89" w:rsidRDefault="00CB73A9">
            <w:pPr>
              <w:rPr>
                <w:sz w:val="20"/>
                <w:szCs w:val="20"/>
              </w:rPr>
            </w:pPr>
            <w:bookmarkStart w:id="0" w:name="_Hlk194654766"/>
            <w:r w:rsidRPr="00E20B89">
              <w:rPr>
                <w:sz w:val="20"/>
                <w:szCs w:val="20"/>
              </w:rPr>
              <w:t xml:space="preserve">Appendix II: Characteristics of Included Studies with NOS Grading for Quality of Study </w:t>
            </w:r>
            <w:bookmarkEnd w:id="0"/>
          </w:p>
        </w:tc>
        <w:tc>
          <w:tcPr>
            <w:tcW w:w="1125" w:type="dxa"/>
          </w:tcPr>
          <w:p w14:paraId="04B2345D" w14:textId="77777777" w:rsidR="00B052FE" w:rsidRPr="00E20B89" w:rsidRDefault="00CB73A9">
            <w:pPr>
              <w:rPr>
                <w:sz w:val="20"/>
                <w:szCs w:val="20"/>
              </w:rPr>
            </w:pPr>
            <w:r w:rsidRPr="00E20B89">
              <w:rPr>
                <w:sz w:val="20"/>
                <w:szCs w:val="20"/>
              </w:rPr>
              <w:t>3-6</w:t>
            </w:r>
          </w:p>
        </w:tc>
      </w:tr>
      <w:tr w:rsidR="00C13109" w:rsidRPr="00E20B89" w14:paraId="04704743" w14:textId="77777777">
        <w:tc>
          <w:tcPr>
            <w:tcW w:w="889" w:type="dxa"/>
          </w:tcPr>
          <w:p w14:paraId="67B77F3D" w14:textId="24581754" w:rsidR="00C13109" w:rsidRPr="00E20B89" w:rsidRDefault="00C13109">
            <w:pPr>
              <w:jc w:val="right"/>
              <w:rPr>
                <w:sz w:val="20"/>
                <w:szCs w:val="20"/>
              </w:rPr>
            </w:pPr>
            <w:r>
              <w:rPr>
                <w:sz w:val="20"/>
                <w:szCs w:val="20"/>
              </w:rPr>
              <w:t xml:space="preserve">3) </w:t>
            </w:r>
          </w:p>
        </w:tc>
        <w:tc>
          <w:tcPr>
            <w:tcW w:w="5785" w:type="dxa"/>
          </w:tcPr>
          <w:p w14:paraId="059935FC" w14:textId="472A8097" w:rsidR="00C13109" w:rsidRPr="00E20B89" w:rsidRDefault="00C13109">
            <w:pPr>
              <w:rPr>
                <w:sz w:val="20"/>
                <w:szCs w:val="20"/>
              </w:rPr>
            </w:pPr>
            <w:r>
              <w:rPr>
                <w:sz w:val="20"/>
                <w:szCs w:val="20"/>
              </w:rPr>
              <w:t>Appendix III: Within study pre-post correlation</w:t>
            </w:r>
          </w:p>
        </w:tc>
        <w:tc>
          <w:tcPr>
            <w:tcW w:w="1125" w:type="dxa"/>
          </w:tcPr>
          <w:p w14:paraId="61B8AA75" w14:textId="4F88415E" w:rsidR="00C13109" w:rsidRPr="00E20B89" w:rsidRDefault="006360EA">
            <w:pPr>
              <w:rPr>
                <w:sz w:val="20"/>
                <w:szCs w:val="20"/>
              </w:rPr>
            </w:pPr>
            <w:r>
              <w:rPr>
                <w:sz w:val="20"/>
                <w:szCs w:val="20"/>
              </w:rPr>
              <w:t>8</w:t>
            </w:r>
          </w:p>
        </w:tc>
      </w:tr>
      <w:tr w:rsidR="00B052FE" w:rsidRPr="00E20B89" w14:paraId="41106166" w14:textId="77777777">
        <w:tc>
          <w:tcPr>
            <w:tcW w:w="889" w:type="dxa"/>
          </w:tcPr>
          <w:p w14:paraId="76D44986" w14:textId="77777777" w:rsidR="00B052FE" w:rsidRPr="00E20B89" w:rsidRDefault="00CB73A9">
            <w:pPr>
              <w:jc w:val="right"/>
              <w:rPr>
                <w:sz w:val="20"/>
                <w:szCs w:val="20"/>
              </w:rPr>
            </w:pPr>
            <w:r w:rsidRPr="00E20B89">
              <w:rPr>
                <w:sz w:val="20"/>
                <w:szCs w:val="20"/>
              </w:rPr>
              <w:t>3)</w:t>
            </w:r>
          </w:p>
        </w:tc>
        <w:tc>
          <w:tcPr>
            <w:tcW w:w="5785" w:type="dxa"/>
          </w:tcPr>
          <w:p w14:paraId="4915868D" w14:textId="71EF12AE" w:rsidR="00B052FE" w:rsidRPr="00E20B89" w:rsidRDefault="00CB73A9">
            <w:pPr>
              <w:rPr>
                <w:sz w:val="20"/>
                <w:szCs w:val="20"/>
              </w:rPr>
            </w:pPr>
            <w:r w:rsidRPr="00E20B89">
              <w:rPr>
                <w:sz w:val="20"/>
                <w:szCs w:val="20"/>
              </w:rPr>
              <w:t>Appendix I</w:t>
            </w:r>
            <w:r w:rsidR="009B17EA">
              <w:rPr>
                <w:sz w:val="20"/>
                <w:szCs w:val="20"/>
              </w:rPr>
              <w:t>V</w:t>
            </w:r>
            <w:r w:rsidRPr="00E20B89">
              <w:rPr>
                <w:sz w:val="20"/>
                <w:szCs w:val="20"/>
              </w:rPr>
              <w:t xml:space="preserve">: Forest plots for other parameters </w:t>
            </w:r>
          </w:p>
        </w:tc>
        <w:tc>
          <w:tcPr>
            <w:tcW w:w="1125" w:type="dxa"/>
          </w:tcPr>
          <w:p w14:paraId="59D7A637" w14:textId="2916F222" w:rsidR="00B052FE" w:rsidRPr="00E20B89" w:rsidRDefault="006360EA">
            <w:pPr>
              <w:rPr>
                <w:sz w:val="20"/>
                <w:szCs w:val="20"/>
              </w:rPr>
            </w:pPr>
            <w:r>
              <w:rPr>
                <w:sz w:val="20"/>
                <w:szCs w:val="20"/>
              </w:rPr>
              <w:t>9</w:t>
            </w:r>
            <w:r w:rsidR="004B2768" w:rsidRPr="00E20B89">
              <w:rPr>
                <w:sz w:val="20"/>
                <w:szCs w:val="20"/>
              </w:rPr>
              <w:t>-1</w:t>
            </w:r>
            <w:r w:rsidR="00DD2986">
              <w:rPr>
                <w:sz w:val="20"/>
                <w:szCs w:val="20"/>
              </w:rPr>
              <w:t>4</w:t>
            </w:r>
          </w:p>
        </w:tc>
      </w:tr>
      <w:tr w:rsidR="00B052FE" w:rsidRPr="00E20B89" w14:paraId="23DD4A60" w14:textId="77777777">
        <w:tc>
          <w:tcPr>
            <w:tcW w:w="889" w:type="dxa"/>
          </w:tcPr>
          <w:p w14:paraId="2C756298" w14:textId="77777777" w:rsidR="00B052FE" w:rsidRPr="00E20B89" w:rsidRDefault="00CB73A9">
            <w:pPr>
              <w:jc w:val="right"/>
              <w:rPr>
                <w:sz w:val="20"/>
                <w:szCs w:val="20"/>
              </w:rPr>
            </w:pPr>
            <w:r w:rsidRPr="00E20B89">
              <w:rPr>
                <w:sz w:val="20"/>
                <w:szCs w:val="20"/>
              </w:rPr>
              <w:t>4)</w:t>
            </w:r>
          </w:p>
        </w:tc>
        <w:tc>
          <w:tcPr>
            <w:tcW w:w="5785" w:type="dxa"/>
          </w:tcPr>
          <w:p w14:paraId="2E542135" w14:textId="5BD159DE" w:rsidR="00B052FE" w:rsidRPr="00E20B89" w:rsidRDefault="00CB73A9">
            <w:pPr>
              <w:rPr>
                <w:sz w:val="20"/>
                <w:szCs w:val="20"/>
              </w:rPr>
            </w:pPr>
            <w:r w:rsidRPr="00E20B89">
              <w:rPr>
                <w:sz w:val="20"/>
                <w:szCs w:val="20"/>
              </w:rPr>
              <w:t xml:space="preserve">Appendix V: Funnel Plots </w:t>
            </w:r>
          </w:p>
        </w:tc>
        <w:tc>
          <w:tcPr>
            <w:tcW w:w="1125" w:type="dxa"/>
          </w:tcPr>
          <w:p w14:paraId="6C8ACCBC" w14:textId="641729A9" w:rsidR="00B052FE" w:rsidRPr="00E20B89" w:rsidRDefault="00CB73A9">
            <w:pPr>
              <w:rPr>
                <w:sz w:val="20"/>
                <w:szCs w:val="20"/>
              </w:rPr>
            </w:pPr>
            <w:r w:rsidRPr="00E20B89">
              <w:rPr>
                <w:sz w:val="20"/>
                <w:szCs w:val="20"/>
              </w:rPr>
              <w:t>1</w:t>
            </w:r>
            <w:r w:rsidR="00DD2986">
              <w:rPr>
                <w:sz w:val="20"/>
                <w:szCs w:val="20"/>
              </w:rPr>
              <w:t>5</w:t>
            </w:r>
            <w:r w:rsidRPr="00E20B89">
              <w:rPr>
                <w:sz w:val="20"/>
                <w:szCs w:val="20"/>
              </w:rPr>
              <w:t>-</w:t>
            </w:r>
            <w:r w:rsidR="004B2768">
              <w:rPr>
                <w:sz w:val="20"/>
                <w:szCs w:val="20"/>
              </w:rPr>
              <w:t>2</w:t>
            </w:r>
            <w:r w:rsidR="00DD2986">
              <w:rPr>
                <w:sz w:val="20"/>
                <w:szCs w:val="20"/>
              </w:rPr>
              <w:t>1</w:t>
            </w:r>
          </w:p>
        </w:tc>
      </w:tr>
      <w:tr w:rsidR="00EA5A8D" w:rsidRPr="00E20B89" w14:paraId="063BC0B6" w14:textId="77777777">
        <w:tc>
          <w:tcPr>
            <w:tcW w:w="889" w:type="dxa"/>
          </w:tcPr>
          <w:p w14:paraId="6E46DE64" w14:textId="4314F6A9" w:rsidR="00EA5A8D" w:rsidRPr="00E20B89" w:rsidRDefault="00EA5A8D">
            <w:pPr>
              <w:jc w:val="right"/>
              <w:rPr>
                <w:sz w:val="20"/>
                <w:szCs w:val="20"/>
              </w:rPr>
            </w:pPr>
            <w:r>
              <w:rPr>
                <w:sz w:val="20"/>
                <w:szCs w:val="20"/>
              </w:rPr>
              <w:t xml:space="preserve">5) </w:t>
            </w:r>
          </w:p>
        </w:tc>
        <w:tc>
          <w:tcPr>
            <w:tcW w:w="5785" w:type="dxa"/>
          </w:tcPr>
          <w:p w14:paraId="2FCE92A6" w14:textId="590B61E6" w:rsidR="00EA5A8D" w:rsidRPr="00E20B89" w:rsidRDefault="00EA5A8D">
            <w:pPr>
              <w:rPr>
                <w:sz w:val="20"/>
                <w:szCs w:val="20"/>
              </w:rPr>
            </w:pPr>
            <w:r>
              <w:rPr>
                <w:sz w:val="20"/>
                <w:szCs w:val="20"/>
              </w:rPr>
              <w:t>Appendix VI: Sensitivity Analysis</w:t>
            </w:r>
          </w:p>
        </w:tc>
        <w:tc>
          <w:tcPr>
            <w:tcW w:w="1125" w:type="dxa"/>
          </w:tcPr>
          <w:p w14:paraId="22DCA892" w14:textId="5ACC0D1A" w:rsidR="00EA5A8D" w:rsidRPr="00E20B89" w:rsidRDefault="00DD2986">
            <w:pPr>
              <w:rPr>
                <w:sz w:val="20"/>
                <w:szCs w:val="20"/>
              </w:rPr>
            </w:pPr>
            <w:r>
              <w:rPr>
                <w:sz w:val="20"/>
                <w:szCs w:val="20"/>
              </w:rPr>
              <w:t>22-26</w:t>
            </w:r>
          </w:p>
        </w:tc>
      </w:tr>
      <w:tr w:rsidR="004B18E4" w:rsidRPr="00E20B89" w14:paraId="65E2C729" w14:textId="77777777">
        <w:tc>
          <w:tcPr>
            <w:tcW w:w="889" w:type="dxa"/>
          </w:tcPr>
          <w:p w14:paraId="7B7B04EF" w14:textId="77777777" w:rsidR="004B18E4" w:rsidRPr="00E20B89" w:rsidRDefault="004B18E4">
            <w:pPr>
              <w:jc w:val="right"/>
              <w:rPr>
                <w:sz w:val="20"/>
                <w:szCs w:val="20"/>
              </w:rPr>
            </w:pPr>
            <w:r w:rsidRPr="00E20B89">
              <w:rPr>
                <w:sz w:val="20"/>
                <w:szCs w:val="20"/>
              </w:rPr>
              <w:t>5)</w:t>
            </w:r>
          </w:p>
        </w:tc>
        <w:tc>
          <w:tcPr>
            <w:tcW w:w="5785" w:type="dxa"/>
          </w:tcPr>
          <w:p w14:paraId="397950A4" w14:textId="3B46614F" w:rsidR="004B18E4" w:rsidRPr="00E20B89" w:rsidRDefault="004B18E4">
            <w:pPr>
              <w:rPr>
                <w:sz w:val="20"/>
                <w:szCs w:val="20"/>
              </w:rPr>
            </w:pPr>
            <w:r w:rsidRPr="00E20B89">
              <w:rPr>
                <w:sz w:val="20"/>
                <w:szCs w:val="20"/>
              </w:rPr>
              <w:t>Appendix V</w:t>
            </w:r>
            <w:r w:rsidR="009B17EA">
              <w:rPr>
                <w:sz w:val="20"/>
                <w:szCs w:val="20"/>
              </w:rPr>
              <w:t>I</w:t>
            </w:r>
            <w:r w:rsidR="00EA5A8D">
              <w:rPr>
                <w:sz w:val="20"/>
                <w:szCs w:val="20"/>
              </w:rPr>
              <w:t>I</w:t>
            </w:r>
            <w:r w:rsidRPr="00E20B89">
              <w:rPr>
                <w:sz w:val="20"/>
                <w:szCs w:val="20"/>
              </w:rPr>
              <w:t xml:space="preserve"> : Summary of biopsy</w:t>
            </w:r>
            <w:r w:rsidR="00CD5CE4" w:rsidRPr="00E20B89">
              <w:rPr>
                <w:sz w:val="20"/>
                <w:szCs w:val="20"/>
              </w:rPr>
              <w:t>-</w:t>
            </w:r>
            <w:r w:rsidRPr="00E20B89">
              <w:rPr>
                <w:sz w:val="20"/>
                <w:szCs w:val="20"/>
              </w:rPr>
              <w:t>based liver fibrosis study</w:t>
            </w:r>
          </w:p>
        </w:tc>
        <w:tc>
          <w:tcPr>
            <w:tcW w:w="1125" w:type="dxa"/>
          </w:tcPr>
          <w:p w14:paraId="7E177B51" w14:textId="5F9ED3C7" w:rsidR="004B18E4" w:rsidRPr="00E20B89" w:rsidRDefault="004B18E4">
            <w:pPr>
              <w:rPr>
                <w:sz w:val="20"/>
                <w:szCs w:val="20"/>
              </w:rPr>
            </w:pPr>
            <w:r w:rsidRPr="00E20B89">
              <w:rPr>
                <w:sz w:val="20"/>
                <w:szCs w:val="20"/>
              </w:rPr>
              <w:t>2</w:t>
            </w:r>
            <w:r w:rsidR="00DD2986">
              <w:rPr>
                <w:sz w:val="20"/>
                <w:szCs w:val="20"/>
              </w:rPr>
              <w:t>7</w:t>
            </w:r>
            <w:r w:rsidR="004B2768">
              <w:rPr>
                <w:sz w:val="20"/>
                <w:szCs w:val="20"/>
              </w:rPr>
              <w:t>-2</w:t>
            </w:r>
            <w:r w:rsidR="00DD2986">
              <w:rPr>
                <w:sz w:val="20"/>
                <w:szCs w:val="20"/>
              </w:rPr>
              <w:t>8</w:t>
            </w:r>
          </w:p>
        </w:tc>
      </w:tr>
      <w:tr w:rsidR="00B052FE" w:rsidRPr="00E20B89" w14:paraId="5E58F416" w14:textId="77777777">
        <w:tc>
          <w:tcPr>
            <w:tcW w:w="889" w:type="dxa"/>
          </w:tcPr>
          <w:p w14:paraId="47FF7019" w14:textId="77777777" w:rsidR="00B052FE" w:rsidRPr="00E20B89" w:rsidRDefault="004B18E4">
            <w:pPr>
              <w:jc w:val="right"/>
              <w:rPr>
                <w:sz w:val="20"/>
                <w:szCs w:val="20"/>
              </w:rPr>
            </w:pPr>
            <w:r w:rsidRPr="00E20B89">
              <w:rPr>
                <w:sz w:val="20"/>
                <w:szCs w:val="20"/>
              </w:rPr>
              <w:t>6)</w:t>
            </w:r>
          </w:p>
        </w:tc>
        <w:tc>
          <w:tcPr>
            <w:tcW w:w="5785" w:type="dxa"/>
          </w:tcPr>
          <w:p w14:paraId="2D7C40C1" w14:textId="62E1C987" w:rsidR="00B052FE" w:rsidRPr="00E20B89" w:rsidRDefault="00CB73A9">
            <w:pPr>
              <w:rPr>
                <w:sz w:val="20"/>
                <w:szCs w:val="20"/>
              </w:rPr>
            </w:pPr>
            <w:r w:rsidRPr="00E20B89">
              <w:rPr>
                <w:sz w:val="20"/>
                <w:szCs w:val="20"/>
              </w:rPr>
              <w:t>Appendix V</w:t>
            </w:r>
            <w:r w:rsidR="00E20B89" w:rsidRPr="00E20B89">
              <w:rPr>
                <w:sz w:val="20"/>
                <w:szCs w:val="20"/>
              </w:rPr>
              <w:t>I</w:t>
            </w:r>
            <w:r w:rsidR="009B17EA">
              <w:rPr>
                <w:sz w:val="20"/>
                <w:szCs w:val="20"/>
              </w:rPr>
              <w:t>I</w:t>
            </w:r>
            <w:r w:rsidR="00EA5A8D">
              <w:rPr>
                <w:sz w:val="20"/>
                <w:szCs w:val="20"/>
              </w:rPr>
              <w:t>I</w:t>
            </w:r>
            <w:r w:rsidRPr="00E20B89">
              <w:rPr>
                <w:sz w:val="20"/>
                <w:szCs w:val="20"/>
              </w:rPr>
              <w:t xml:space="preserve">: Meta-regression plots </w:t>
            </w:r>
          </w:p>
        </w:tc>
        <w:tc>
          <w:tcPr>
            <w:tcW w:w="1125" w:type="dxa"/>
          </w:tcPr>
          <w:p w14:paraId="12CD0581" w14:textId="6B2F651D" w:rsidR="00B052FE" w:rsidRPr="00E20B89" w:rsidRDefault="00CB73A9">
            <w:pPr>
              <w:rPr>
                <w:sz w:val="20"/>
                <w:szCs w:val="20"/>
              </w:rPr>
            </w:pPr>
            <w:r w:rsidRPr="00E20B89">
              <w:rPr>
                <w:sz w:val="20"/>
                <w:szCs w:val="20"/>
              </w:rPr>
              <w:t>2</w:t>
            </w:r>
            <w:r w:rsidR="00DD2986">
              <w:rPr>
                <w:sz w:val="20"/>
                <w:szCs w:val="20"/>
              </w:rPr>
              <w:t>9-31</w:t>
            </w:r>
          </w:p>
        </w:tc>
      </w:tr>
      <w:tr w:rsidR="00B052FE" w:rsidRPr="00E20B89" w14:paraId="22FC1675" w14:textId="77777777">
        <w:tc>
          <w:tcPr>
            <w:tcW w:w="889" w:type="dxa"/>
          </w:tcPr>
          <w:p w14:paraId="1598E21C" w14:textId="77777777" w:rsidR="00B052FE" w:rsidRPr="00E20B89" w:rsidRDefault="004B18E4">
            <w:pPr>
              <w:jc w:val="right"/>
              <w:rPr>
                <w:sz w:val="20"/>
                <w:szCs w:val="20"/>
              </w:rPr>
            </w:pPr>
            <w:r w:rsidRPr="00E20B89">
              <w:rPr>
                <w:sz w:val="20"/>
                <w:szCs w:val="20"/>
              </w:rPr>
              <w:t>7)</w:t>
            </w:r>
          </w:p>
        </w:tc>
        <w:tc>
          <w:tcPr>
            <w:tcW w:w="5785" w:type="dxa"/>
          </w:tcPr>
          <w:p w14:paraId="25271827" w14:textId="00BE327B" w:rsidR="00B052FE" w:rsidRPr="00E20B89" w:rsidRDefault="00CB73A9">
            <w:pPr>
              <w:rPr>
                <w:sz w:val="20"/>
                <w:szCs w:val="20"/>
              </w:rPr>
            </w:pPr>
            <w:r w:rsidRPr="00E20B89">
              <w:rPr>
                <w:sz w:val="20"/>
                <w:szCs w:val="20"/>
              </w:rPr>
              <w:t xml:space="preserve">Appendix </w:t>
            </w:r>
            <w:r w:rsidR="009B17EA">
              <w:rPr>
                <w:sz w:val="20"/>
                <w:szCs w:val="20"/>
              </w:rPr>
              <w:t>I</w:t>
            </w:r>
            <w:r w:rsidR="00EA5A8D">
              <w:rPr>
                <w:sz w:val="20"/>
                <w:szCs w:val="20"/>
              </w:rPr>
              <w:t>X</w:t>
            </w:r>
            <w:r w:rsidRPr="00E20B89">
              <w:rPr>
                <w:sz w:val="20"/>
                <w:szCs w:val="20"/>
              </w:rPr>
              <w:t xml:space="preserve">: PRISMA 2020 checklist </w:t>
            </w:r>
          </w:p>
        </w:tc>
        <w:tc>
          <w:tcPr>
            <w:tcW w:w="1125" w:type="dxa"/>
          </w:tcPr>
          <w:p w14:paraId="67D64AAF" w14:textId="5216D67C" w:rsidR="00B052FE" w:rsidRPr="00E20B89" w:rsidRDefault="00DD2986">
            <w:pPr>
              <w:rPr>
                <w:sz w:val="20"/>
                <w:szCs w:val="20"/>
              </w:rPr>
            </w:pPr>
            <w:r>
              <w:rPr>
                <w:sz w:val="20"/>
                <w:szCs w:val="20"/>
              </w:rPr>
              <w:t>32</w:t>
            </w:r>
            <w:r w:rsidR="00CB73A9" w:rsidRPr="00E20B89">
              <w:rPr>
                <w:sz w:val="20"/>
                <w:szCs w:val="20"/>
              </w:rPr>
              <w:t>-</w:t>
            </w:r>
            <w:r>
              <w:rPr>
                <w:sz w:val="20"/>
                <w:szCs w:val="20"/>
              </w:rPr>
              <w:t>3</w:t>
            </w:r>
            <w:r w:rsidR="004B2768">
              <w:rPr>
                <w:sz w:val="20"/>
                <w:szCs w:val="20"/>
              </w:rPr>
              <w:t>4</w:t>
            </w:r>
          </w:p>
        </w:tc>
      </w:tr>
      <w:tr w:rsidR="00B052FE" w:rsidRPr="00E20B89" w14:paraId="4D18520A" w14:textId="77777777">
        <w:tc>
          <w:tcPr>
            <w:tcW w:w="889" w:type="dxa"/>
          </w:tcPr>
          <w:p w14:paraId="3BF65C26" w14:textId="77777777" w:rsidR="00B052FE" w:rsidRPr="00E20B89" w:rsidRDefault="00B052FE">
            <w:pPr>
              <w:jc w:val="right"/>
              <w:rPr>
                <w:sz w:val="20"/>
                <w:szCs w:val="20"/>
              </w:rPr>
            </w:pPr>
          </w:p>
        </w:tc>
        <w:tc>
          <w:tcPr>
            <w:tcW w:w="5785" w:type="dxa"/>
          </w:tcPr>
          <w:p w14:paraId="7539E8E1" w14:textId="77777777" w:rsidR="00B052FE" w:rsidRPr="00E20B89" w:rsidRDefault="00CB73A9">
            <w:pPr>
              <w:rPr>
                <w:sz w:val="20"/>
                <w:szCs w:val="20"/>
              </w:rPr>
            </w:pPr>
            <w:r w:rsidRPr="00E20B89">
              <w:rPr>
                <w:sz w:val="20"/>
                <w:szCs w:val="20"/>
              </w:rPr>
              <w:t>References</w:t>
            </w:r>
          </w:p>
        </w:tc>
        <w:tc>
          <w:tcPr>
            <w:tcW w:w="1125" w:type="dxa"/>
          </w:tcPr>
          <w:p w14:paraId="49A80017" w14:textId="4003994E" w:rsidR="00B052FE" w:rsidRPr="00E20B89" w:rsidRDefault="00DD2986">
            <w:pPr>
              <w:rPr>
                <w:sz w:val="20"/>
                <w:szCs w:val="20"/>
              </w:rPr>
            </w:pPr>
            <w:r>
              <w:rPr>
                <w:sz w:val="20"/>
                <w:szCs w:val="20"/>
              </w:rPr>
              <w:t>35</w:t>
            </w:r>
            <w:r w:rsidR="00CB73A9" w:rsidRPr="00E20B89">
              <w:rPr>
                <w:sz w:val="20"/>
                <w:szCs w:val="20"/>
              </w:rPr>
              <w:t>-</w:t>
            </w:r>
            <w:r>
              <w:rPr>
                <w:sz w:val="20"/>
                <w:szCs w:val="20"/>
              </w:rPr>
              <w:t>3</w:t>
            </w:r>
            <w:r w:rsidR="004B2768">
              <w:rPr>
                <w:sz w:val="20"/>
                <w:szCs w:val="20"/>
              </w:rPr>
              <w:t>9</w:t>
            </w:r>
          </w:p>
        </w:tc>
      </w:tr>
    </w:tbl>
    <w:p w14:paraId="391021C0" w14:textId="77777777" w:rsidR="00B052FE" w:rsidRPr="00E20B89" w:rsidRDefault="00B052FE">
      <w:pPr>
        <w:jc w:val="both"/>
        <w:rPr>
          <w:b/>
          <w:bCs/>
          <w:sz w:val="20"/>
          <w:szCs w:val="20"/>
        </w:rPr>
      </w:pPr>
    </w:p>
    <w:p w14:paraId="3AEB8D9B" w14:textId="77777777" w:rsidR="00B052FE" w:rsidRPr="00E20B89" w:rsidRDefault="00CB73A9">
      <w:pPr>
        <w:spacing w:after="160"/>
        <w:rPr>
          <w:b/>
          <w:bCs/>
          <w:sz w:val="20"/>
          <w:szCs w:val="20"/>
        </w:rPr>
      </w:pPr>
      <w:r w:rsidRPr="00E20B89">
        <w:rPr>
          <w:b/>
          <w:bCs/>
          <w:sz w:val="20"/>
          <w:szCs w:val="20"/>
        </w:rPr>
        <w:br w:type="page"/>
      </w:r>
    </w:p>
    <w:p w14:paraId="79A43864" w14:textId="77777777" w:rsidR="00B052FE" w:rsidRPr="00E20B89" w:rsidRDefault="00CB73A9">
      <w:pPr>
        <w:jc w:val="both"/>
        <w:rPr>
          <w:b/>
          <w:bCs/>
          <w:sz w:val="20"/>
          <w:szCs w:val="20"/>
        </w:rPr>
      </w:pPr>
      <w:r w:rsidRPr="00E20B89">
        <w:rPr>
          <w:b/>
          <w:bCs/>
          <w:sz w:val="20"/>
          <w:szCs w:val="20"/>
        </w:rPr>
        <w:lastRenderedPageBreak/>
        <w:t>Appendix I: Search Terms and Detailed Search Strategy:</w:t>
      </w:r>
    </w:p>
    <w:p w14:paraId="2C14404D" w14:textId="77777777" w:rsidR="00B052FE" w:rsidRPr="00E20B89" w:rsidRDefault="00B052FE">
      <w:pPr>
        <w:jc w:val="both"/>
        <w:rPr>
          <w:b/>
          <w:bCs/>
          <w:sz w:val="20"/>
          <w:szCs w:val="20"/>
        </w:rPr>
      </w:pPr>
    </w:p>
    <w:tbl>
      <w:tblPr>
        <w:tblStyle w:val="TableGrid"/>
        <w:tblW w:w="9493" w:type="dxa"/>
        <w:tblLayout w:type="fixed"/>
        <w:tblLook w:val="04A0" w:firstRow="1" w:lastRow="0" w:firstColumn="1" w:lastColumn="0" w:noHBand="0" w:noVBand="1"/>
      </w:tblPr>
      <w:tblGrid>
        <w:gridCol w:w="1555"/>
        <w:gridCol w:w="6804"/>
        <w:gridCol w:w="1134"/>
      </w:tblGrid>
      <w:tr w:rsidR="00B052FE" w:rsidRPr="00E20B89" w14:paraId="6599344D" w14:textId="77777777">
        <w:tc>
          <w:tcPr>
            <w:tcW w:w="1555" w:type="dxa"/>
          </w:tcPr>
          <w:p w14:paraId="1FF39A13" w14:textId="77777777" w:rsidR="00B052FE" w:rsidRPr="00E20B89" w:rsidRDefault="00CB73A9">
            <w:pPr>
              <w:jc w:val="both"/>
              <w:rPr>
                <w:b/>
                <w:bCs/>
                <w:sz w:val="16"/>
                <w:szCs w:val="16"/>
              </w:rPr>
            </w:pPr>
            <w:r w:rsidRPr="00E20B89">
              <w:rPr>
                <w:b/>
                <w:bCs/>
                <w:sz w:val="16"/>
                <w:szCs w:val="16"/>
              </w:rPr>
              <w:t>Database</w:t>
            </w:r>
          </w:p>
        </w:tc>
        <w:tc>
          <w:tcPr>
            <w:tcW w:w="6804" w:type="dxa"/>
          </w:tcPr>
          <w:p w14:paraId="5F6A850C" w14:textId="77777777" w:rsidR="00B052FE" w:rsidRPr="00E20B89" w:rsidRDefault="00CB73A9">
            <w:pPr>
              <w:jc w:val="both"/>
              <w:rPr>
                <w:b/>
                <w:bCs/>
                <w:sz w:val="16"/>
                <w:szCs w:val="16"/>
              </w:rPr>
            </w:pPr>
            <w:r w:rsidRPr="00E20B89">
              <w:rPr>
                <w:b/>
                <w:bCs/>
                <w:sz w:val="16"/>
                <w:szCs w:val="16"/>
              </w:rPr>
              <w:t>Search Strategy</w:t>
            </w:r>
          </w:p>
        </w:tc>
        <w:tc>
          <w:tcPr>
            <w:tcW w:w="1134" w:type="dxa"/>
          </w:tcPr>
          <w:p w14:paraId="147EF567" w14:textId="77777777" w:rsidR="00B052FE" w:rsidRPr="00E20B89" w:rsidRDefault="00CB73A9">
            <w:pPr>
              <w:jc w:val="both"/>
              <w:rPr>
                <w:b/>
                <w:bCs/>
                <w:sz w:val="16"/>
                <w:szCs w:val="16"/>
              </w:rPr>
            </w:pPr>
            <w:r w:rsidRPr="00E20B89">
              <w:rPr>
                <w:b/>
                <w:bCs/>
                <w:sz w:val="16"/>
                <w:szCs w:val="16"/>
              </w:rPr>
              <w:t>Number of articles retrieved</w:t>
            </w:r>
          </w:p>
        </w:tc>
      </w:tr>
      <w:tr w:rsidR="00B052FE" w:rsidRPr="00E20B89" w14:paraId="5C9F9885" w14:textId="77777777">
        <w:trPr>
          <w:trHeight w:val="211"/>
        </w:trPr>
        <w:tc>
          <w:tcPr>
            <w:tcW w:w="1555" w:type="dxa"/>
            <w:vMerge w:val="restart"/>
          </w:tcPr>
          <w:p w14:paraId="41785D8B" w14:textId="77777777" w:rsidR="00B052FE" w:rsidRPr="00F72FC0" w:rsidRDefault="00CB73A9">
            <w:pPr>
              <w:jc w:val="both"/>
              <w:rPr>
                <w:b/>
                <w:bCs/>
                <w:sz w:val="16"/>
                <w:szCs w:val="16"/>
              </w:rPr>
            </w:pPr>
            <w:r w:rsidRPr="00F72FC0">
              <w:rPr>
                <w:b/>
                <w:bCs/>
                <w:sz w:val="16"/>
                <w:szCs w:val="16"/>
              </w:rPr>
              <w:t>PubMed</w:t>
            </w:r>
          </w:p>
          <w:p w14:paraId="41A962BB" w14:textId="651D289D" w:rsidR="00B052FE" w:rsidRPr="00F72FC0" w:rsidRDefault="00CB73A9">
            <w:pPr>
              <w:jc w:val="both"/>
              <w:rPr>
                <w:b/>
                <w:bCs/>
                <w:sz w:val="16"/>
                <w:szCs w:val="16"/>
              </w:rPr>
            </w:pPr>
            <w:r w:rsidRPr="00F72FC0">
              <w:rPr>
                <w:b/>
                <w:bCs/>
                <w:sz w:val="16"/>
                <w:szCs w:val="16"/>
              </w:rPr>
              <w:t>(n=3</w:t>
            </w:r>
            <w:r w:rsidR="003C0133" w:rsidRPr="00F72FC0">
              <w:rPr>
                <w:b/>
                <w:bCs/>
                <w:sz w:val="16"/>
                <w:szCs w:val="16"/>
              </w:rPr>
              <w:t>611</w:t>
            </w:r>
            <w:r w:rsidRPr="00F72FC0">
              <w:rPr>
                <w:b/>
                <w:bCs/>
                <w:sz w:val="16"/>
                <w:szCs w:val="16"/>
              </w:rPr>
              <w:t>)</w:t>
            </w:r>
          </w:p>
        </w:tc>
        <w:tc>
          <w:tcPr>
            <w:tcW w:w="6804" w:type="dxa"/>
          </w:tcPr>
          <w:p w14:paraId="1A3D737B" w14:textId="77777777" w:rsidR="00B052FE" w:rsidRPr="00E20B89" w:rsidRDefault="00CB73A9">
            <w:pPr>
              <w:jc w:val="both"/>
              <w:rPr>
                <w:sz w:val="16"/>
                <w:szCs w:val="16"/>
              </w:rPr>
            </w:pPr>
            <w:r w:rsidRPr="00E20B89">
              <w:rPr>
                <w:sz w:val="16"/>
                <w:szCs w:val="16"/>
              </w:rPr>
              <w:t>1) ((HCV) OR (hepatitis c)) OR (hepatitis c virus)</w:t>
            </w:r>
          </w:p>
        </w:tc>
        <w:tc>
          <w:tcPr>
            <w:tcW w:w="1134" w:type="dxa"/>
          </w:tcPr>
          <w:p w14:paraId="4283FD77" w14:textId="2AAC02BA" w:rsidR="00B052FE" w:rsidRPr="00E20B89" w:rsidRDefault="00CB73A9">
            <w:pPr>
              <w:jc w:val="both"/>
              <w:rPr>
                <w:sz w:val="16"/>
                <w:szCs w:val="16"/>
              </w:rPr>
            </w:pPr>
            <w:r w:rsidRPr="00E20B89">
              <w:rPr>
                <w:sz w:val="16"/>
                <w:szCs w:val="16"/>
              </w:rPr>
              <w:t>11</w:t>
            </w:r>
            <w:r w:rsidR="003C0133">
              <w:rPr>
                <w:sz w:val="16"/>
                <w:szCs w:val="16"/>
              </w:rPr>
              <w:t>5,347</w:t>
            </w:r>
          </w:p>
        </w:tc>
      </w:tr>
      <w:tr w:rsidR="00B052FE" w:rsidRPr="00E20B89" w14:paraId="57D69F7A" w14:textId="77777777">
        <w:trPr>
          <w:trHeight w:val="231"/>
        </w:trPr>
        <w:tc>
          <w:tcPr>
            <w:tcW w:w="1555" w:type="dxa"/>
            <w:vMerge/>
          </w:tcPr>
          <w:p w14:paraId="71AAFB6F" w14:textId="77777777" w:rsidR="00B052FE" w:rsidRPr="00F72FC0" w:rsidRDefault="00B052FE">
            <w:pPr>
              <w:jc w:val="both"/>
              <w:rPr>
                <w:b/>
                <w:bCs/>
                <w:sz w:val="16"/>
                <w:szCs w:val="16"/>
              </w:rPr>
            </w:pPr>
          </w:p>
        </w:tc>
        <w:tc>
          <w:tcPr>
            <w:tcW w:w="6804" w:type="dxa"/>
          </w:tcPr>
          <w:p w14:paraId="477CB85A" w14:textId="77777777" w:rsidR="00B052FE" w:rsidRPr="00E20B89" w:rsidRDefault="00CB73A9">
            <w:pPr>
              <w:jc w:val="both"/>
              <w:rPr>
                <w:sz w:val="16"/>
                <w:szCs w:val="16"/>
              </w:rPr>
            </w:pPr>
            <w:r w:rsidRPr="00E20B89">
              <w:rPr>
                <w:sz w:val="16"/>
                <w:szCs w:val="16"/>
              </w:rPr>
              <w:t>2) ((((((direct acting antiviral) OR (directly acting antiviral)) OR (DAA)) OR (sofosbuvir)) OR (</w:t>
            </w:r>
            <w:proofErr w:type="spellStart"/>
            <w:r w:rsidRPr="00E20B89">
              <w:rPr>
                <w:sz w:val="16"/>
                <w:szCs w:val="16"/>
              </w:rPr>
              <w:t>velpatasvir</w:t>
            </w:r>
            <w:proofErr w:type="spellEnd"/>
            <w:r w:rsidRPr="00E20B89">
              <w:rPr>
                <w:sz w:val="16"/>
                <w:szCs w:val="16"/>
              </w:rPr>
              <w:t>)) OR (daclatasvir)) OR (</w:t>
            </w:r>
            <w:proofErr w:type="spellStart"/>
            <w:r w:rsidRPr="00E20B89">
              <w:rPr>
                <w:sz w:val="16"/>
                <w:szCs w:val="16"/>
              </w:rPr>
              <w:t>ledispavir</w:t>
            </w:r>
            <w:proofErr w:type="spellEnd"/>
            <w:r w:rsidRPr="00E20B89">
              <w:rPr>
                <w:sz w:val="16"/>
                <w:szCs w:val="16"/>
              </w:rPr>
              <w:t>)</w:t>
            </w:r>
          </w:p>
        </w:tc>
        <w:tc>
          <w:tcPr>
            <w:tcW w:w="1134" w:type="dxa"/>
          </w:tcPr>
          <w:p w14:paraId="16B9253F" w14:textId="23F15E6E" w:rsidR="00B052FE" w:rsidRPr="00E20B89" w:rsidRDefault="003C0133">
            <w:pPr>
              <w:jc w:val="both"/>
              <w:rPr>
                <w:sz w:val="16"/>
                <w:szCs w:val="16"/>
              </w:rPr>
            </w:pPr>
            <w:r>
              <w:rPr>
                <w:sz w:val="16"/>
                <w:szCs w:val="16"/>
              </w:rPr>
              <w:t>16,522</w:t>
            </w:r>
          </w:p>
        </w:tc>
      </w:tr>
      <w:tr w:rsidR="00B052FE" w:rsidRPr="00E20B89" w14:paraId="3D8E3D70" w14:textId="77777777">
        <w:trPr>
          <w:trHeight w:val="240"/>
        </w:trPr>
        <w:tc>
          <w:tcPr>
            <w:tcW w:w="1555" w:type="dxa"/>
            <w:vMerge/>
          </w:tcPr>
          <w:p w14:paraId="5FB0F0FF" w14:textId="77777777" w:rsidR="00B052FE" w:rsidRPr="00F72FC0" w:rsidRDefault="00B052FE">
            <w:pPr>
              <w:jc w:val="both"/>
              <w:rPr>
                <w:b/>
                <w:bCs/>
                <w:sz w:val="16"/>
                <w:szCs w:val="16"/>
              </w:rPr>
            </w:pPr>
          </w:p>
        </w:tc>
        <w:tc>
          <w:tcPr>
            <w:tcW w:w="6804" w:type="dxa"/>
          </w:tcPr>
          <w:p w14:paraId="221A5323" w14:textId="77777777" w:rsidR="00B052FE" w:rsidRPr="00E20B89" w:rsidRDefault="00CB73A9">
            <w:pPr>
              <w:jc w:val="both"/>
              <w:rPr>
                <w:sz w:val="16"/>
                <w:szCs w:val="16"/>
              </w:rPr>
            </w:pPr>
            <w:r w:rsidRPr="00E20B89">
              <w:rPr>
                <w:sz w:val="16"/>
                <w:szCs w:val="16"/>
              </w:rPr>
              <w:t>3) (((((liver fibrosis) OR (fibrosis score)) OR (elastography)) OR (VCTE)) OR (fibrosis regression)) OR (fibrosis progression)</w:t>
            </w:r>
          </w:p>
        </w:tc>
        <w:tc>
          <w:tcPr>
            <w:tcW w:w="1134" w:type="dxa"/>
          </w:tcPr>
          <w:p w14:paraId="66F419CA" w14:textId="7DC07906" w:rsidR="00B052FE" w:rsidRPr="00E20B89" w:rsidRDefault="003C0133">
            <w:pPr>
              <w:jc w:val="both"/>
              <w:rPr>
                <w:sz w:val="16"/>
                <w:szCs w:val="16"/>
              </w:rPr>
            </w:pPr>
            <w:r>
              <w:rPr>
                <w:sz w:val="16"/>
                <w:szCs w:val="16"/>
              </w:rPr>
              <w:t>269,976</w:t>
            </w:r>
          </w:p>
        </w:tc>
      </w:tr>
      <w:tr w:rsidR="00B052FE" w:rsidRPr="00E20B89" w14:paraId="093C4F6B" w14:textId="77777777">
        <w:trPr>
          <w:trHeight w:val="928"/>
        </w:trPr>
        <w:tc>
          <w:tcPr>
            <w:tcW w:w="1555" w:type="dxa"/>
            <w:vMerge/>
          </w:tcPr>
          <w:p w14:paraId="14D7D07A" w14:textId="77777777" w:rsidR="00B052FE" w:rsidRPr="00F72FC0" w:rsidRDefault="00B052FE">
            <w:pPr>
              <w:jc w:val="both"/>
              <w:rPr>
                <w:b/>
                <w:bCs/>
                <w:sz w:val="16"/>
                <w:szCs w:val="16"/>
              </w:rPr>
            </w:pPr>
          </w:p>
        </w:tc>
        <w:tc>
          <w:tcPr>
            <w:tcW w:w="6804" w:type="dxa"/>
          </w:tcPr>
          <w:p w14:paraId="3665832E" w14:textId="77777777" w:rsidR="00B052FE" w:rsidRPr="00E20B89" w:rsidRDefault="00CB73A9">
            <w:pPr>
              <w:jc w:val="both"/>
              <w:rPr>
                <w:sz w:val="16"/>
                <w:szCs w:val="16"/>
              </w:rPr>
            </w:pPr>
            <w:r w:rsidRPr="00E20B89">
              <w:rPr>
                <w:sz w:val="16"/>
                <w:szCs w:val="16"/>
              </w:rPr>
              <w:t>4) ((#1) AND (#2)) AND (#3)</w:t>
            </w:r>
          </w:p>
          <w:p w14:paraId="6F6651A7" w14:textId="77777777" w:rsidR="00B052FE" w:rsidRPr="00E20B89" w:rsidRDefault="00CB73A9">
            <w:pPr>
              <w:jc w:val="both"/>
              <w:rPr>
                <w:sz w:val="16"/>
                <w:szCs w:val="16"/>
              </w:rPr>
            </w:pPr>
            <w:r w:rsidRPr="00E20B89">
              <w:rPr>
                <w:sz w:val="16"/>
                <w:szCs w:val="16"/>
              </w:rPr>
              <w:t>((((HCV) OR (hepatitis c)) OR (hepatitis c virus)) AND (((((((direct acting antiviral) OR (directly acting antiviral)) OR (DAA)) OR (sofosbuvir)) OR (</w:t>
            </w:r>
            <w:proofErr w:type="spellStart"/>
            <w:r w:rsidRPr="00E20B89">
              <w:rPr>
                <w:sz w:val="16"/>
                <w:szCs w:val="16"/>
              </w:rPr>
              <w:t>velpatasvir</w:t>
            </w:r>
            <w:proofErr w:type="spellEnd"/>
            <w:r w:rsidRPr="00E20B89">
              <w:rPr>
                <w:sz w:val="16"/>
                <w:szCs w:val="16"/>
              </w:rPr>
              <w:t>)) OR (daclatasvir)) OR (</w:t>
            </w:r>
            <w:proofErr w:type="spellStart"/>
            <w:r w:rsidRPr="00E20B89">
              <w:rPr>
                <w:sz w:val="16"/>
                <w:szCs w:val="16"/>
              </w:rPr>
              <w:t>ledispavir</w:t>
            </w:r>
            <w:proofErr w:type="spellEnd"/>
            <w:r w:rsidRPr="00E20B89">
              <w:rPr>
                <w:sz w:val="16"/>
                <w:szCs w:val="16"/>
              </w:rPr>
              <w:t>))) AND ((((((liver fibrosis) OR (fibrosis score)) OR (elastography)) OR (VCTE)) OR (fibrosis regression)) OR (fibrosis progression))</w:t>
            </w:r>
          </w:p>
        </w:tc>
        <w:tc>
          <w:tcPr>
            <w:tcW w:w="1134" w:type="dxa"/>
          </w:tcPr>
          <w:p w14:paraId="43575A9F" w14:textId="5BEFDDEE" w:rsidR="00B052FE" w:rsidRPr="00E20B89" w:rsidRDefault="003C0133">
            <w:pPr>
              <w:jc w:val="both"/>
              <w:rPr>
                <w:b/>
                <w:bCs/>
                <w:sz w:val="16"/>
                <w:szCs w:val="16"/>
              </w:rPr>
            </w:pPr>
            <w:r>
              <w:rPr>
                <w:b/>
                <w:bCs/>
                <w:sz w:val="16"/>
                <w:szCs w:val="16"/>
              </w:rPr>
              <w:t>3611</w:t>
            </w:r>
          </w:p>
        </w:tc>
      </w:tr>
      <w:tr w:rsidR="00B052FE" w:rsidRPr="00E20B89" w14:paraId="3ED91AC9" w14:textId="77777777">
        <w:tc>
          <w:tcPr>
            <w:tcW w:w="1555" w:type="dxa"/>
          </w:tcPr>
          <w:p w14:paraId="69BF848D" w14:textId="77777777" w:rsidR="00B052FE" w:rsidRPr="00F72FC0" w:rsidRDefault="00CB73A9">
            <w:pPr>
              <w:jc w:val="both"/>
              <w:rPr>
                <w:b/>
                <w:bCs/>
                <w:sz w:val="16"/>
                <w:szCs w:val="16"/>
              </w:rPr>
            </w:pPr>
            <w:r w:rsidRPr="00F72FC0">
              <w:rPr>
                <w:b/>
                <w:bCs/>
                <w:sz w:val="16"/>
                <w:szCs w:val="16"/>
              </w:rPr>
              <w:t>Scopus</w:t>
            </w:r>
          </w:p>
          <w:p w14:paraId="734CF667" w14:textId="1C21CBF4" w:rsidR="00B052FE" w:rsidRPr="00F72FC0" w:rsidRDefault="00CB73A9">
            <w:pPr>
              <w:jc w:val="both"/>
              <w:rPr>
                <w:b/>
                <w:bCs/>
                <w:sz w:val="16"/>
                <w:szCs w:val="16"/>
              </w:rPr>
            </w:pPr>
            <w:r w:rsidRPr="00F72FC0">
              <w:rPr>
                <w:b/>
                <w:bCs/>
                <w:sz w:val="16"/>
                <w:szCs w:val="16"/>
              </w:rPr>
              <w:t>(n=2</w:t>
            </w:r>
            <w:r w:rsidR="003C0133" w:rsidRPr="00F72FC0">
              <w:rPr>
                <w:b/>
                <w:bCs/>
                <w:sz w:val="16"/>
                <w:szCs w:val="16"/>
              </w:rPr>
              <w:t>435</w:t>
            </w:r>
            <w:r w:rsidRPr="00F72FC0">
              <w:rPr>
                <w:b/>
                <w:bCs/>
                <w:sz w:val="16"/>
                <w:szCs w:val="16"/>
              </w:rPr>
              <w:t>)</w:t>
            </w:r>
          </w:p>
        </w:tc>
        <w:tc>
          <w:tcPr>
            <w:tcW w:w="6804" w:type="dxa"/>
          </w:tcPr>
          <w:p w14:paraId="6A95BDCF" w14:textId="77777777" w:rsidR="00B052FE" w:rsidRPr="00E20B89" w:rsidRDefault="00CB73A9">
            <w:pPr>
              <w:jc w:val="both"/>
              <w:rPr>
                <w:sz w:val="16"/>
                <w:szCs w:val="16"/>
              </w:rPr>
            </w:pPr>
            <w:r w:rsidRPr="00E20B89">
              <w:rPr>
                <w:sz w:val="16"/>
                <w:szCs w:val="16"/>
              </w:rPr>
              <w:t xml:space="preserve">( TITLE-ABS-KEY ( </w:t>
            </w:r>
            <w:proofErr w:type="spellStart"/>
            <w:r w:rsidRPr="00E20B89">
              <w:rPr>
                <w:sz w:val="16"/>
                <w:szCs w:val="16"/>
              </w:rPr>
              <w:t>hcv</w:t>
            </w:r>
            <w:proofErr w:type="spellEnd"/>
            <w:r w:rsidRPr="00E20B89">
              <w:rPr>
                <w:sz w:val="16"/>
                <w:szCs w:val="16"/>
              </w:rPr>
              <w:t xml:space="preserve"> OR "hepatitis c" OR "hepatitis C virus" ) AND TITLE-ABS-KEY ( "direct acting antiviral" OR "directly acting antiviral" OR "DAA" OR "sofosbuvir" OR "</w:t>
            </w:r>
            <w:proofErr w:type="spellStart"/>
            <w:r w:rsidRPr="00E20B89">
              <w:rPr>
                <w:sz w:val="16"/>
                <w:szCs w:val="16"/>
              </w:rPr>
              <w:t>velpatasvir</w:t>
            </w:r>
            <w:proofErr w:type="spellEnd"/>
            <w:r w:rsidRPr="00E20B89">
              <w:rPr>
                <w:sz w:val="16"/>
                <w:szCs w:val="16"/>
              </w:rPr>
              <w:t>" OR "daclatasvir" OR "</w:t>
            </w:r>
            <w:proofErr w:type="spellStart"/>
            <w:r w:rsidRPr="00E20B89">
              <w:rPr>
                <w:sz w:val="16"/>
                <w:szCs w:val="16"/>
              </w:rPr>
              <w:t>ledispavir</w:t>
            </w:r>
            <w:proofErr w:type="spellEnd"/>
            <w:r w:rsidRPr="00E20B89">
              <w:rPr>
                <w:sz w:val="16"/>
                <w:szCs w:val="16"/>
              </w:rPr>
              <w:t>" ) AND TITLE-ABS-KEY ( "liver fibrosis" OR "fibrosis score" OR "elastography" OR "VCTE" OR "fibrosis regression" OR "fibrosis progression" ) )</w:t>
            </w:r>
          </w:p>
        </w:tc>
        <w:tc>
          <w:tcPr>
            <w:tcW w:w="1134" w:type="dxa"/>
          </w:tcPr>
          <w:p w14:paraId="0D9F99BA" w14:textId="579A16F9" w:rsidR="00B052FE" w:rsidRPr="00E20B89" w:rsidRDefault="00CB73A9">
            <w:pPr>
              <w:jc w:val="both"/>
              <w:rPr>
                <w:b/>
                <w:bCs/>
                <w:sz w:val="16"/>
                <w:szCs w:val="16"/>
              </w:rPr>
            </w:pPr>
            <w:r w:rsidRPr="00E20B89">
              <w:rPr>
                <w:b/>
                <w:bCs/>
                <w:sz w:val="16"/>
                <w:szCs w:val="16"/>
              </w:rPr>
              <w:t>2</w:t>
            </w:r>
            <w:r w:rsidR="003C0133">
              <w:rPr>
                <w:b/>
                <w:bCs/>
                <w:sz w:val="16"/>
                <w:szCs w:val="16"/>
              </w:rPr>
              <w:t>435</w:t>
            </w:r>
          </w:p>
        </w:tc>
      </w:tr>
      <w:tr w:rsidR="00B052FE" w:rsidRPr="00E20B89" w14:paraId="3B4295AD" w14:textId="77777777">
        <w:trPr>
          <w:trHeight w:val="82"/>
        </w:trPr>
        <w:tc>
          <w:tcPr>
            <w:tcW w:w="1555" w:type="dxa"/>
            <w:vMerge w:val="restart"/>
          </w:tcPr>
          <w:p w14:paraId="29E55CEC" w14:textId="77777777" w:rsidR="00B052FE" w:rsidRPr="00F72FC0" w:rsidRDefault="00CB73A9">
            <w:pPr>
              <w:jc w:val="both"/>
              <w:rPr>
                <w:b/>
                <w:bCs/>
                <w:sz w:val="16"/>
                <w:szCs w:val="16"/>
              </w:rPr>
            </w:pPr>
            <w:r w:rsidRPr="00F72FC0">
              <w:rPr>
                <w:b/>
                <w:bCs/>
                <w:sz w:val="16"/>
                <w:szCs w:val="16"/>
              </w:rPr>
              <w:t>Google Scholar</w:t>
            </w:r>
          </w:p>
          <w:p w14:paraId="5F2AA3A6" w14:textId="4D70254C" w:rsidR="00B052FE" w:rsidRPr="00F72FC0" w:rsidRDefault="00CB73A9">
            <w:pPr>
              <w:jc w:val="both"/>
              <w:rPr>
                <w:b/>
                <w:bCs/>
                <w:sz w:val="16"/>
                <w:szCs w:val="16"/>
              </w:rPr>
            </w:pPr>
            <w:r w:rsidRPr="00F72FC0">
              <w:rPr>
                <w:b/>
                <w:bCs/>
                <w:sz w:val="16"/>
                <w:szCs w:val="16"/>
              </w:rPr>
              <w:t>(n=</w:t>
            </w:r>
            <w:r w:rsidR="00C33C26" w:rsidRPr="00F72FC0">
              <w:rPr>
                <w:b/>
                <w:bCs/>
                <w:sz w:val="16"/>
                <w:szCs w:val="16"/>
              </w:rPr>
              <w:t>289</w:t>
            </w:r>
            <w:r w:rsidRPr="00F72FC0">
              <w:rPr>
                <w:b/>
                <w:bCs/>
                <w:sz w:val="16"/>
                <w:szCs w:val="16"/>
              </w:rPr>
              <w:t>)</w:t>
            </w:r>
          </w:p>
        </w:tc>
        <w:tc>
          <w:tcPr>
            <w:tcW w:w="6804" w:type="dxa"/>
          </w:tcPr>
          <w:p w14:paraId="01D4EFF3" w14:textId="77777777" w:rsidR="00B052FE" w:rsidRPr="00E20B89" w:rsidRDefault="00CB73A9">
            <w:pPr>
              <w:jc w:val="both"/>
              <w:rPr>
                <w:sz w:val="16"/>
                <w:szCs w:val="16"/>
              </w:rPr>
            </w:pPr>
            <w:proofErr w:type="spellStart"/>
            <w:r w:rsidRPr="00E20B89">
              <w:rPr>
                <w:sz w:val="16"/>
                <w:szCs w:val="16"/>
              </w:rPr>
              <w:t>allintitle</w:t>
            </w:r>
            <w:proofErr w:type="spellEnd"/>
            <w:r w:rsidRPr="00E20B89">
              <w:rPr>
                <w:sz w:val="16"/>
                <w:szCs w:val="16"/>
              </w:rPr>
              <w:t xml:space="preserve">: fibrosis direct acting "hepatitis C" OR </w:t>
            </w:r>
            <w:proofErr w:type="spellStart"/>
            <w:r w:rsidRPr="00E20B89">
              <w:rPr>
                <w:sz w:val="16"/>
                <w:szCs w:val="16"/>
              </w:rPr>
              <w:t>hcv</w:t>
            </w:r>
            <w:proofErr w:type="spellEnd"/>
            <w:r w:rsidRPr="00E20B89">
              <w:rPr>
                <w:sz w:val="16"/>
                <w:szCs w:val="16"/>
              </w:rPr>
              <w:t xml:space="preserve"> OR progression OR regression</w:t>
            </w:r>
          </w:p>
        </w:tc>
        <w:tc>
          <w:tcPr>
            <w:tcW w:w="1134" w:type="dxa"/>
          </w:tcPr>
          <w:p w14:paraId="6105EC2E" w14:textId="6253C274" w:rsidR="00B052FE" w:rsidRPr="00E20B89" w:rsidRDefault="00CB73A9">
            <w:pPr>
              <w:jc w:val="both"/>
              <w:rPr>
                <w:b/>
                <w:bCs/>
                <w:sz w:val="16"/>
                <w:szCs w:val="16"/>
              </w:rPr>
            </w:pPr>
            <w:r w:rsidRPr="00E20B89">
              <w:rPr>
                <w:b/>
                <w:bCs/>
                <w:sz w:val="16"/>
                <w:szCs w:val="16"/>
              </w:rPr>
              <w:t>1</w:t>
            </w:r>
            <w:r w:rsidR="003C0133">
              <w:rPr>
                <w:b/>
                <w:bCs/>
                <w:sz w:val="16"/>
                <w:szCs w:val="16"/>
              </w:rPr>
              <w:t>90</w:t>
            </w:r>
          </w:p>
        </w:tc>
      </w:tr>
      <w:tr w:rsidR="00B052FE" w:rsidRPr="00E20B89" w14:paraId="64FDD0A3" w14:textId="77777777">
        <w:trPr>
          <w:trHeight w:val="78"/>
        </w:trPr>
        <w:tc>
          <w:tcPr>
            <w:tcW w:w="1555" w:type="dxa"/>
            <w:vMerge/>
          </w:tcPr>
          <w:p w14:paraId="0474ED16" w14:textId="77777777" w:rsidR="00B052FE" w:rsidRPr="00F72FC0" w:rsidRDefault="00B052FE">
            <w:pPr>
              <w:jc w:val="both"/>
              <w:rPr>
                <w:b/>
                <w:bCs/>
                <w:sz w:val="16"/>
                <w:szCs w:val="16"/>
              </w:rPr>
            </w:pPr>
          </w:p>
        </w:tc>
        <w:tc>
          <w:tcPr>
            <w:tcW w:w="6804" w:type="dxa"/>
          </w:tcPr>
          <w:p w14:paraId="14B8134D" w14:textId="77777777" w:rsidR="00B052FE" w:rsidRPr="00E20B89" w:rsidRDefault="00CB73A9">
            <w:pPr>
              <w:jc w:val="both"/>
              <w:rPr>
                <w:sz w:val="16"/>
                <w:szCs w:val="16"/>
              </w:rPr>
            </w:pPr>
            <w:proofErr w:type="spellStart"/>
            <w:r w:rsidRPr="00E20B89">
              <w:rPr>
                <w:sz w:val="16"/>
                <w:szCs w:val="16"/>
              </w:rPr>
              <w:t>allintitle</w:t>
            </w:r>
            <w:proofErr w:type="spellEnd"/>
            <w:r w:rsidRPr="00E20B89">
              <w:rPr>
                <w:sz w:val="16"/>
                <w:szCs w:val="16"/>
              </w:rPr>
              <w:t xml:space="preserve">: fibrosis directly acting "hepatitis C" OR </w:t>
            </w:r>
            <w:proofErr w:type="spellStart"/>
            <w:r w:rsidRPr="00E20B89">
              <w:rPr>
                <w:sz w:val="16"/>
                <w:szCs w:val="16"/>
              </w:rPr>
              <w:t>hcv</w:t>
            </w:r>
            <w:proofErr w:type="spellEnd"/>
            <w:r w:rsidRPr="00E20B89">
              <w:rPr>
                <w:sz w:val="16"/>
                <w:szCs w:val="16"/>
              </w:rPr>
              <w:t xml:space="preserve"> OR progression OR regression</w:t>
            </w:r>
          </w:p>
        </w:tc>
        <w:tc>
          <w:tcPr>
            <w:tcW w:w="1134" w:type="dxa"/>
          </w:tcPr>
          <w:p w14:paraId="74C92E30" w14:textId="77777777" w:rsidR="00B052FE" w:rsidRPr="00E20B89" w:rsidRDefault="00CB73A9">
            <w:pPr>
              <w:jc w:val="both"/>
              <w:rPr>
                <w:b/>
                <w:bCs/>
                <w:sz w:val="16"/>
                <w:szCs w:val="16"/>
              </w:rPr>
            </w:pPr>
            <w:r w:rsidRPr="00E20B89">
              <w:rPr>
                <w:b/>
                <w:bCs/>
                <w:sz w:val="16"/>
                <w:szCs w:val="16"/>
              </w:rPr>
              <w:t>5</w:t>
            </w:r>
          </w:p>
        </w:tc>
      </w:tr>
      <w:tr w:rsidR="00B052FE" w:rsidRPr="00E20B89" w14:paraId="6F74E10C" w14:textId="77777777">
        <w:trPr>
          <w:trHeight w:val="78"/>
        </w:trPr>
        <w:tc>
          <w:tcPr>
            <w:tcW w:w="1555" w:type="dxa"/>
            <w:vMerge/>
          </w:tcPr>
          <w:p w14:paraId="7839D7F3" w14:textId="77777777" w:rsidR="00B052FE" w:rsidRPr="00F72FC0" w:rsidRDefault="00B052FE">
            <w:pPr>
              <w:jc w:val="both"/>
              <w:rPr>
                <w:b/>
                <w:bCs/>
                <w:sz w:val="16"/>
                <w:szCs w:val="16"/>
              </w:rPr>
            </w:pPr>
          </w:p>
        </w:tc>
        <w:tc>
          <w:tcPr>
            <w:tcW w:w="6804" w:type="dxa"/>
          </w:tcPr>
          <w:p w14:paraId="5E1E8434" w14:textId="77777777" w:rsidR="00B052FE" w:rsidRPr="00E20B89" w:rsidRDefault="00CB73A9">
            <w:pPr>
              <w:jc w:val="both"/>
              <w:rPr>
                <w:sz w:val="16"/>
                <w:szCs w:val="16"/>
              </w:rPr>
            </w:pPr>
            <w:proofErr w:type="spellStart"/>
            <w:r w:rsidRPr="00E20B89">
              <w:rPr>
                <w:sz w:val="16"/>
                <w:szCs w:val="16"/>
              </w:rPr>
              <w:t>allintitle</w:t>
            </w:r>
            <w:proofErr w:type="spellEnd"/>
            <w:r w:rsidRPr="00E20B89">
              <w:rPr>
                <w:sz w:val="16"/>
                <w:szCs w:val="16"/>
              </w:rPr>
              <w:t xml:space="preserve">: fibrosis DAA "hepatitis C" OR </w:t>
            </w:r>
            <w:proofErr w:type="spellStart"/>
            <w:r w:rsidRPr="00E20B89">
              <w:rPr>
                <w:sz w:val="16"/>
                <w:szCs w:val="16"/>
              </w:rPr>
              <w:t>hcv</w:t>
            </w:r>
            <w:proofErr w:type="spellEnd"/>
            <w:r w:rsidRPr="00E20B89">
              <w:rPr>
                <w:sz w:val="16"/>
                <w:szCs w:val="16"/>
              </w:rPr>
              <w:t xml:space="preserve"> OR progression OR regression</w:t>
            </w:r>
          </w:p>
        </w:tc>
        <w:tc>
          <w:tcPr>
            <w:tcW w:w="1134" w:type="dxa"/>
          </w:tcPr>
          <w:p w14:paraId="53C2B3B4" w14:textId="4257C0EB" w:rsidR="00B052FE" w:rsidRPr="00E20B89" w:rsidRDefault="003C0133">
            <w:pPr>
              <w:jc w:val="both"/>
              <w:rPr>
                <w:b/>
                <w:bCs/>
                <w:sz w:val="16"/>
                <w:szCs w:val="16"/>
              </w:rPr>
            </w:pPr>
            <w:r>
              <w:rPr>
                <w:b/>
                <w:bCs/>
                <w:sz w:val="16"/>
                <w:szCs w:val="16"/>
              </w:rPr>
              <w:t>22</w:t>
            </w:r>
          </w:p>
        </w:tc>
      </w:tr>
      <w:tr w:rsidR="00B052FE" w:rsidRPr="00E20B89" w14:paraId="58DE0E34" w14:textId="77777777">
        <w:trPr>
          <w:trHeight w:val="78"/>
        </w:trPr>
        <w:tc>
          <w:tcPr>
            <w:tcW w:w="1555" w:type="dxa"/>
            <w:vMerge/>
          </w:tcPr>
          <w:p w14:paraId="71EA6F56" w14:textId="77777777" w:rsidR="00B052FE" w:rsidRPr="00F72FC0" w:rsidRDefault="00B052FE">
            <w:pPr>
              <w:jc w:val="both"/>
              <w:rPr>
                <w:b/>
                <w:bCs/>
                <w:sz w:val="16"/>
                <w:szCs w:val="16"/>
              </w:rPr>
            </w:pPr>
          </w:p>
        </w:tc>
        <w:tc>
          <w:tcPr>
            <w:tcW w:w="6804" w:type="dxa"/>
          </w:tcPr>
          <w:p w14:paraId="49BE1853" w14:textId="77777777" w:rsidR="00B052FE" w:rsidRPr="00E20B89" w:rsidRDefault="00CB73A9">
            <w:pPr>
              <w:jc w:val="both"/>
              <w:rPr>
                <w:sz w:val="16"/>
                <w:szCs w:val="16"/>
              </w:rPr>
            </w:pPr>
            <w:proofErr w:type="spellStart"/>
            <w:r w:rsidRPr="00E20B89">
              <w:rPr>
                <w:sz w:val="16"/>
                <w:szCs w:val="16"/>
              </w:rPr>
              <w:t>allintitle</w:t>
            </w:r>
            <w:proofErr w:type="spellEnd"/>
            <w:r w:rsidRPr="00E20B89">
              <w:rPr>
                <w:sz w:val="16"/>
                <w:szCs w:val="16"/>
              </w:rPr>
              <w:t xml:space="preserve">: fibrosis sofosbuvir "hepatitis C" OR </w:t>
            </w:r>
            <w:proofErr w:type="spellStart"/>
            <w:r w:rsidRPr="00E20B89">
              <w:rPr>
                <w:sz w:val="16"/>
                <w:szCs w:val="16"/>
              </w:rPr>
              <w:t>hcv</w:t>
            </w:r>
            <w:proofErr w:type="spellEnd"/>
            <w:r w:rsidRPr="00E20B89">
              <w:rPr>
                <w:sz w:val="16"/>
                <w:szCs w:val="16"/>
              </w:rPr>
              <w:t xml:space="preserve"> OR progression OR regression</w:t>
            </w:r>
          </w:p>
        </w:tc>
        <w:tc>
          <w:tcPr>
            <w:tcW w:w="1134" w:type="dxa"/>
          </w:tcPr>
          <w:p w14:paraId="1CB7F927" w14:textId="77777777" w:rsidR="00B052FE" w:rsidRPr="00E20B89" w:rsidRDefault="00CB73A9">
            <w:pPr>
              <w:jc w:val="both"/>
              <w:rPr>
                <w:b/>
                <w:bCs/>
                <w:sz w:val="16"/>
                <w:szCs w:val="16"/>
              </w:rPr>
            </w:pPr>
            <w:r w:rsidRPr="00E20B89">
              <w:rPr>
                <w:b/>
                <w:bCs/>
                <w:sz w:val="16"/>
                <w:szCs w:val="16"/>
              </w:rPr>
              <w:t>50</w:t>
            </w:r>
          </w:p>
        </w:tc>
      </w:tr>
      <w:tr w:rsidR="00B052FE" w:rsidRPr="00E20B89" w14:paraId="0EAD7E32" w14:textId="77777777">
        <w:trPr>
          <w:trHeight w:val="78"/>
        </w:trPr>
        <w:tc>
          <w:tcPr>
            <w:tcW w:w="1555" w:type="dxa"/>
            <w:vMerge/>
          </w:tcPr>
          <w:p w14:paraId="59D3D434" w14:textId="77777777" w:rsidR="00B052FE" w:rsidRPr="00F72FC0" w:rsidRDefault="00B052FE">
            <w:pPr>
              <w:jc w:val="both"/>
              <w:rPr>
                <w:b/>
                <w:bCs/>
                <w:sz w:val="16"/>
                <w:szCs w:val="16"/>
              </w:rPr>
            </w:pPr>
          </w:p>
        </w:tc>
        <w:tc>
          <w:tcPr>
            <w:tcW w:w="6804" w:type="dxa"/>
          </w:tcPr>
          <w:p w14:paraId="2E80BDA3" w14:textId="77777777" w:rsidR="00B052FE" w:rsidRPr="00E20B89" w:rsidRDefault="00CB73A9">
            <w:pPr>
              <w:jc w:val="both"/>
              <w:rPr>
                <w:sz w:val="16"/>
                <w:szCs w:val="16"/>
              </w:rPr>
            </w:pPr>
            <w:proofErr w:type="spellStart"/>
            <w:r w:rsidRPr="00E20B89">
              <w:rPr>
                <w:sz w:val="16"/>
                <w:szCs w:val="16"/>
              </w:rPr>
              <w:t>allintitle</w:t>
            </w:r>
            <w:proofErr w:type="spellEnd"/>
            <w:r w:rsidRPr="00E20B89">
              <w:rPr>
                <w:sz w:val="16"/>
                <w:szCs w:val="16"/>
              </w:rPr>
              <w:t xml:space="preserve">: fibrosis </w:t>
            </w:r>
            <w:proofErr w:type="spellStart"/>
            <w:r w:rsidRPr="00E20B89">
              <w:rPr>
                <w:sz w:val="16"/>
                <w:szCs w:val="16"/>
              </w:rPr>
              <w:t>velpatasvir</w:t>
            </w:r>
            <w:proofErr w:type="spellEnd"/>
            <w:r w:rsidRPr="00E20B89">
              <w:rPr>
                <w:sz w:val="16"/>
                <w:szCs w:val="16"/>
              </w:rPr>
              <w:t xml:space="preserve"> "hepatitis C" OR </w:t>
            </w:r>
            <w:proofErr w:type="spellStart"/>
            <w:r w:rsidRPr="00E20B89">
              <w:rPr>
                <w:sz w:val="16"/>
                <w:szCs w:val="16"/>
              </w:rPr>
              <w:t>hcv</w:t>
            </w:r>
            <w:proofErr w:type="spellEnd"/>
            <w:r w:rsidRPr="00E20B89">
              <w:rPr>
                <w:sz w:val="16"/>
                <w:szCs w:val="16"/>
              </w:rPr>
              <w:t xml:space="preserve"> OR progression OR regression</w:t>
            </w:r>
          </w:p>
        </w:tc>
        <w:tc>
          <w:tcPr>
            <w:tcW w:w="1134" w:type="dxa"/>
          </w:tcPr>
          <w:p w14:paraId="1BF7DB87" w14:textId="77777777" w:rsidR="00B052FE" w:rsidRPr="00E20B89" w:rsidRDefault="00CB73A9">
            <w:pPr>
              <w:jc w:val="both"/>
              <w:rPr>
                <w:b/>
                <w:bCs/>
                <w:sz w:val="16"/>
                <w:szCs w:val="16"/>
              </w:rPr>
            </w:pPr>
            <w:r w:rsidRPr="00E20B89">
              <w:rPr>
                <w:b/>
                <w:bCs/>
                <w:sz w:val="16"/>
                <w:szCs w:val="16"/>
              </w:rPr>
              <w:t>6</w:t>
            </w:r>
          </w:p>
        </w:tc>
      </w:tr>
      <w:tr w:rsidR="00B052FE" w:rsidRPr="00E20B89" w14:paraId="103FDD9B" w14:textId="77777777">
        <w:trPr>
          <w:trHeight w:val="78"/>
        </w:trPr>
        <w:tc>
          <w:tcPr>
            <w:tcW w:w="1555" w:type="dxa"/>
            <w:vMerge/>
          </w:tcPr>
          <w:p w14:paraId="30CF07D3" w14:textId="77777777" w:rsidR="00B052FE" w:rsidRPr="00F72FC0" w:rsidRDefault="00B052FE">
            <w:pPr>
              <w:jc w:val="both"/>
              <w:rPr>
                <w:b/>
                <w:bCs/>
                <w:sz w:val="16"/>
                <w:szCs w:val="16"/>
              </w:rPr>
            </w:pPr>
          </w:p>
        </w:tc>
        <w:tc>
          <w:tcPr>
            <w:tcW w:w="6804" w:type="dxa"/>
          </w:tcPr>
          <w:p w14:paraId="116C0452" w14:textId="77777777" w:rsidR="00B052FE" w:rsidRPr="00E20B89" w:rsidRDefault="00CB73A9">
            <w:pPr>
              <w:jc w:val="both"/>
              <w:rPr>
                <w:sz w:val="16"/>
                <w:szCs w:val="16"/>
              </w:rPr>
            </w:pPr>
            <w:proofErr w:type="spellStart"/>
            <w:r w:rsidRPr="00E20B89">
              <w:rPr>
                <w:sz w:val="16"/>
                <w:szCs w:val="16"/>
              </w:rPr>
              <w:t>allintitle</w:t>
            </w:r>
            <w:proofErr w:type="spellEnd"/>
            <w:r w:rsidRPr="00E20B89">
              <w:rPr>
                <w:sz w:val="16"/>
                <w:szCs w:val="16"/>
              </w:rPr>
              <w:t xml:space="preserve">: fibrosis daclatasvir "hepatitis C" OR </w:t>
            </w:r>
            <w:proofErr w:type="spellStart"/>
            <w:r w:rsidRPr="00E20B89">
              <w:rPr>
                <w:sz w:val="16"/>
                <w:szCs w:val="16"/>
              </w:rPr>
              <w:t>hcv</w:t>
            </w:r>
            <w:proofErr w:type="spellEnd"/>
            <w:r w:rsidRPr="00E20B89">
              <w:rPr>
                <w:sz w:val="16"/>
                <w:szCs w:val="16"/>
              </w:rPr>
              <w:t xml:space="preserve"> OR progression OR regression</w:t>
            </w:r>
          </w:p>
        </w:tc>
        <w:tc>
          <w:tcPr>
            <w:tcW w:w="1134" w:type="dxa"/>
          </w:tcPr>
          <w:p w14:paraId="77EE6905" w14:textId="77777777" w:rsidR="00B052FE" w:rsidRPr="00E20B89" w:rsidRDefault="00CB73A9">
            <w:pPr>
              <w:jc w:val="both"/>
              <w:rPr>
                <w:b/>
                <w:bCs/>
                <w:sz w:val="16"/>
                <w:szCs w:val="16"/>
              </w:rPr>
            </w:pPr>
            <w:r w:rsidRPr="00E20B89">
              <w:rPr>
                <w:b/>
                <w:bCs/>
                <w:sz w:val="16"/>
                <w:szCs w:val="16"/>
              </w:rPr>
              <w:t>16</w:t>
            </w:r>
          </w:p>
        </w:tc>
      </w:tr>
      <w:tr w:rsidR="00B052FE" w:rsidRPr="00E20B89" w14:paraId="2495C0FE" w14:textId="77777777">
        <w:trPr>
          <w:trHeight w:val="78"/>
        </w:trPr>
        <w:tc>
          <w:tcPr>
            <w:tcW w:w="1555" w:type="dxa"/>
            <w:vMerge/>
          </w:tcPr>
          <w:p w14:paraId="7D252F4A" w14:textId="77777777" w:rsidR="00B052FE" w:rsidRPr="00F72FC0" w:rsidRDefault="00B052FE">
            <w:pPr>
              <w:jc w:val="both"/>
              <w:rPr>
                <w:b/>
                <w:bCs/>
                <w:sz w:val="16"/>
                <w:szCs w:val="16"/>
              </w:rPr>
            </w:pPr>
          </w:p>
        </w:tc>
        <w:tc>
          <w:tcPr>
            <w:tcW w:w="6804" w:type="dxa"/>
          </w:tcPr>
          <w:p w14:paraId="16941BA0" w14:textId="77777777" w:rsidR="00B052FE" w:rsidRPr="00E20B89" w:rsidRDefault="00CB73A9">
            <w:pPr>
              <w:jc w:val="both"/>
              <w:rPr>
                <w:sz w:val="16"/>
                <w:szCs w:val="16"/>
              </w:rPr>
            </w:pPr>
            <w:proofErr w:type="spellStart"/>
            <w:r w:rsidRPr="00E20B89">
              <w:rPr>
                <w:sz w:val="16"/>
                <w:szCs w:val="16"/>
              </w:rPr>
              <w:t>allintitle</w:t>
            </w:r>
            <w:proofErr w:type="spellEnd"/>
            <w:r w:rsidRPr="00E20B89">
              <w:rPr>
                <w:sz w:val="16"/>
                <w:szCs w:val="16"/>
              </w:rPr>
              <w:t xml:space="preserve">: fibrosis </w:t>
            </w:r>
            <w:proofErr w:type="spellStart"/>
            <w:r w:rsidRPr="00E20B89">
              <w:rPr>
                <w:sz w:val="16"/>
                <w:szCs w:val="16"/>
              </w:rPr>
              <w:t>ledispavir</w:t>
            </w:r>
            <w:proofErr w:type="spellEnd"/>
            <w:r w:rsidRPr="00E20B89">
              <w:rPr>
                <w:sz w:val="16"/>
                <w:szCs w:val="16"/>
              </w:rPr>
              <w:t xml:space="preserve"> "hepatitis C" OR </w:t>
            </w:r>
            <w:proofErr w:type="spellStart"/>
            <w:r w:rsidRPr="00E20B89">
              <w:rPr>
                <w:sz w:val="16"/>
                <w:szCs w:val="16"/>
              </w:rPr>
              <w:t>hcv</w:t>
            </w:r>
            <w:proofErr w:type="spellEnd"/>
            <w:r w:rsidRPr="00E20B89">
              <w:rPr>
                <w:sz w:val="16"/>
                <w:szCs w:val="16"/>
              </w:rPr>
              <w:t xml:space="preserve"> OR progression OR regression</w:t>
            </w:r>
          </w:p>
        </w:tc>
        <w:tc>
          <w:tcPr>
            <w:tcW w:w="1134" w:type="dxa"/>
          </w:tcPr>
          <w:p w14:paraId="4AF498C6" w14:textId="77777777" w:rsidR="00B052FE" w:rsidRPr="00E20B89" w:rsidRDefault="00CB73A9">
            <w:pPr>
              <w:jc w:val="both"/>
              <w:rPr>
                <w:b/>
                <w:bCs/>
                <w:sz w:val="16"/>
                <w:szCs w:val="16"/>
              </w:rPr>
            </w:pPr>
            <w:r w:rsidRPr="00E20B89">
              <w:rPr>
                <w:b/>
                <w:bCs/>
                <w:sz w:val="16"/>
                <w:szCs w:val="16"/>
              </w:rPr>
              <w:t>0</w:t>
            </w:r>
          </w:p>
        </w:tc>
      </w:tr>
      <w:tr w:rsidR="00B052FE" w:rsidRPr="00E20B89" w14:paraId="5D6C8D5C" w14:textId="77777777">
        <w:trPr>
          <w:trHeight w:val="95"/>
        </w:trPr>
        <w:tc>
          <w:tcPr>
            <w:tcW w:w="1555" w:type="dxa"/>
            <w:vMerge w:val="restart"/>
          </w:tcPr>
          <w:p w14:paraId="20199AAE" w14:textId="77777777" w:rsidR="00B052FE" w:rsidRPr="00F72FC0" w:rsidRDefault="00CB73A9">
            <w:pPr>
              <w:jc w:val="both"/>
              <w:rPr>
                <w:b/>
                <w:bCs/>
                <w:sz w:val="16"/>
                <w:szCs w:val="16"/>
              </w:rPr>
            </w:pPr>
            <w:r w:rsidRPr="00F72FC0">
              <w:rPr>
                <w:b/>
                <w:bCs/>
                <w:sz w:val="16"/>
                <w:szCs w:val="16"/>
              </w:rPr>
              <w:t>ScienceDirect</w:t>
            </w:r>
          </w:p>
          <w:p w14:paraId="114FC6DA" w14:textId="3B90DCF9" w:rsidR="00B052FE" w:rsidRPr="00F72FC0" w:rsidRDefault="00CB73A9">
            <w:pPr>
              <w:jc w:val="both"/>
              <w:rPr>
                <w:b/>
                <w:bCs/>
                <w:sz w:val="16"/>
                <w:szCs w:val="16"/>
              </w:rPr>
            </w:pPr>
            <w:r w:rsidRPr="00F72FC0">
              <w:rPr>
                <w:b/>
                <w:bCs/>
                <w:sz w:val="16"/>
                <w:szCs w:val="16"/>
              </w:rPr>
              <w:t>(n=</w:t>
            </w:r>
            <w:r w:rsidR="00C33C26" w:rsidRPr="00F72FC0">
              <w:rPr>
                <w:b/>
                <w:bCs/>
                <w:sz w:val="16"/>
                <w:szCs w:val="16"/>
              </w:rPr>
              <w:t>6514</w:t>
            </w:r>
            <w:r w:rsidRPr="00F72FC0">
              <w:rPr>
                <w:b/>
                <w:bCs/>
                <w:sz w:val="16"/>
                <w:szCs w:val="16"/>
              </w:rPr>
              <w:t>)</w:t>
            </w:r>
          </w:p>
        </w:tc>
        <w:tc>
          <w:tcPr>
            <w:tcW w:w="6804" w:type="dxa"/>
          </w:tcPr>
          <w:p w14:paraId="3C8C512B" w14:textId="77777777" w:rsidR="00B052FE" w:rsidRPr="00E20B89" w:rsidRDefault="00CB73A9">
            <w:pPr>
              <w:jc w:val="both"/>
              <w:rPr>
                <w:sz w:val="16"/>
                <w:szCs w:val="16"/>
              </w:rPr>
            </w:pPr>
            <w:r w:rsidRPr="00E20B89">
              <w:rPr>
                <w:sz w:val="16"/>
                <w:szCs w:val="16"/>
              </w:rPr>
              <w:t xml:space="preserve">( </w:t>
            </w:r>
            <w:proofErr w:type="spellStart"/>
            <w:r w:rsidRPr="00E20B89">
              <w:rPr>
                <w:sz w:val="16"/>
                <w:szCs w:val="16"/>
              </w:rPr>
              <w:t>hcv</w:t>
            </w:r>
            <w:proofErr w:type="spellEnd"/>
            <w:r w:rsidRPr="00E20B89">
              <w:rPr>
                <w:sz w:val="16"/>
                <w:szCs w:val="16"/>
              </w:rPr>
              <w:t xml:space="preserve"> OR "hepatitis c" OR "hepatitis C virus" ) AND ( "direct acting antiviral" OR "directly acting antiviral" OR "DAA" ) AND ( "liver fibrosis" OR "fibrosis score" OR "elastography")</w:t>
            </w:r>
          </w:p>
        </w:tc>
        <w:tc>
          <w:tcPr>
            <w:tcW w:w="1134" w:type="dxa"/>
          </w:tcPr>
          <w:p w14:paraId="6E12AC65" w14:textId="3F7A21FC" w:rsidR="00B052FE" w:rsidRPr="00E20B89" w:rsidRDefault="00C33C26">
            <w:pPr>
              <w:jc w:val="both"/>
              <w:rPr>
                <w:b/>
                <w:bCs/>
                <w:sz w:val="16"/>
                <w:szCs w:val="16"/>
              </w:rPr>
            </w:pPr>
            <w:r>
              <w:rPr>
                <w:b/>
                <w:bCs/>
                <w:sz w:val="16"/>
                <w:szCs w:val="16"/>
              </w:rPr>
              <w:t>3524</w:t>
            </w:r>
          </w:p>
        </w:tc>
      </w:tr>
      <w:tr w:rsidR="00B052FE" w:rsidRPr="00E20B89" w14:paraId="55579E83" w14:textId="77777777">
        <w:trPr>
          <w:trHeight w:val="91"/>
        </w:trPr>
        <w:tc>
          <w:tcPr>
            <w:tcW w:w="1555" w:type="dxa"/>
            <w:vMerge/>
          </w:tcPr>
          <w:p w14:paraId="2877E734" w14:textId="77777777" w:rsidR="00B052FE" w:rsidRPr="00E20B89" w:rsidRDefault="00B052FE">
            <w:pPr>
              <w:jc w:val="both"/>
              <w:rPr>
                <w:sz w:val="16"/>
                <w:szCs w:val="16"/>
              </w:rPr>
            </w:pPr>
          </w:p>
        </w:tc>
        <w:tc>
          <w:tcPr>
            <w:tcW w:w="6804" w:type="dxa"/>
          </w:tcPr>
          <w:p w14:paraId="1AED7522" w14:textId="77777777" w:rsidR="00B052FE" w:rsidRPr="00E20B89" w:rsidRDefault="00CB73A9">
            <w:pPr>
              <w:jc w:val="both"/>
              <w:rPr>
                <w:sz w:val="16"/>
                <w:szCs w:val="16"/>
              </w:rPr>
            </w:pPr>
            <w:r w:rsidRPr="00E20B89">
              <w:rPr>
                <w:sz w:val="16"/>
                <w:szCs w:val="16"/>
              </w:rPr>
              <w:t xml:space="preserve">(( </w:t>
            </w:r>
            <w:proofErr w:type="spellStart"/>
            <w:r w:rsidRPr="00E20B89">
              <w:rPr>
                <w:sz w:val="16"/>
                <w:szCs w:val="16"/>
              </w:rPr>
              <w:t>hcv</w:t>
            </w:r>
            <w:proofErr w:type="spellEnd"/>
            <w:r w:rsidRPr="00E20B89">
              <w:rPr>
                <w:sz w:val="16"/>
                <w:szCs w:val="16"/>
              </w:rPr>
              <w:t xml:space="preserve"> OR "hepatitis c" OR "hepatitis C virus") AND ("sofosbuvir" OR "</w:t>
            </w:r>
            <w:proofErr w:type="spellStart"/>
            <w:r w:rsidRPr="00E20B89">
              <w:rPr>
                <w:sz w:val="16"/>
                <w:szCs w:val="16"/>
              </w:rPr>
              <w:t>velpatasvir</w:t>
            </w:r>
            <w:proofErr w:type="spellEnd"/>
            <w:r w:rsidRPr="00E20B89">
              <w:rPr>
                <w:sz w:val="16"/>
                <w:szCs w:val="16"/>
              </w:rPr>
              <w:t>" OR "daclatasvir") AND ( "liver fibrosis" OR "fibrosis score" OR "elastography")</w:t>
            </w:r>
          </w:p>
        </w:tc>
        <w:tc>
          <w:tcPr>
            <w:tcW w:w="1134" w:type="dxa"/>
          </w:tcPr>
          <w:p w14:paraId="22B35885" w14:textId="4B769F1B" w:rsidR="00B052FE" w:rsidRPr="00E20B89" w:rsidRDefault="00C33C26">
            <w:pPr>
              <w:jc w:val="both"/>
              <w:rPr>
                <w:b/>
                <w:bCs/>
                <w:sz w:val="16"/>
                <w:szCs w:val="16"/>
              </w:rPr>
            </w:pPr>
            <w:r>
              <w:rPr>
                <w:b/>
                <w:bCs/>
                <w:sz w:val="16"/>
                <w:szCs w:val="16"/>
              </w:rPr>
              <w:t>1704</w:t>
            </w:r>
          </w:p>
        </w:tc>
      </w:tr>
      <w:tr w:rsidR="00B052FE" w:rsidRPr="00E20B89" w14:paraId="542E8AAD" w14:textId="77777777">
        <w:trPr>
          <w:trHeight w:val="91"/>
        </w:trPr>
        <w:tc>
          <w:tcPr>
            <w:tcW w:w="1555" w:type="dxa"/>
            <w:vMerge/>
          </w:tcPr>
          <w:p w14:paraId="1D68EA46" w14:textId="77777777" w:rsidR="00B052FE" w:rsidRPr="00E20B89" w:rsidRDefault="00B052FE">
            <w:pPr>
              <w:jc w:val="both"/>
              <w:rPr>
                <w:sz w:val="16"/>
                <w:szCs w:val="16"/>
              </w:rPr>
            </w:pPr>
          </w:p>
        </w:tc>
        <w:tc>
          <w:tcPr>
            <w:tcW w:w="6804" w:type="dxa"/>
          </w:tcPr>
          <w:p w14:paraId="5CF03B5F" w14:textId="77777777" w:rsidR="00B052FE" w:rsidRPr="00E20B89" w:rsidRDefault="00CB73A9">
            <w:pPr>
              <w:jc w:val="both"/>
              <w:rPr>
                <w:sz w:val="16"/>
                <w:szCs w:val="16"/>
              </w:rPr>
            </w:pPr>
            <w:r w:rsidRPr="00E20B89">
              <w:rPr>
                <w:sz w:val="16"/>
                <w:szCs w:val="16"/>
              </w:rPr>
              <w:t xml:space="preserve">(( </w:t>
            </w:r>
            <w:proofErr w:type="spellStart"/>
            <w:r w:rsidRPr="00E20B89">
              <w:rPr>
                <w:sz w:val="16"/>
                <w:szCs w:val="16"/>
              </w:rPr>
              <w:t>hcv</w:t>
            </w:r>
            <w:proofErr w:type="spellEnd"/>
            <w:r w:rsidRPr="00E20B89">
              <w:rPr>
                <w:sz w:val="16"/>
                <w:szCs w:val="16"/>
              </w:rPr>
              <w:t xml:space="preserve"> OR "hepatitis c" OR "hepatitis C virus") AND ("</w:t>
            </w:r>
            <w:proofErr w:type="spellStart"/>
            <w:r w:rsidRPr="00E20B89">
              <w:rPr>
                <w:sz w:val="16"/>
                <w:szCs w:val="16"/>
              </w:rPr>
              <w:t>ledispavir</w:t>
            </w:r>
            <w:proofErr w:type="spellEnd"/>
            <w:r w:rsidRPr="00E20B89">
              <w:rPr>
                <w:sz w:val="16"/>
                <w:szCs w:val="16"/>
              </w:rPr>
              <w:t>") AND ( "liver fibrosis" OR "fibrosis score" OR "elastography")</w:t>
            </w:r>
          </w:p>
        </w:tc>
        <w:tc>
          <w:tcPr>
            <w:tcW w:w="1134" w:type="dxa"/>
          </w:tcPr>
          <w:p w14:paraId="07229158" w14:textId="77777777" w:rsidR="00B052FE" w:rsidRPr="00E20B89" w:rsidRDefault="00CB73A9">
            <w:pPr>
              <w:jc w:val="both"/>
              <w:rPr>
                <w:b/>
                <w:bCs/>
                <w:sz w:val="16"/>
                <w:szCs w:val="16"/>
              </w:rPr>
            </w:pPr>
            <w:r w:rsidRPr="00E20B89">
              <w:rPr>
                <w:b/>
                <w:bCs/>
                <w:sz w:val="16"/>
                <w:szCs w:val="16"/>
              </w:rPr>
              <w:t>12</w:t>
            </w:r>
          </w:p>
        </w:tc>
      </w:tr>
      <w:tr w:rsidR="00B052FE" w:rsidRPr="00E20B89" w14:paraId="0F55525C" w14:textId="77777777">
        <w:trPr>
          <w:trHeight w:val="91"/>
        </w:trPr>
        <w:tc>
          <w:tcPr>
            <w:tcW w:w="1555" w:type="dxa"/>
            <w:vMerge/>
          </w:tcPr>
          <w:p w14:paraId="188AE10C" w14:textId="77777777" w:rsidR="00B052FE" w:rsidRPr="00E20B89" w:rsidRDefault="00B052FE">
            <w:pPr>
              <w:jc w:val="both"/>
              <w:rPr>
                <w:sz w:val="16"/>
                <w:szCs w:val="16"/>
              </w:rPr>
            </w:pPr>
          </w:p>
        </w:tc>
        <w:tc>
          <w:tcPr>
            <w:tcW w:w="6804" w:type="dxa"/>
          </w:tcPr>
          <w:p w14:paraId="22E846CD" w14:textId="77777777" w:rsidR="00B052FE" w:rsidRPr="00E20B89" w:rsidRDefault="00CB73A9">
            <w:pPr>
              <w:jc w:val="both"/>
              <w:rPr>
                <w:sz w:val="16"/>
                <w:szCs w:val="16"/>
              </w:rPr>
            </w:pPr>
            <w:r w:rsidRPr="00E20B89">
              <w:rPr>
                <w:sz w:val="16"/>
                <w:szCs w:val="16"/>
              </w:rPr>
              <w:t>(</w:t>
            </w:r>
            <w:proofErr w:type="spellStart"/>
            <w:r w:rsidRPr="00E20B89">
              <w:rPr>
                <w:sz w:val="16"/>
                <w:szCs w:val="16"/>
              </w:rPr>
              <w:t>hcv</w:t>
            </w:r>
            <w:proofErr w:type="spellEnd"/>
            <w:r w:rsidRPr="00E20B89">
              <w:rPr>
                <w:sz w:val="16"/>
                <w:szCs w:val="16"/>
              </w:rPr>
              <w:t xml:space="preserve"> OR "hepatitis c" OR "hepatitis C virus" ) AND ( "direct acting antiviral" OR "directly acting antiviral" OR "DAA" ) AND ("VCTE" OR "fibrosis regression" OR "fibrosis progression")</w:t>
            </w:r>
          </w:p>
        </w:tc>
        <w:tc>
          <w:tcPr>
            <w:tcW w:w="1134" w:type="dxa"/>
          </w:tcPr>
          <w:p w14:paraId="43F0FE37" w14:textId="20C2B17E" w:rsidR="00B052FE" w:rsidRPr="00E20B89" w:rsidRDefault="00C33C26">
            <w:pPr>
              <w:jc w:val="both"/>
              <w:rPr>
                <w:b/>
                <w:bCs/>
                <w:sz w:val="16"/>
                <w:szCs w:val="16"/>
              </w:rPr>
            </w:pPr>
            <w:r>
              <w:rPr>
                <w:b/>
                <w:bCs/>
                <w:sz w:val="16"/>
                <w:szCs w:val="16"/>
              </w:rPr>
              <w:t>899</w:t>
            </w:r>
          </w:p>
        </w:tc>
      </w:tr>
      <w:tr w:rsidR="00B052FE" w:rsidRPr="00E20B89" w14:paraId="5AE4ADAF" w14:textId="77777777">
        <w:trPr>
          <w:trHeight w:val="91"/>
        </w:trPr>
        <w:tc>
          <w:tcPr>
            <w:tcW w:w="1555" w:type="dxa"/>
            <w:vMerge/>
          </w:tcPr>
          <w:p w14:paraId="574546BF" w14:textId="77777777" w:rsidR="00B052FE" w:rsidRPr="00E20B89" w:rsidRDefault="00B052FE">
            <w:pPr>
              <w:jc w:val="both"/>
              <w:rPr>
                <w:sz w:val="16"/>
                <w:szCs w:val="16"/>
              </w:rPr>
            </w:pPr>
          </w:p>
        </w:tc>
        <w:tc>
          <w:tcPr>
            <w:tcW w:w="6804" w:type="dxa"/>
          </w:tcPr>
          <w:p w14:paraId="17B7F77D" w14:textId="77777777" w:rsidR="00B052FE" w:rsidRPr="00E20B89" w:rsidRDefault="00CB73A9">
            <w:pPr>
              <w:jc w:val="both"/>
              <w:rPr>
                <w:sz w:val="16"/>
                <w:szCs w:val="16"/>
              </w:rPr>
            </w:pPr>
            <w:r w:rsidRPr="00E20B89">
              <w:rPr>
                <w:sz w:val="16"/>
                <w:szCs w:val="16"/>
              </w:rPr>
              <w:t>(</w:t>
            </w:r>
            <w:proofErr w:type="spellStart"/>
            <w:r w:rsidRPr="00E20B89">
              <w:rPr>
                <w:sz w:val="16"/>
                <w:szCs w:val="16"/>
              </w:rPr>
              <w:t>hcv</w:t>
            </w:r>
            <w:proofErr w:type="spellEnd"/>
            <w:r w:rsidRPr="00E20B89">
              <w:rPr>
                <w:sz w:val="16"/>
                <w:szCs w:val="16"/>
              </w:rPr>
              <w:t xml:space="preserve"> OR "hepatitis c" OR "hepatitis C virus" ) AND ( "sofosbuvir" OR "</w:t>
            </w:r>
            <w:proofErr w:type="spellStart"/>
            <w:r w:rsidRPr="00E20B89">
              <w:rPr>
                <w:sz w:val="16"/>
                <w:szCs w:val="16"/>
              </w:rPr>
              <w:t>velpatasvir</w:t>
            </w:r>
            <w:proofErr w:type="spellEnd"/>
            <w:r w:rsidRPr="00E20B89">
              <w:rPr>
                <w:sz w:val="16"/>
                <w:szCs w:val="16"/>
              </w:rPr>
              <w:t>" OR "daclatasvir" ) AND ( "VCTE" OR "fibrosis regression" OR "fibrosis progression")</w:t>
            </w:r>
          </w:p>
        </w:tc>
        <w:tc>
          <w:tcPr>
            <w:tcW w:w="1134" w:type="dxa"/>
          </w:tcPr>
          <w:p w14:paraId="079E31AF" w14:textId="681FEAB7" w:rsidR="00B052FE" w:rsidRPr="00E20B89" w:rsidRDefault="00C33C26">
            <w:pPr>
              <w:jc w:val="both"/>
              <w:rPr>
                <w:b/>
                <w:bCs/>
                <w:sz w:val="16"/>
                <w:szCs w:val="16"/>
              </w:rPr>
            </w:pPr>
            <w:r>
              <w:rPr>
                <w:b/>
                <w:bCs/>
                <w:sz w:val="16"/>
                <w:szCs w:val="16"/>
              </w:rPr>
              <w:t>371</w:t>
            </w:r>
          </w:p>
        </w:tc>
      </w:tr>
      <w:tr w:rsidR="00B052FE" w:rsidRPr="00E20B89" w14:paraId="16609E6E" w14:textId="77777777">
        <w:trPr>
          <w:trHeight w:val="91"/>
        </w:trPr>
        <w:tc>
          <w:tcPr>
            <w:tcW w:w="1555" w:type="dxa"/>
            <w:vMerge/>
          </w:tcPr>
          <w:p w14:paraId="11E80BBD" w14:textId="77777777" w:rsidR="00B052FE" w:rsidRPr="00E20B89" w:rsidRDefault="00B052FE">
            <w:pPr>
              <w:jc w:val="both"/>
              <w:rPr>
                <w:sz w:val="16"/>
                <w:szCs w:val="16"/>
              </w:rPr>
            </w:pPr>
          </w:p>
        </w:tc>
        <w:tc>
          <w:tcPr>
            <w:tcW w:w="6804" w:type="dxa"/>
          </w:tcPr>
          <w:p w14:paraId="0E16FA20" w14:textId="77777777" w:rsidR="00B052FE" w:rsidRPr="00E20B89" w:rsidRDefault="00CB73A9">
            <w:pPr>
              <w:jc w:val="both"/>
              <w:rPr>
                <w:sz w:val="16"/>
                <w:szCs w:val="16"/>
              </w:rPr>
            </w:pPr>
            <w:r w:rsidRPr="00E20B89">
              <w:rPr>
                <w:sz w:val="16"/>
                <w:szCs w:val="16"/>
              </w:rPr>
              <w:t>(</w:t>
            </w:r>
            <w:proofErr w:type="spellStart"/>
            <w:r w:rsidRPr="00E20B89">
              <w:rPr>
                <w:sz w:val="16"/>
                <w:szCs w:val="16"/>
              </w:rPr>
              <w:t>hcv</w:t>
            </w:r>
            <w:proofErr w:type="spellEnd"/>
            <w:r w:rsidRPr="00E20B89">
              <w:rPr>
                <w:sz w:val="16"/>
                <w:szCs w:val="16"/>
              </w:rPr>
              <w:t xml:space="preserve"> OR "hepatitis c" OR "hepatitis C virus" ) AND ( "</w:t>
            </w:r>
            <w:proofErr w:type="spellStart"/>
            <w:r w:rsidRPr="00E20B89">
              <w:rPr>
                <w:sz w:val="16"/>
                <w:szCs w:val="16"/>
              </w:rPr>
              <w:t>ledispavir</w:t>
            </w:r>
            <w:proofErr w:type="spellEnd"/>
            <w:r w:rsidRPr="00E20B89">
              <w:rPr>
                <w:sz w:val="16"/>
                <w:szCs w:val="16"/>
              </w:rPr>
              <w:t>" ) AND ( "VCTE" OR "fibrosis regression" OR "fibrosis progression")</w:t>
            </w:r>
          </w:p>
        </w:tc>
        <w:tc>
          <w:tcPr>
            <w:tcW w:w="1134" w:type="dxa"/>
          </w:tcPr>
          <w:p w14:paraId="22865466" w14:textId="77777777" w:rsidR="00B052FE" w:rsidRPr="00E20B89" w:rsidRDefault="00CB73A9">
            <w:pPr>
              <w:jc w:val="both"/>
              <w:rPr>
                <w:b/>
                <w:bCs/>
                <w:sz w:val="16"/>
                <w:szCs w:val="16"/>
              </w:rPr>
            </w:pPr>
            <w:r w:rsidRPr="00E20B89">
              <w:rPr>
                <w:b/>
                <w:bCs/>
                <w:sz w:val="16"/>
                <w:szCs w:val="16"/>
              </w:rPr>
              <w:t>4</w:t>
            </w:r>
          </w:p>
        </w:tc>
      </w:tr>
    </w:tbl>
    <w:p w14:paraId="13AA9F7B" w14:textId="77777777" w:rsidR="00B052FE" w:rsidRPr="00E20B89" w:rsidRDefault="00B052FE">
      <w:pPr>
        <w:rPr>
          <w:sz w:val="20"/>
          <w:szCs w:val="20"/>
        </w:rPr>
      </w:pPr>
    </w:p>
    <w:p w14:paraId="13B4EA08" w14:textId="77777777" w:rsidR="00B052FE" w:rsidRPr="00E20B89" w:rsidRDefault="00B052FE">
      <w:pPr>
        <w:rPr>
          <w:b/>
          <w:bCs/>
          <w:sz w:val="20"/>
          <w:szCs w:val="20"/>
        </w:rPr>
        <w:sectPr w:rsidR="00B052FE" w:rsidRPr="00E20B89">
          <w:footerReference w:type="default" r:id="rId8"/>
          <w:pgSz w:w="11906" w:h="16838"/>
          <w:pgMar w:top="1440" w:right="1440" w:bottom="1440" w:left="1440" w:header="709" w:footer="709" w:gutter="0"/>
          <w:cols w:space="708"/>
          <w:docGrid w:linePitch="360"/>
        </w:sectPr>
      </w:pPr>
    </w:p>
    <w:p w14:paraId="2EE91A95" w14:textId="5BBB2EC4" w:rsidR="00B052FE" w:rsidRPr="00E20B89" w:rsidRDefault="00CB73A9">
      <w:pPr>
        <w:rPr>
          <w:b/>
          <w:bCs/>
          <w:sz w:val="20"/>
          <w:szCs w:val="20"/>
        </w:rPr>
      </w:pPr>
      <w:r w:rsidRPr="00E20B89">
        <w:rPr>
          <w:b/>
          <w:bCs/>
          <w:sz w:val="20"/>
          <w:szCs w:val="20"/>
        </w:rPr>
        <w:lastRenderedPageBreak/>
        <w:t>Appendix II: Characteristics of Included Studies with Newcastle-Ottawa Scale (NOS)  Grading for Quality of Study</w:t>
      </w:r>
    </w:p>
    <w:p w14:paraId="3FAD9328" w14:textId="77777777" w:rsidR="00B052FE" w:rsidRPr="00E20B89" w:rsidRDefault="00CB73A9">
      <w:pPr>
        <w:pStyle w:val="ListParagraph"/>
        <w:numPr>
          <w:ilvl w:val="0"/>
          <w:numId w:val="1"/>
        </w:numPr>
        <w:rPr>
          <w:b/>
          <w:bCs/>
          <w:sz w:val="20"/>
          <w:szCs w:val="20"/>
        </w:rPr>
      </w:pPr>
      <w:r w:rsidRPr="00E20B89">
        <w:rPr>
          <w:b/>
          <w:bCs/>
          <w:sz w:val="20"/>
          <w:szCs w:val="20"/>
        </w:rPr>
        <w:t>NOS grading of liver stiffness measurement by transient elastography at SVR 12 and 24 weeks</w:t>
      </w:r>
    </w:p>
    <w:p w14:paraId="00F334E2" w14:textId="77777777" w:rsidR="00B052FE" w:rsidRPr="00E20B89" w:rsidRDefault="00B052FE">
      <w:pPr>
        <w:pStyle w:val="ListParagraph"/>
        <w:rPr>
          <w:b/>
          <w:bCs/>
          <w:sz w:val="20"/>
          <w:szCs w:val="20"/>
        </w:rPr>
      </w:pPr>
    </w:p>
    <w:tbl>
      <w:tblPr>
        <w:tblW w:w="15085" w:type="dxa"/>
        <w:tblInd w:w="10" w:type="dxa"/>
        <w:tblLayout w:type="fixed"/>
        <w:tblLook w:val="04A0" w:firstRow="1" w:lastRow="0" w:firstColumn="1" w:lastColumn="0" w:noHBand="0" w:noVBand="1"/>
      </w:tblPr>
      <w:tblGrid>
        <w:gridCol w:w="1681"/>
        <w:gridCol w:w="1141"/>
        <w:gridCol w:w="992"/>
        <w:gridCol w:w="1134"/>
        <w:gridCol w:w="1134"/>
        <w:gridCol w:w="1134"/>
        <w:gridCol w:w="1134"/>
        <w:gridCol w:w="1134"/>
        <w:gridCol w:w="993"/>
        <w:gridCol w:w="1275"/>
        <w:gridCol w:w="993"/>
        <w:gridCol w:w="985"/>
        <w:gridCol w:w="1355"/>
      </w:tblGrid>
      <w:tr w:rsidR="00CD5CE4" w:rsidRPr="00131373" w14:paraId="4ECA34AB" w14:textId="77777777" w:rsidTr="00105E0D">
        <w:trPr>
          <w:trHeight w:val="300"/>
        </w:trPr>
        <w:tc>
          <w:tcPr>
            <w:tcW w:w="1681" w:type="dxa"/>
            <w:tcBorders>
              <w:top w:val="single" w:sz="8" w:space="0" w:color="auto"/>
              <w:left w:val="single" w:sz="8" w:space="0" w:color="auto"/>
              <w:bottom w:val="single" w:sz="8" w:space="0" w:color="000000"/>
              <w:right w:val="single" w:sz="8" w:space="0" w:color="000000"/>
            </w:tcBorders>
            <w:noWrap/>
            <w:vAlign w:val="bottom"/>
          </w:tcPr>
          <w:p w14:paraId="7EF988C5" w14:textId="77777777" w:rsidR="00CD5CE4" w:rsidRPr="00131373" w:rsidRDefault="00CD5CE4" w:rsidP="00105E0D">
            <w:pPr>
              <w:jc w:val="center"/>
              <w:rPr>
                <w:b/>
                <w:bCs/>
                <w:color w:val="000000"/>
                <w:sz w:val="15"/>
                <w:szCs w:val="15"/>
              </w:rPr>
            </w:pPr>
            <w:r w:rsidRPr="00131373">
              <w:rPr>
                <w:b/>
                <w:bCs/>
                <w:color w:val="000000"/>
                <w:sz w:val="15"/>
                <w:szCs w:val="15"/>
              </w:rPr>
              <w:t>Study</w:t>
            </w:r>
          </w:p>
        </w:tc>
        <w:tc>
          <w:tcPr>
            <w:tcW w:w="1141" w:type="dxa"/>
            <w:tcBorders>
              <w:top w:val="single" w:sz="8" w:space="0" w:color="auto"/>
              <w:left w:val="nil"/>
              <w:bottom w:val="single" w:sz="8" w:space="0" w:color="000000"/>
              <w:right w:val="single" w:sz="8" w:space="0" w:color="000000"/>
            </w:tcBorders>
            <w:noWrap/>
            <w:vAlign w:val="bottom"/>
          </w:tcPr>
          <w:p w14:paraId="4600DF92" w14:textId="77777777" w:rsidR="00CD5CE4" w:rsidRPr="00131373" w:rsidRDefault="00CD5CE4">
            <w:pPr>
              <w:jc w:val="center"/>
              <w:rPr>
                <w:b/>
                <w:bCs/>
                <w:color w:val="000000"/>
                <w:sz w:val="15"/>
                <w:szCs w:val="15"/>
              </w:rPr>
            </w:pPr>
            <w:r w:rsidRPr="00131373">
              <w:rPr>
                <w:b/>
                <w:bCs/>
                <w:color w:val="000000"/>
                <w:sz w:val="15"/>
                <w:szCs w:val="15"/>
              </w:rPr>
              <w:t>Design</w:t>
            </w:r>
          </w:p>
        </w:tc>
        <w:tc>
          <w:tcPr>
            <w:tcW w:w="4394" w:type="dxa"/>
            <w:gridSpan w:val="4"/>
            <w:tcBorders>
              <w:top w:val="single" w:sz="8" w:space="0" w:color="auto"/>
              <w:left w:val="nil"/>
              <w:bottom w:val="single" w:sz="8" w:space="0" w:color="000000"/>
              <w:right w:val="single" w:sz="8" w:space="0" w:color="000000"/>
            </w:tcBorders>
            <w:noWrap/>
            <w:vAlign w:val="bottom"/>
          </w:tcPr>
          <w:p w14:paraId="2A8DB8C9" w14:textId="77777777" w:rsidR="00CD5CE4" w:rsidRPr="00131373" w:rsidRDefault="00CD5CE4">
            <w:pPr>
              <w:jc w:val="center"/>
              <w:rPr>
                <w:b/>
                <w:bCs/>
                <w:color w:val="000000"/>
                <w:sz w:val="15"/>
                <w:szCs w:val="15"/>
              </w:rPr>
            </w:pPr>
            <w:r w:rsidRPr="00131373">
              <w:rPr>
                <w:b/>
                <w:bCs/>
                <w:color w:val="000000"/>
                <w:sz w:val="15"/>
                <w:szCs w:val="15"/>
              </w:rPr>
              <w:t>Selection</w:t>
            </w:r>
          </w:p>
        </w:tc>
        <w:tc>
          <w:tcPr>
            <w:tcW w:w="2268" w:type="dxa"/>
            <w:gridSpan w:val="2"/>
            <w:tcBorders>
              <w:top w:val="single" w:sz="8" w:space="0" w:color="auto"/>
              <w:left w:val="nil"/>
              <w:bottom w:val="single" w:sz="8" w:space="0" w:color="000000"/>
              <w:right w:val="single" w:sz="8" w:space="0" w:color="000000"/>
            </w:tcBorders>
            <w:noWrap/>
            <w:vAlign w:val="bottom"/>
          </w:tcPr>
          <w:p w14:paraId="19F6BB35" w14:textId="77777777" w:rsidR="00CD5CE4" w:rsidRPr="00131373" w:rsidRDefault="00CD5CE4">
            <w:pPr>
              <w:jc w:val="center"/>
              <w:rPr>
                <w:b/>
                <w:bCs/>
                <w:color w:val="000000"/>
                <w:sz w:val="15"/>
                <w:szCs w:val="15"/>
              </w:rPr>
            </w:pPr>
            <w:r w:rsidRPr="00131373">
              <w:rPr>
                <w:b/>
                <w:bCs/>
                <w:color w:val="000000"/>
                <w:sz w:val="15"/>
                <w:szCs w:val="15"/>
              </w:rPr>
              <w:t>Comparability</w:t>
            </w:r>
          </w:p>
        </w:tc>
        <w:tc>
          <w:tcPr>
            <w:tcW w:w="3261" w:type="dxa"/>
            <w:gridSpan w:val="3"/>
            <w:tcBorders>
              <w:top w:val="single" w:sz="8" w:space="0" w:color="auto"/>
              <w:left w:val="nil"/>
              <w:bottom w:val="single" w:sz="8" w:space="0" w:color="000000"/>
              <w:right w:val="single" w:sz="8" w:space="0" w:color="000000"/>
            </w:tcBorders>
            <w:noWrap/>
            <w:vAlign w:val="bottom"/>
          </w:tcPr>
          <w:p w14:paraId="29789EF8" w14:textId="77777777" w:rsidR="00CD5CE4" w:rsidRPr="00131373" w:rsidRDefault="00CD5CE4">
            <w:pPr>
              <w:jc w:val="center"/>
              <w:rPr>
                <w:b/>
                <w:bCs/>
                <w:color w:val="000000"/>
                <w:sz w:val="15"/>
                <w:szCs w:val="15"/>
              </w:rPr>
            </w:pPr>
            <w:r w:rsidRPr="00131373">
              <w:rPr>
                <w:b/>
                <w:bCs/>
                <w:color w:val="000000"/>
                <w:sz w:val="15"/>
                <w:szCs w:val="15"/>
              </w:rPr>
              <w:t>Outcome</w:t>
            </w:r>
          </w:p>
        </w:tc>
        <w:tc>
          <w:tcPr>
            <w:tcW w:w="985" w:type="dxa"/>
            <w:tcBorders>
              <w:top w:val="single" w:sz="8" w:space="0" w:color="auto"/>
              <w:left w:val="nil"/>
              <w:bottom w:val="single" w:sz="8" w:space="0" w:color="000000"/>
              <w:right w:val="single" w:sz="8" w:space="0" w:color="000000"/>
            </w:tcBorders>
            <w:noWrap/>
            <w:vAlign w:val="bottom"/>
          </w:tcPr>
          <w:p w14:paraId="13776B36" w14:textId="77777777" w:rsidR="00CD5CE4" w:rsidRPr="00131373" w:rsidRDefault="00CD5CE4">
            <w:pPr>
              <w:jc w:val="center"/>
              <w:rPr>
                <w:b/>
                <w:bCs/>
                <w:color w:val="000000"/>
                <w:sz w:val="15"/>
                <w:szCs w:val="15"/>
              </w:rPr>
            </w:pPr>
            <w:r w:rsidRPr="00131373">
              <w:rPr>
                <w:b/>
                <w:bCs/>
                <w:color w:val="000000"/>
                <w:sz w:val="15"/>
                <w:szCs w:val="15"/>
              </w:rPr>
              <w:t> </w:t>
            </w:r>
          </w:p>
        </w:tc>
        <w:tc>
          <w:tcPr>
            <w:tcW w:w="1355" w:type="dxa"/>
            <w:tcBorders>
              <w:top w:val="single" w:sz="8" w:space="0" w:color="auto"/>
              <w:left w:val="nil"/>
              <w:bottom w:val="single" w:sz="8" w:space="0" w:color="000000"/>
              <w:right w:val="single" w:sz="8" w:space="0" w:color="auto"/>
            </w:tcBorders>
            <w:noWrap/>
            <w:vAlign w:val="bottom"/>
          </w:tcPr>
          <w:p w14:paraId="6758A54C" w14:textId="77777777" w:rsidR="00CD5CE4" w:rsidRPr="00131373" w:rsidRDefault="00CD5CE4">
            <w:pPr>
              <w:jc w:val="center"/>
              <w:rPr>
                <w:b/>
                <w:bCs/>
                <w:color w:val="000000"/>
                <w:sz w:val="15"/>
                <w:szCs w:val="15"/>
              </w:rPr>
            </w:pPr>
            <w:r w:rsidRPr="00131373">
              <w:rPr>
                <w:b/>
                <w:bCs/>
                <w:color w:val="000000"/>
                <w:sz w:val="15"/>
                <w:szCs w:val="15"/>
              </w:rPr>
              <w:t> </w:t>
            </w:r>
          </w:p>
        </w:tc>
      </w:tr>
      <w:tr w:rsidR="00CD5CE4" w:rsidRPr="00131373" w14:paraId="613F83A9" w14:textId="77777777" w:rsidTr="00105E0D">
        <w:trPr>
          <w:trHeight w:val="300"/>
        </w:trPr>
        <w:tc>
          <w:tcPr>
            <w:tcW w:w="1681" w:type="dxa"/>
            <w:tcBorders>
              <w:top w:val="nil"/>
              <w:left w:val="single" w:sz="8" w:space="0" w:color="auto"/>
              <w:bottom w:val="single" w:sz="4" w:space="0" w:color="000000"/>
              <w:right w:val="single" w:sz="8" w:space="0" w:color="000000"/>
            </w:tcBorders>
            <w:vAlign w:val="bottom"/>
          </w:tcPr>
          <w:p w14:paraId="1E7F4118" w14:textId="77777777" w:rsidR="00CD5CE4" w:rsidRPr="00131373" w:rsidRDefault="00CD5CE4">
            <w:pPr>
              <w:rPr>
                <w:b/>
                <w:bCs/>
                <w:color w:val="000000"/>
                <w:sz w:val="15"/>
                <w:szCs w:val="15"/>
              </w:rPr>
            </w:pPr>
            <w:r w:rsidRPr="00131373">
              <w:rPr>
                <w:b/>
                <w:bCs/>
                <w:color w:val="000000"/>
                <w:sz w:val="15"/>
                <w:szCs w:val="15"/>
              </w:rPr>
              <w:t> </w:t>
            </w:r>
          </w:p>
        </w:tc>
        <w:tc>
          <w:tcPr>
            <w:tcW w:w="1141" w:type="dxa"/>
            <w:tcBorders>
              <w:top w:val="nil"/>
              <w:left w:val="nil"/>
              <w:bottom w:val="single" w:sz="4" w:space="0" w:color="000000"/>
              <w:right w:val="single" w:sz="8" w:space="0" w:color="000000"/>
            </w:tcBorders>
            <w:vAlign w:val="bottom"/>
          </w:tcPr>
          <w:p w14:paraId="12F0FCAE" w14:textId="77777777" w:rsidR="00CD5CE4" w:rsidRPr="00131373" w:rsidRDefault="00CD5CE4">
            <w:pPr>
              <w:jc w:val="center"/>
              <w:rPr>
                <w:b/>
                <w:bCs/>
                <w:color w:val="000000"/>
                <w:sz w:val="15"/>
                <w:szCs w:val="15"/>
              </w:rPr>
            </w:pPr>
            <w:r w:rsidRPr="00131373">
              <w:rPr>
                <w:b/>
                <w:bCs/>
                <w:color w:val="000000"/>
                <w:sz w:val="15"/>
                <w:szCs w:val="15"/>
              </w:rPr>
              <w:t> </w:t>
            </w:r>
          </w:p>
        </w:tc>
        <w:tc>
          <w:tcPr>
            <w:tcW w:w="992" w:type="dxa"/>
            <w:tcBorders>
              <w:top w:val="nil"/>
              <w:left w:val="nil"/>
              <w:bottom w:val="single" w:sz="4" w:space="0" w:color="000000"/>
              <w:right w:val="single" w:sz="4" w:space="0" w:color="000000"/>
            </w:tcBorders>
            <w:vAlign w:val="bottom"/>
          </w:tcPr>
          <w:p w14:paraId="421A5336" w14:textId="77777777" w:rsidR="00CD5CE4" w:rsidRPr="00131373" w:rsidRDefault="00CD5CE4">
            <w:pPr>
              <w:jc w:val="center"/>
              <w:rPr>
                <w:b/>
                <w:bCs/>
                <w:color w:val="000000"/>
                <w:sz w:val="15"/>
                <w:szCs w:val="15"/>
              </w:rPr>
            </w:pPr>
            <w:r w:rsidRPr="00131373">
              <w:rPr>
                <w:b/>
                <w:bCs/>
                <w:color w:val="000000"/>
                <w:sz w:val="15"/>
                <w:szCs w:val="15"/>
              </w:rPr>
              <w:t>1</w:t>
            </w:r>
          </w:p>
        </w:tc>
        <w:tc>
          <w:tcPr>
            <w:tcW w:w="1134" w:type="dxa"/>
            <w:tcBorders>
              <w:top w:val="nil"/>
              <w:left w:val="nil"/>
              <w:bottom w:val="single" w:sz="4" w:space="0" w:color="000000"/>
              <w:right w:val="single" w:sz="4" w:space="0" w:color="000000"/>
            </w:tcBorders>
            <w:vAlign w:val="bottom"/>
          </w:tcPr>
          <w:p w14:paraId="06F71AB5" w14:textId="77777777" w:rsidR="00CD5CE4" w:rsidRPr="00131373" w:rsidRDefault="00CD5CE4">
            <w:pPr>
              <w:jc w:val="center"/>
              <w:rPr>
                <w:b/>
                <w:bCs/>
                <w:color w:val="000000"/>
                <w:sz w:val="15"/>
                <w:szCs w:val="15"/>
              </w:rPr>
            </w:pPr>
            <w:r w:rsidRPr="00131373">
              <w:rPr>
                <w:b/>
                <w:bCs/>
                <w:color w:val="000000"/>
                <w:sz w:val="15"/>
                <w:szCs w:val="15"/>
              </w:rPr>
              <w:t>2</w:t>
            </w:r>
          </w:p>
        </w:tc>
        <w:tc>
          <w:tcPr>
            <w:tcW w:w="1134" w:type="dxa"/>
            <w:tcBorders>
              <w:top w:val="nil"/>
              <w:left w:val="nil"/>
              <w:bottom w:val="single" w:sz="4" w:space="0" w:color="000000"/>
              <w:right w:val="single" w:sz="4" w:space="0" w:color="000000"/>
            </w:tcBorders>
            <w:vAlign w:val="bottom"/>
          </w:tcPr>
          <w:p w14:paraId="50C84E4C" w14:textId="77777777" w:rsidR="00CD5CE4" w:rsidRPr="00131373" w:rsidRDefault="00CD5CE4">
            <w:pPr>
              <w:jc w:val="center"/>
              <w:rPr>
                <w:b/>
                <w:bCs/>
                <w:color w:val="000000"/>
                <w:sz w:val="15"/>
                <w:szCs w:val="15"/>
              </w:rPr>
            </w:pPr>
            <w:r w:rsidRPr="00131373">
              <w:rPr>
                <w:b/>
                <w:bCs/>
                <w:color w:val="000000"/>
                <w:sz w:val="15"/>
                <w:szCs w:val="15"/>
              </w:rPr>
              <w:t>3</w:t>
            </w:r>
          </w:p>
        </w:tc>
        <w:tc>
          <w:tcPr>
            <w:tcW w:w="1134" w:type="dxa"/>
            <w:tcBorders>
              <w:top w:val="nil"/>
              <w:left w:val="nil"/>
              <w:bottom w:val="single" w:sz="4" w:space="0" w:color="000000"/>
              <w:right w:val="single" w:sz="8" w:space="0" w:color="000000"/>
            </w:tcBorders>
            <w:vAlign w:val="bottom"/>
          </w:tcPr>
          <w:p w14:paraId="2F708A75" w14:textId="77777777" w:rsidR="00CD5CE4" w:rsidRPr="00131373" w:rsidRDefault="00CD5CE4">
            <w:pPr>
              <w:jc w:val="center"/>
              <w:rPr>
                <w:b/>
                <w:bCs/>
                <w:color w:val="000000"/>
                <w:sz w:val="15"/>
                <w:szCs w:val="15"/>
              </w:rPr>
            </w:pPr>
            <w:r w:rsidRPr="00131373">
              <w:rPr>
                <w:b/>
                <w:bCs/>
                <w:color w:val="000000"/>
                <w:sz w:val="15"/>
                <w:szCs w:val="15"/>
              </w:rPr>
              <w:t>4</w:t>
            </w:r>
          </w:p>
        </w:tc>
        <w:tc>
          <w:tcPr>
            <w:tcW w:w="1134" w:type="dxa"/>
            <w:tcBorders>
              <w:top w:val="nil"/>
              <w:left w:val="nil"/>
              <w:bottom w:val="single" w:sz="4" w:space="0" w:color="000000"/>
              <w:right w:val="single" w:sz="4" w:space="0" w:color="000000"/>
            </w:tcBorders>
            <w:vAlign w:val="bottom"/>
          </w:tcPr>
          <w:p w14:paraId="0B7C83F9" w14:textId="77777777" w:rsidR="00CD5CE4" w:rsidRPr="00131373" w:rsidRDefault="00CD5CE4">
            <w:pPr>
              <w:jc w:val="center"/>
              <w:rPr>
                <w:b/>
                <w:bCs/>
                <w:color w:val="000000"/>
                <w:sz w:val="15"/>
                <w:szCs w:val="15"/>
              </w:rPr>
            </w:pPr>
            <w:r w:rsidRPr="00131373">
              <w:rPr>
                <w:b/>
                <w:bCs/>
                <w:color w:val="000000"/>
                <w:sz w:val="15"/>
                <w:szCs w:val="15"/>
              </w:rPr>
              <w:t>5</w:t>
            </w:r>
          </w:p>
        </w:tc>
        <w:tc>
          <w:tcPr>
            <w:tcW w:w="1134" w:type="dxa"/>
            <w:tcBorders>
              <w:top w:val="nil"/>
              <w:left w:val="nil"/>
              <w:bottom w:val="single" w:sz="4" w:space="0" w:color="000000"/>
              <w:right w:val="single" w:sz="8" w:space="0" w:color="000000"/>
            </w:tcBorders>
            <w:vAlign w:val="bottom"/>
          </w:tcPr>
          <w:p w14:paraId="42DF964A" w14:textId="63976D95" w:rsidR="00CD5CE4" w:rsidRPr="00131373" w:rsidRDefault="00105E0D">
            <w:pPr>
              <w:jc w:val="center"/>
              <w:rPr>
                <w:b/>
                <w:bCs/>
                <w:color w:val="000000"/>
                <w:sz w:val="15"/>
                <w:szCs w:val="15"/>
              </w:rPr>
            </w:pPr>
            <w:r w:rsidRPr="00131373">
              <w:rPr>
                <w:b/>
                <w:bCs/>
                <w:color w:val="000000"/>
                <w:sz w:val="15"/>
                <w:szCs w:val="15"/>
              </w:rPr>
              <w:t>6</w:t>
            </w:r>
            <w:r w:rsidR="00CD5CE4" w:rsidRPr="00131373">
              <w:rPr>
                <w:b/>
                <w:bCs/>
                <w:color w:val="000000"/>
                <w:sz w:val="15"/>
                <w:szCs w:val="15"/>
              </w:rPr>
              <w:t> </w:t>
            </w:r>
          </w:p>
        </w:tc>
        <w:tc>
          <w:tcPr>
            <w:tcW w:w="993" w:type="dxa"/>
            <w:tcBorders>
              <w:top w:val="nil"/>
              <w:left w:val="nil"/>
              <w:bottom w:val="single" w:sz="4" w:space="0" w:color="000000"/>
              <w:right w:val="single" w:sz="4" w:space="0" w:color="000000"/>
            </w:tcBorders>
            <w:vAlign w:val="bottom"/>
          </w:tcPr>
          <w:p w14:paraId="16955C84" w14:textId="023B304B" w:rsidR="00CD5CE4" w:rsidRPr="00131373" w:rsidRDefault="00105E0D">
            <w:pPr>
              <w:jc w:val="center"/>
              <w:rPr>
                <w:b/>
                <w:bCs/>
                <w:color w:val="000000"/>
                <w:sz w:val="15"/>
                <w:szCs w:val="15"/>
              </w:rPr>
            </w:pPr>
            <w:r w:rsidRPr="00131373">
              <w:rPr>
                <w:b/>
                <w:bCs/>
                <w:color w:val="000000"/>
                <w:sz w:val="15"/>
                <w:szCs w:val="15"/>
              </w:rPr>
              <w:t>7</w:t>
            </w:r>
          </w:p>
        </w:tc>
        <w:tc>
          <w:tcPr>
            <w:tcW w:w="1275" w:type="dxa"/>
            <w:tcBorders>
              <w:top w:val="nil"/>
              <w:left w:val="nil"/>
              <w:bottom w:val="single" w:sz="4" w:space="0" w:color="000000"/>
              <w:right w:val="single" w:sz="4" w:space="0" w:color="000000"/>
            </w:tcBorders>
            <w:vAlign w:val="bottom"/>
          </w:tcPr>
          <w:p w14:paraId="7B0B004D" w14:textId="42639664" w:rsidR="00CD5CE4" w:rsidRPr="00131373" w:rsidRDefault="00105E0D">
            <w:pPr>
              <w:jc w:val="center"/>
              <w:rPr>
                <w:b/>
                <w:bCs/>
                <w:color w:val="000000"/>
                <w:sz w:val="15"/>
                <w:szCs w:val="15"/>
              </w:rPr>
            </w:pPr>
            <w:r w:rsidRPr="00131373">
              <w:rPr>
                <w:b/>
                <w:bCs/>
                <w:color w:val="000000"/>
                <w:sz w:val="15"/>
                <w:szCs w:val="15"/>
              </w:rPr>
              <w:t>8</w:t>
            </w:r>
          </w:p>
        </w:tc>
        <w:tc>
          <w:tcPr>
            <w:tcW w:w="993" w:type="dxa"/>
            <w:tcBorders>
              <w:top w:val="nil"/>
              <w:left w:val="nil"/>
              <w:bottom w:val="single" w:sz="4" w:space="0" w:color="000000"/>
              <w:right w:val="single" w:sz="8" w:space="0" w:color="000000"/>
            </w:tcBorders>
            <w:vAlign w:val="bottom"/>
          </w:tcPr>
          <w:p w14:paraId="70178DB2" w14:textId="26BD3D77" w:rsidR="00CD5CE4" w:rsidRPr="00131373" w:rsidRDefault="00105E0D">
            <w:pPr>
              <w:jc w:val="center"/>
              <w:rPr>
                <w:b/>
                <w:bCs/>
                <w:color w:val="000000"/>
                <w:sz w:val="15"/>
                <w:szCs w:val="15"/>
              </w:rPr>
            </w:pPr>
            <w:r w:rsidRPr="00131373">
              <w:rPr>
                <w:b/>
                <w:bCs/>
                <w:color w:val="000000"/>
                <w:sz w:val="15"/>
                <w:szCs w:val="15"/>
              </w:rPr>
              <w:t>9</w:t>
            </w:r>
          </w:p>
        </w:tc>
        <w:tc>
          <w:tcPr>
            <w:tcW w:w="985" w:type="dxa"/>
            <w:tcBorders>
              <w:top w:val="nil"/>
              <w:left w:val="nil"/>
              <w:bottom w:val="single" w:sz="4" w:space="0" w:color="000000"/>
              <w:right w:val="single" w:sz="8" w:space="0" w:color="000000"/>
            </w:tcBorders>
            <w:vAlign w:val="bottom"/>
          </w:tcPr>
          <w:p w14:paraId="52A3CC17" w14:textId="77777777" w:rsidR="00CD5CE4" w:rsidRPr="00131373" w:rsidRDefault="00CD5CE4">
            <w:pPr>
              <w:jc w:val="center"/>
              <w:rPr>
                <w:b/>
                <w:bCs/>
                <w:color w:val="000000"/>
                <w:sz w:val="15"/>
                <w:szCs w:val="15"/>
              </w:rPr>
            </w:pPr>
            <w:r w:rsidRPr="00131373">
              <w:rPr>
                <w:b/>
                <w:bCs/>
                <w:color w:val="000000"/>
                <w:sz w:val="15"/>
                <w:szCs w:val="15"/>
              </w:rPr>
              <w:t> </w:t>
            </w:r>
          </w:p>
        </w:tc>
        <w:tc>
          <w:tcPr>
            <w:tcW w:w="1355" w:type="dxa"/>
            <w:tcBorders>
              <w:top w:val="nil"/>
              <w:left w:val="nil"/>
              <w:bottom w:val="single" w:sz="4" w:space="0" w:color="000000"/>
              <w:right w:val="single" w:sz="8" w:space="0" w:color="auto"/>
            </w:tcBorders>
            <w:vAlign w:val="bottom"/>
          </w:tcPr>
          <w:p w14:paraId="70D973E1" w14:textId="77777777" w:rsidR="00CD5CE4" w:rsidRPr="00131373" w:rsidRDefault="00CD5CE4">
            <w:pPr>
              <w:jc w:val="center"/>
              <w:rPr>
                <w:b/>
                <w:bCs/>
                <w:color w:val="000000"/>
                <w:sz w:val="15"/>
                <w:szCs w:val="15"/>
              </w:rPr>
            </w:pPr>
            <w:r w:rsidRPr="00131373">
              <w:rPr>
                <w:b/>
                <w:bCs/>
                <w:color w:val="000000"/>
                <w:sz w:val="15"/>
                <w:szCs w:val="15"/>
              </w:rPr>
              <w:t> </w:t>
            </w:r>
          </w:p>
        </w:tc>
      </w:tr>
      <w:tr w:rsidR="00CD5CE4" w:rsidRPr="00131373" w14:paraId="3013B5B8" w14:textId="77777777" w:rsidTr="00105E0D">
        <w:trPr>
          <w:trHeight w:val="960"/>
        </w:trPr>
        <w:tc>
          <w:tcPr>
            <w:tcW w:w="1681" w:type="dxa"/>
            <w:tcBorders>
              <w:top w:val="nil"/>
              <w:left w:val="single" w:sz="8" w:space="0" w:color="auto"/>
              <w:bottom w:val="single" w:sz="4" w:space="0" w:color="000000"/>
              <w:right w:val="single" w:sz="8" w:space="0" w:color="000000"/>
            </w:tcBorders>
            <w:vAlign w:val="center"/>
          </w:tcPr>
          <w:p w14:paraId="1F8FF3F4" w14:textId="77777777" w:rsidR="00CD5CE4" w:rsidRPr="00131373" w:rsidRDefault="00CD5CE4">
            <w:pPr>
              <w:rPr>
                <w:color w:val="000000"/>
                <w:sz w:val="15"/>
                <w:szCs w:val="15"/>
              </w:rPr>
            </w:pPr>
            <w:r w:rsidRPr="00131373">
              <w:rPr>
                <w:color w:val="000000"/>
                <w:sz w:val="15"/>
                <w:szCs w:val="15"/>
              </w:rPr>
              <w:t> </w:t>
            </w:r>
          </w:p>
        </w:tc>
        <w:tc>
          <w:tcPr>
            <w:tcW w:w="1141" w:type="dxa"/>
            <w:tcBorders>
              <w:top w:val="nil"/>
              <w:left w:val="nil"/>
              <w:bottom w:val="single" w:sz="4" w:space="0" w:color="000000"/>
              <w:right w:val="single" w:sz="8" w:space="0" w:color="000000"/>
            </w:tcBorders>
            <w:vAlign w:val="center"/>
          </w:tcPr>
          <w:p w14:paraId="708E8EDC" w14:textId="77777777" w:rsidR="00CD5CE4" w:rsidRPr="00131373" w:rsidRDefault="00CD5CE4">
            <w:pPr>
              <w:jc w:val="center"/>
              <w:rPr>
                <w:color w:val="000000"/>
                <w:sz w:val="15"/>
                <w:szCs w:val="15"/>
              </w:rPr>
            </w:pPr>
            <w:r w:rsidRPr="00131373">
              <w:rPr>
                <w:color w:val="000000"/>
                <w:sz w:val="15"/>
                <w:szCs w:val="15"/>
              </w:rPr>
              <w:t> </w:t>
            </w:r>
          </w:p>
        </w:tc>
        <w:tc>
          <w:tcPr>
            <w:tcW w:w="992" w:type="dxa"/>
            <w:tcBorders>
              <w:top w:val="nil"/>
              <w:left w:val="nil"/>
              <w:bottom w:val="single" w:sz="4" w:space="0" w:color="000000"/>
              <w:right w:val="single" w:sz="4" w:space="0" w:color="000000"/>
            </w:tcBorders>
            <w:vAlign w:val="center"/>
          </w:tcPr>
          <w:p w14:paraId="280B891B" w14:textId="77777777" w:rsidR="00CD5CE4" w:rsidRPr="00131373" w:rsidRDefault="00CD5CE4">
            <w:pPr>
              <w:jc w:val="center"/>
              <w:rPr>
                <w:color w:val="000000"/>
                <w:sz w:val="15"/>
                <w:szCs w:val="15"/>
              </w:rPr>
            </w:pPr>
            <w:r w:rsidRPr="00131373">
              <w:rPr>
                <w:color w:val="000000"/>
                <w:sz w:val="15"/>
                <w:szCs w:val="15"/>
              </w:rPr>
              <w:t>Representativeness of the exposed cohort</w:t>
            </w:r>
          </w:p>
        </w:tc>
        <w:tc>
          <w:tcPr>
            <w:tcW w:w="1134" w:type="dxa"/>
            <w:tcBorders>
              <w:top w:val="nil"/>
              <w:left w:val="nil"/>
              <w:bottom w:val="single" w:sz="4" w:space="0" w:color="000000"/>
              <w:right w:val="single" w:sz="4" w:space="0" w:color="000000"/>
            </w:tcBorders>
            <w:vAlign w:val="center"/>
          </w:tcPr>
          <w:p w14:paraId="5D979BF6" w14:textId="355F52D3" w:rsidR="00CD5CE4" w:rsidRPr="00131373" w:rsidRDefault="00CD5CE4">
            <w:pPr>
              <w:jc w:val="center"/>
              <w:rPr>
                <w:color w:val="000000"/>
                <w:sz w:val="15"/>
                <w:szCs w:val="15"/>
              </w:rPr>
            </w:pPr>
            <w:r w:rsidRPr="00131373">
              <w:rPr>
                <w:color w:val="000000"/>
                <w:sz w:val="15"/>
                <w:szCs w:val="15"/>
              </w:rPr>
              <w:t xml:space="preserve">Selection of the </w:t>
            </w:r>
            <w:r w:rsidR="00131373" w:rsidRPr="00131373">
              <w:rPr>
                <w:color w:val="000000"/>
                <w:sz w:val="15"/>
                <w:szCs w:val="15"/>
              </w:rPr>
              <w:t>non-exposed</w:t>
            </w:r>
            <w:r w:rsidRPr="00131373">
              <w:rPr>
                <w:color w:val="000000"/>
                <w:sz w:val="15"/>
                <w:szCs w:val="15"/>
              </w:rPr>
              <w:t xml:space="preserve"> cohort</w:t>
            </w:r>
          </w:p>
        </w:tc>
        <w:tc>
          <w:tcPr>
            <w:tcW w:w="1134" w:type="dxa"/>
            <w:tcBorders>
              <w:top w:val="nil"/>
              <w:left w:val="nil"/>
              <w:bottom w:val="single" w:sz="4" w:space="0" w:color="000000"/>
              <w:right w:val="single" w:sz="4" w:space="0" w:color="000000"/>
            </w:tcBorders>
            <w:vAlign w:val="center"/>
          </w:tcPr>
          <w:p w14:paraId="1C470D54" w14:textId="77777777" w:rsidR="00CD5CE4" w:rsidRPr="00131373" w:rsidRDefault="00CD5CE4">
            <w:pPr>
              <w:jc w:val="center"/>
              <w:rPr>
                <w:color w:val="000000"/>
                <w:sz w:val="15"/>
                <w:szCs w:val="15"/>
              </w:rPr>
            </w:pPr>
            <w:r w:rsidRPr="00131373">
              <w:rPr>
                <w:color w:val="000000"/>
                <w:sz w:val="15"/>
                <w:szCs w:val="15"/>
              </w:rPr>
              <w:t>Ascertainment of exposure</w:t>
            </w:r>
          </w:p>
        </w:tc>
        <w:tc>
          <w:tcPr>
            <w:tcW w:w="1134" w:type="dxa"/>
            <w:tcBorders>
              <w:top w:val="nil"/>
              <w:left w:val="nil"/>
              <w:bottom w:val="single" w:sz="4" w:space="0" w:color="000000"/>
              <w:right w:val="single" w:sz="8" w:space="0" w:color="000000"/>
            </w:tcBorders>
            <w:vAlign w:val="center"/>
          </w:tcPr>
          <w:p w14:paraId="6CD704A3" w14:textId="77777777" w:rsidR="00CD5CE4" w:rsidRPr="00131373" w:rsidRDefault="00CD5CE4">
            <w:pPr>
              <w:jc w:val="center"/>
              <w:rPr>
                <w:color w:val="000000"/>
                <w:sz w:val="15"/>
                <w:szCs w:val="15"/>
              </w:rPr>
            </w:pPr>
            <w:r w:rsidRPr="00131373">
              <w:rPr>
                <w:color w:val="000000"/>
                <w:sz w:val="15"/>
                <w:szCs w:val="15"/>
              </w:rPr>
              <w:t>Demonstration that outcome of interest was not present at start of study</w:t>
            </w:r>
          </w:p>
        </w:tc>
        <w:tc>
          <w:tcPr>
            <w:tcW w:w="1134" w:type="dxa"/>
            <w:tcBorders>
              <w:top w:val="nil"/>
              <w:left w:val="nil"/>
              <w:bottom w:val="single" w:sz="4" w:space="0" w:color="000000"/>
              <w:right w:val="single" w:sz="4" w:space="0" w:color="000000"/>
            </w:tcBorders>
            <w:vAlign w:val="center"/>
          </w:tcPr>
          <w:p w14:paraId="0FD9D91A" w14:textId="77777777" w:rsidR="00CD5CE4" w:rsidRPr="00131373" w:rsidRDefault="00CD5CE4">
            <w:pPr>
              <w:jc w:val="center"/>
              <w:rPr>
                <w:color w:val="000000"/>
                <w:sz w:val="15"/>
                <w:szCs w:val="15"/>
              </w:rPr>
            </w:pPr>
            <w:r w:rsidRPr="00131373">
              <w:rPr>
                <w:color w:val="000000"/>
                <w:sz w:val="15"/>
                <w:szCs w:val="15"/>
              </w:rPr>
              <w:t>Study controls for (Comparability on Design)</w:t>
            </w:r>
          </w:p>
        </w:tc>
        <w:tc>
          <w:tcPr>
            <w:tcW w:w="1134" w:type="dxa"/>
            <w:tcBorders>
              <w:top w:val="nil"/>
              <w:left w:val="nil"/>
              <w:bottom w:val="single" w:sz="4" w:space="0" w:color="000000"/>
              <w:right w:val="single" w:sz="8" w:space="0" w:color="000000"/>
            </w:tcBorders>
            <w:vAlign w:val="center"/>
          </w:tcPr>
          <w:p w14:paraId="336A85E6" w14:textId="77777777" w:rsidR="00CD5CE4" w:rsidRPr="00131373" w:rsidRDefault="00CD5CE4">
            <w:pPr>
              <w:jc w:val="center"/>
              <w:rPr>
                <w:color w:val="000000"/>
                <w:sz w:val="15"/>
                <w:szCs w:val="15"/>
              </w:rPr>
            </w:pPr>
            <w:r w:rsidRPr="00131373">
              <w:rPr>
                <w:color w:val="000000"/>
                <w:sz w:val="15"/>
                <w:szCs w:val="15"/>
              </w:rPr>
              <w:t>Study controls for any additional factor (Additional Confounders)</w:t>
            </w:r>
          </w:p>
        </w:tc>
        <w:tc>
          <w:tcPr>
            <w:tcW w:w="993" w:type="dxa"/>
            <w:tcBorders>
              <w:top w:val="nil"/>
              <w:left w:val="nil"/>
              <w:bottom w:val="single" w:sz="4" w:space="0" w:color="000000"/>
              <w:right w:val="single" w:sz="4" w:space="0" w:color="000000"/>
            </w:tcBorders>
            <w:vAlign w:val="center"/>
          </w:tcPr>
          <w:p w14:paraId="189F9F06" w14:textId="77777777" w:rsidR="00CD5CE4" w:rsidRPr="00131373" w:rsidRDefault="00CD5CE4">
            <w:pPr>
              <w:jc w:val="center"/>
              <w:rPr>
                <w:color w:val="000000"/>
                <w:sz w:val="15"/>
                <w:szCs w:val="15"/>
              </w:rPr>
            </w:pPr>
            <w:r w:rsidRPr="00131373">
              <w:rPr>
                <w:color w:val="000000"/>
                <w:sz w:val="15"/>
                <w:szCs w:val="15"/>
              </w:rPr>
              <w:t>Assessment of outcome</w:t>
            </w:r>
          </w:p>
        </w:tc>
        <w:tc>
          <w:tcPr>
            <w:tcW w:w="1275" w:type="dxa"/>
            <w:tcBorders>
              <w:top w:val="nil"/>
              <w:left w:val="nil"/>
              <w:bottom w:val="single" w:sz="4" w:space="0" w:color="000000"/>
              <w:right w:val="single" w:sz="4" w:space="0" w:color="000000"/>
            </w:tcBorders>
            <w:vAlign w:val="center"/>
          </w:tcPr>
          <w:p w14:paraId="3EA4742F" w14:textId="77777777" w:rsidR="00CD5CE4" w:rsidRPr="00131373" w:rsidRDefault="00CD5CE4">
            <w:pPr>
              <w:jc w:val="center"/>
              <w:rPr>
                <w:color w:val="000000"/>
                <w:sz w:val="15"/>
                <w:szCs w:val="15"/>
              </w:rPr>
            </w:pPr>
            <w:r w:rsidRPr="00131373">
              <w:rPr>
                <w:color w:val="000000"/>
                <w:sz w:val="15"/>
                <w:szCs w:val="15"/>
              </w:rPr>
              <w:t>Was follow-up long enough for outcomes to occur</w:t>
            </w:r>
          </w:p>
        </w:tc>
        <w:tc>
          <w:tcPr>
            <w:tcW w:w="993" w:type="dxa"/>
            <w:tcBorders>
              <w:top w:val="nil"/>
              <w:left w:val="nil"/>
              <w:bottom w:val="single" w:sz="4" w:space="0" w:color="000000"/>
              <w:right w:val="single" w:sz="8" w:space="0" w:color="000000"/>
            </w:tcBorders>
            <w:vAlign w:val="center"/>
          </w:tcPr>
          <w:p w14:paraId="460A0218" w14:textId="77777777" w:rsidR="00CD5CE4" w:rsidRPr="00131373" w:rsidRDefault="00CD5CE4">
            <w:pPr>
              <w:jc w:val="center"/>
              <w:rPr>
                <w:color w:val="000000"/>
                <w:sz w:val="15"/>
                <w:szCs w:val="15"/>
              </w:rPr>
            </w:pPr>
            <w:r w:rsidRPr="00131373">
              <w:rPr>
                <w:color w:val="000000"/>
                <w:sz w:val="15"/>
                <w:szCs w:val="15"/>
              </w:rPr>
              <w:t>Adequacy of follow up of cohorts</w:t>
            </w:r>
          </w:p>
        </w:tc>
        <w:tc>
          <w:tcPr>
            <w:tcW w:w="985" w:type="dxa"/>
            <w:tcBorders>
              <w:top w:val="nil"/>
              <w:left w:val="nil"/>
              <w:bottom w:val="single" w:sz="4" w:space="0" w:color="000000"/>
              <w:right w:val="single" w:sz="8" w:space="0" w:color="000000"/>
            </w:tcBorders>
            <w:vAlign w:val="center"/>
          </w:tcPr>
          <w:p w14:paraId="08FF3674" w14:textId="77777777" w:rsidR="00CD5CE4" w:rsidRPr="00131373" w:rsidRDefault="00CD5CE4">
            <w:pPr>
              <w:jc w:val="center"/>
              <w:rPr>
                <w:color w:val="000000"/>
                <w:sz w:val="15"/>
                <w:szCs w:val="15"/>
              </w:rPr>
            </w:pPr>
            <w:r w:rsidRPr="00131373">
              <w:rPr>
                <w:color w:val="000000"/>
                <w:sz w:val="15"/>
                <w:szCs w:val="15"/>
              </w:rPr>
              <w:t>Total NOS Score (Maximum = 9)</w:t>
            </w:r>
          </w:p>
        </w:tc>
        <w:tc>
          <w:tcPr>
            <w:tcW w:w="1355" w:type="dxa"/>
            <w:tcBorders>
              <w:top w:val="nil"/>
              <w:left w:val="nil"/>
              <w:bottom w:val="single" w:sz="4" w:space="0" w:color="000000"/>
              <w:right w:val="single" w:sz="8" w:space="0" w:color="auto"/>
            </w:tcBorders>
            <w:vAlign w:val="center"/>
          </w:tcPr>
          <w:p w14:paraId="41D8AA8D" w14:textId="77777777" w:rsidR="00CD5CE4" w:rsidRPr="00131373" w:rsidRDefault="00CD5CE4">
            <w:pPr>
              <w:jc w:val="center"/>
              <w:rPr>
                <w:color w:val="000000"/>
                <w:sz w:val="15"/>
                <w:szCs w:val="15"/>
              </w:rPr>
            </w:pPr>
            <w:r w:rsidRPr="00131373">
              <w:rPr>
                <w:color w:val="000000"/>
                <w:sz w:val="15"/>
                <w:szCs w:val="15"/>
              </w:rPr>
              <w:t>Quality Rating</w:t>
            </w:r>
          </w:p>
        </w:tc>
      </w:tr>
      <w:tr w:rsidR="00CD5CE4" w:rsidRPr="00131373" w14:paraId="7E63ACD7"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4FE44527" w14:textId="65783481" w:rsidR="00CD5CE4" w:rsidRPr="00131373" w:rsidRDefault="00CD5CE4" w:rsidP="00F72FC0">
            <w:pPr>
              <w:jc w:val="center"/>
              <w:rPr>
                <w:color w:val="000000"/>
                <w:sz w:val="15"/>
                <w:szCs w:val="15"/>
              </w:rPr>
            </w:pPr>
            <w:r w:rsidRPr="00131373">
              <w:rPr>
                <w:color w:val="000000"/>
                <w:sz w:val="15"/>
                <w:szCs w:val="15"/>
              </w:rPr>
              <w:t>Isaac et al. (2021)</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{"citationID":"ysmFheMG","properties":{"formattedCitation":"\\super 1\\nosupersub{}","plainCitation":"1","noteIndex":0},"citationItems":[{"id":1589,"uris":["http://zotero.org/users/5317696/items/E2FVYJCG"],"itemData":{"id":1589,"type":"article-journal","abstract":"Background: HCV infection is a major health concern. Disease progression to fibrosis, cirrhosis, and HCC is aided by the persistence of inflammatory reactions and cellular damage. Moreover, angiogenesis was found to have a substantial pathogenic role in disease progression. Serum Angiopoietin-2 appears to be correlated with liver stiffness in chronic HCV and its elevation is linked to disease progression from chronic hepatitis to cirrhosis. The aim of this study was to evaluate the role of serum Angiopoietin-2 in the prediction of regression of fibrosis in chronic HCV patients receiving direct-acting antiviral agents. Forty Egyptian chronic HCV patients for whom direct-acting antiviral agent (DAA) therapy was planned were included. All patients underwent assessment twice, at baseline and at SVR12, for standard laboratory tests, measurement of fibrosis using FibroScan, FIB-4 and APRI scores, and Angiopoietin-2 level.\nResults: Statistically significantly higher levels of baseline Ang-2 were detected with the progression of fibrosis stages with a p-value of &lt;0.001. The best cutoff value of baseline Ang-2 in discrimination of liver cirrhosis (F4) from F0-F3 was &gt; 630 pg/ml with 85.71% sensitivity and 84.85% specificity. A statistically significant decline of Ang-2 (from 464.3±237.2 pg/ml to 401.3±277.1 pg/ml) was noted after the achievement of SVR12 with a p-value &lt; 0.001. Regression of liver fibrosis in this study is defined as a decrease of more than or equal to one stage in liver fibrosis. Lower baseline fibrosis stages and other non-invasive scoring systems (FIB-4 and APRI scores) were associated with regression of fibrosis following successful DAAs treatment. However, higher baseline Ang-2 levels were significantly associated with non-regression of fibrosis, and at a cutoff of &gt;680 pg/ml, it might predict non-regression of fibrosis after successful eradication of HCV with DAAs with 93.33% sensitivity and 70% specificity.\nConclusions: Angiopoietin-2 can be a useful predictor of fibrosis regression in chronic HCV patients receiving directacting antiviral agents. Elevated baseline Angiopoietin-2 and advanced fibrosis stages may predict non-regression of liver fibrosis.","container-title":"The Egyptian Journal of Internal Medicine","DOI":"10.1186/s43162-021-00086-5","ISSN":"1110-7782, 2090-9098","issue":"1","journalAbbreviation":"Egypt J Intern Med","language":"en","page":"53","source":"DOI.org (Crossref)","title":"Angiopoietin-2 as a predictor of fibrosis regression in chronic hepatitis C virus patients after direct-acting antiviral drugs","URL":"https://ejim.springeropen.com/articles/10.1186/s43162-021-00086-5","volume":"33","author":[{"family":"Isaac","given":"Amira"},{"family":"El Sakaty","given":"Tarek Maged"},{"family":"Hussein","given":"Sarah Hamdan"},{"family":"Rasmy","given":"Hany Samir"}],"accessed":{"date-parts":[["2025",5,15]]},"issued":{"date-parts":[["2021",12]]}}}],"schema":"https://github.com/citation-style-language/schema/raw/master/csl-citation.json"} </w:instrText>
            </w:r>
            <w:r w:rsidR="00AD7F66">
              <w:rPr>
                <w:color w:val="000000"/>
                <w:sz w:val="15"/>
                <w:szCs w:val="15"/>
              </w:rPr>
              <w:fldChar w:fldCharType="separate"/>
            </w:r>
            <w:r w:rsidR="00AD7F66" w:rsidRPr="00AD7F66">
              <w:rPr>
                <w:sz w:val="15"/>
                <w:vertAlign w:val="superscript"/>
              </w:rPr>
              <w:t>1</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033DB91F" w14:textId="4858E74A" w:rsidR="00CD5CE4" w:rsidRPr="00131373" w:rsidRDefault="00116234"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71F3867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67A89E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460856E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8F9BCE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FD172A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1127CD4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4" w:space="0" w:color="000000"/>
            </w:tcBorders>
            <w:noWrap/>
            <w:vAlign w:val="center"/>
          </w:tcPr>
          <w:p w14:paraId="3EFBE70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60D9D7A5"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2032BD5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5595A73D" w14:textId="77777777" w:rsidR="00CD5CE4" w:rsidRPr="00131373" w:rsidRDefault="00CD5CE4"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693DAEB1" w14:textId="36FE0DC3" w:rsidR="00CD5CE4" w:rsidRPr="00131373" w:rsidRDefault="00AA7D9A" w:rsidP="00485C7C">
            <w:pPr>
              <w:jc w:val="center"/>
              <w:rPr>
                <w:color w:val="000000"/>
                <w:sz w:val="15"/>
                <w:szCs w:val="15"/>
              </w:rPr>
            </w:pPr>
            <w:r>
              <w:rPr>
                <w:color w:val="000000"/>
                <w:sz w:val="15"/>
                <w:szCs w:val="15"/>
              </w:rPr>
              <w:t>High</w:t>
            </w:r>
          </w:p>
        </w:tc>
      </w:tr>
      <w:tr w:rsidR="00CD5CE4" w:rsidRPr="00131373" w14:paraId="046FF0C8"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56115816" w14:textId="05898468" w:rsidR="00CD5CE4" w:rsidRPr="00131373" w:rsidRDefault="00CD5CE4" w:rsidP="00F72FC0">
            <w:pPr>
              <w:jc w:val="center"/>
              <w:rPr>
                <w:color w:val="000000"/>
                <w:sz w:val="15"/>
                <w:szCs w:val="15"/>
              </w:rPr>
            </w:pPr>
            <w:r w:rsidRPr="00131373">
              <w:rPr>
                <w:color w:val="000000"/>
                <w:sz w:val="15"/>
                <w:szCs w:val="15"/>
              </w:rPr>
              <w:t>Abdelmohsen et al. (2022)</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{"citationID":"SCLXaNmM","properties":{"formattedCitation":"\\super 2\\nosupersub{}","plainCitation":"2","noteIndex":0},"citationItems":[{"id":1581,"uris":["http://zotero.org/users/5317696/items/RF36L8PV"],"itemData":{"id":1581,"type":"article-journal","abstract":"Background: With introduction of direct acting antivirals (DAAs) in the management of chronic hepatitis C viral (HCV) infection, this leads to high frequency of sustained viral response (SVR). Effect of these agents on liver stiffness and lipid isn’t well studied.\nObjective: We tried to assess changes in liver stiffness, insulin resistance (IR) and lipid profile after achievement of SVR with DAAs. Patients and methods: A total of 80 patients with chronic HCV infection were recruited in the study. All patients received dual therapy of sofosbuvir and daclatasvir either without ribavirin (in case of chronic hepatitis) or with ribavirin (in case of liver cirrhosis). Liver stiffness, lipid profile and IR were assessed at baseline and at the end of therapy.\nResults: All patients achieved SVR. Majority (58.8%) of patients were males. There was significant improvement in liver transaminases after therapy. There was significant reduction in frequency of IR after therapy (42.5% vs. 68.7%; p= 0.04) with percentage of decrease was 16.11%. Also, there was significant decrease in degree of fibrosis as assessed by fibroScan with percentage of decrease was 48.2%. Predictors for persistence IR after DAAs therapy were only body mass index and advanced fibrosis. Cholesterol, low density lipoproteins and triglycerides showed significant increase after therapy.\nConclusion: Sofosbuvir and daclatasvir with or without ribavirin are effective and tolerable agents in management of chronic HCV infection. Degree of liver fibrosis and insulin resistance would be reduced after DAAs therapy. Future multi centers are warranted to confirm these findings.","container-title":"The Egyptian Journal of Hospital Medicine","DOI":"10.21608/ejhm.2022.248782","ISSN":"2090-7125","issue":"1","journalAbbreviation":"The Egyptian Journal of Hospital Medicine","language":"en","page":"3446-3451","source":"DOI.org (Crossref)","title":"Assessment of Changes in Liver Fibrosis and Stiffness, Lipid Profile and Insulin Resistance in Patients with Chronic Hepatitis C Viral Infection Who Received Direct Acting Antiviral Therapy","URL":"https://ejhm.journals.ekb.eg/article_248782.html","volume":"88","author":[{"family":"Abdelmohsen","given":"Essam"},{"family":"Abotaleb","given":"Alshimaa H. B."},{"family":"El Zohne","given":"Randa A."},{"family":"Abdelwahab","given":"Hossam Mahmoud"},{"family":"Maghraby","given":"Hossam"}],"accessed":{"date-parts":[["2025",5,15]]},"issued":{"date-parts":[["2022",7,1]]}}}],"schema":"https://github.com/citation-style-language/schema/raw/master/csl-citation.json"} </w:instrText>
            </w:r>
            <w:r w:rsidR="00AD7F66">
              <w:rPr>
                <w:color w:val="000000"/>
                <w:sz w:val="15"/>
                <w:szCs w:val="15"/>
              </w:rPr>
              <w:fldChar w:fldCharType="separate"/>
            </w:r>
            <w:r w:rsidR="00AD7F66" w:rsidRPr="00AD7F66">
              <w:rPr>
                <w:sz w:val="15"/>
                <w:vertAlign w:val="superscript"/>
              </w:rPr>
              <w:t>2</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726D179C" w14:textId="6B0DEF17" w:rsidR="00CD5CE4" w:rsidRPr="00131373" w:rsidRDefault="00116234"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5E2FB0C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69DE54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527117C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7AAF2D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54339E2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B478C9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4" w:space="0" w:color="000000"/>
            </w:tcBorders>
            <w:noWrap/>
            <w:vAlign w:val="center"/>
          </w:tcPr>
          <w:p w14:paraId="62E98D2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34D97E5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16CFBF2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3AE4C07D" w14:textId="77777777" w:rsidR="00CD5CE4" w:rsidRPr="00131373" w:rsidRDefault="00CD5CE4"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74B95146" w14:textId="4B62D5A5" w:rsidR="00CD5CE4" w:rsidRPr="00131373" w:rsidRDefault="00AA7D9A" w:rsidP="00485C7C">
            <w:pPr>
              <w:jc w:val="center"/>
              <w:rPr>
                <w:color w:val="000000"/>
                <w:sz w:val="15"/>
                <w:szCs w:val="15"/>
              </w:rPr>
            </w:pPr>
            <w:r>
              <w:rPr>
                <w:color w:val="000000"/>
                <w:sz w:val="15"/>
                <w:szCs w:val="15"/>
              </w:rPr>
              <w:t>High</w:t>
            </w:r>
          </w:p>
        </w:tc>
      </w:tr>
      <w:tr w:rsidR="00CD5CE4" w:rsidRPr="00131373" w14:paraId="16B606F3"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7D5C2AF9" w14:textId="5E52230D" w:rsidR="00CD5CE4" w:rsidRPr="00131373" w:rsidRDefault="00CD5CE4" w:rsidP="00F72FC0">
            <w:pPr>
              <w:jc w:val="center"/>
              <w:rPr>
                <w:color w:val="000000"/>
                <w:sz w:val="15"/>
                <w:szCs w:val="15"/>
              </w:rPr>
            </w:pPr>
            <w:r w:rsidRPr="00131373">
              <w:rPr>
                <w:color w:val="000000"/>
                <w:sz w:val="15"/>
                <w:szCs w:val="15"/>
              </w:rPr>
              <w:t>Garg et al. (2018)</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{"citationID":"8zGVsAr1","properties":{"formattedCitation":"\\super 3\\nosupersub{}","plainCitation":"3","noteIndex":0},"citationItems":[{"id":1551,"uris":["http://zotero.org/users/5317696/items/FL5NDS3G"],"itemData":{"id":1551,"type":"article-journal","container-title":"Journal of Clinical and Experimental Hepatology","DOI":"10.1016/j.jceh.2017.11.011","ISSN":"09736883","issue":"3","journalAbbreviation":"Journal of Clinical and Experimental Hepatology","language":"en","page":"241-249","source":"DOI.org (Crossref)","title":"Impact of Direct Acting Antiviral Drugs in Treatment Naïve HCV Cirrhosis on Fibrosis and Severity of Liver Disease: A Real Life Experience from a Tertiary Care Center of North India","title-short":"Impact of Direct Acting Antiviral Drugs in Treatment Naïve HCV Cirrhosis on Fibrosis and Severity of Liver Disease","URL":"https://linkinghub.elsevier.com/retrieve/pii/S0973688317304942","volume":"8","author":[{"family":"Garg","given":"Gaurav"},{"family":"Dixit","given":"Vinod K."},{"family":"Shukla","given":"Sunit K."},{"family":"Singh","given":"Sudhir K."},{"family":"Sachan","given":"Shivam"},{"family":"Tiwari","given":"Anurag"},{"family":"Yadav","given":"Vinod K."},{"family":"Yadav","given":"Dawesh P."}],"accessed":{"date-parts":[["2025",5,15]]},"issued":{"date-parts":[["2018",9]]}}}],"schema":"https://github.com/citation-style-language/schema/raw/master/csl-citation.json"} </w:instrText>
            </w:r>
            <w:r w:rsidR="00AD7F66">
              <w:rPr>
                <w:color w:val="000000"/>
                <w:sz w:val="15"/>
                <w:szCs w:val="15"/>
              </w:rPr>
              <w:fldChar w:fldCharType="separate"/>
            </w:r>
            <w:r w:rsidR="00AD7F66" w:rsidRPr="00AD7F66">
              <w:rPr>
                <w:sz w:val="15"/>
                <w:vertAlign w:val="superscript"/>
              </w:rPr>
              <w:t>3</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53E97B48" w14:textId="562A28BB" w:rsidR="00CD5CE4" w:rsidRPr="00131373" w:rsidRDefault="00116234"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3F2B577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CC84A8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AE0CB8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CECDED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62D03E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37FB275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3921ACB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5BEAEBF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5E6AA77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3CA74012" w14:textId="77777777" w:rsidR="00CD5CE4" w:rsidRPr="00131373" w:rsidRDefault="00CD5CE4"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7751C315" w14:textId="29AAF2AF" w:rsidR="00CD5CE4" w:rsidRPr="00131373" w:rsidRDefault="00AA7D9A" w:rsidP="00485C7C">
            <w:pPr>
              <w:jc w:val="center"/>
              <w:rPr>
                <w:color w:val="000000"/>
                <w:sz w:val="15"/>
                <w:szCs w:val="15"/>
              </w:rPr>
            </w:pPr>
            <w:r>
              <w:rPr>
                <w:color w:val="000000"/>
                <w:sz w:val="15"/>
                <w:szCs w:val="15"/>
              </w:rPr>
              <w:t>High</w:t>
            </w:r>
          </w:p>
        </w:tc>
      </w:tr>
      <w:tr w:rsidR="00CD5CE4" w:rsidRPr="00131373" w14:paraId="47014DE2"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7973E817" w14:textId="4582164C" w:rsidR="00CD5CE4" w:rsidRPr="00131373" w:rsidRDefault="00CD5CE4" w:rsidP="00F72FC0">
            <w:pPr>
              <w:jc w:val="center"/>
              <w:rPr>
                <w:color w:val="000000"/>
                <w:sz w:val="15"/>
                <w:szCs w:val="15"/>
              </w:rPr>
            </w:pPr>
            <w:r w:rsidRPr="00131373">
              <w:rPr>
                <w:color w:val="000000"/>
                <w:sz w:val="15"/>
                <w:szCs w:val="15"/>
              </w:rPr>
              <w:t>El-</w:t>
            </w:r>
            <w:proofErr w:type="spellStart"/>
            <w:r w:rsidRPr="00131373">
              <w:rPr>
                <w:color w:val="000000"/>
                <w:sz w:val="15"/>
                <w:szCs w:val="15"/>
              </w:rPr>
              <w:t>Raziky</w:t>
            </w:r>
            <w:proofErr w:type="spellEnd"/>
            <w:r w:rsidRPr="00131373">
              <w:rPr>
                <w:color w:val="000000"/>
                <w:sz w:val="15"/>
                <w:szCs w:val="15"/>
              </w:rPr>
              <w:t xml:space="preserve"> et al. (2018)</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{"citationID":"zHMZ3CH0","properties":{"formattedCitation":"\\super 4\\nosupersub{}","plainCitation":"4","noteIndex":0},"citationItems":[{"id":1588,"uris":["http://zotero.org/users/5317696/items/N8W42L4H"],"itemData":{"id":1588,"type":"article-journal","abstract":"Hepatitis C virus (HCV) treatment is aiming to cure and prevent the development, progression of ﬁbrosis, and related complications. Interferon-based therapy was claimed to reduce or even reverse ﬁbrosis. Although directacting agents have a better cure rate, we still lack the knowledge of their effect on ﬁbrosis regression. We aim to assess ﬁbrosis regression in direct-acting agents compared with interferon-based treatment regimens in the treatment of chronic HCV patients. The 204 chronic HCV patients were divided into 3 groups; group 1(N = 68) received Peg-IFN and ribavirin, group 2 (N = 69) received sofosbuvir and ribavirin, and group 3 (N = 67) received Peg-IFN, ribavirin, and sofosbuvir. Fibrosis assessment was performed by transient elastography (TE), APRI and FIB 4, in the pretreatment and at least 3 months after end of treatment. Of these, 66.2% of the patients did not show signiﬁcant ﬁbrosis changes, 6.4% ﬁbrosis progressed, and 27.5% of ﬁbrosis regressed (P &lt; 0.0001) by TE. Similar results were detected in the different treatment regimens with no statistically signiﬁcant difference between the regimens. Fibrosis regression was detected in 43.3% of cirrhotic patients who achieved sustained virological response (SVR) and only in 27.4% with signiﬁcant ﬁbrosis. Signiﬁcant improvement of posttreatment aspartate transaminase, alanine transaminase, and alpha fetoprotein as well as APRI and FIB 4 scores were detected. Fibrosis regression (TE, APRI and FIB 4) was detected with direct-acting agents and interferon-based therapy. Treated patients with signiﬁcant ﬁbrosis will beneﬁt of ﬁbrosis regression irrespective to their treatment response, whereas ﬁbrosis regression was associated with SVR in cirrhotic patients.","container-title":"Journal of Interferon &amp; Cytokine Research","DOI":"10.1089/jir.2017.0137","ISSN":"1079-9907, 1557-7465","issue":"3","journalAbbreviation":"Journal of Interferon &amp; Cytokine Research","language":"en","license":"http://www.liebertpub.com/nv/resources-tools/text-and-data-mining-policy/121/","page":"129-136","source":"DOI.org (Crossref)","title":"Effect of Direct-Acting Agents on Fibrosis Regression in Chronic Hepatitis C Virus Patients' Treatment Compared with Interferon-Containing Regimens","URL":"http://www.liebertpub.com/doi/10.1089/jir.2017.0137","volume":"38","author":[{"family":"El-Raziky","given":"Maissa"},{"family":"Khairy","given":"Marwa"},{"family":"Fouad","given":"Ahmed"},{"family":"Salama","given":"Ahmed"},{"family":"Elsharkawy","given":"Aisha"},{"family":"Tantawy","given":"Omnia"}],"accessed":{"date-parts":[["2025",5,15]]},"issued":{"date-parts":[["2018",3]]}}}],"schema":"https://github.com/citation-style-language/schema/raw/master/csl-citation.json"} </w:instrText>
            </w:r>
            <w:r w:rsidR="00AD7F66">
              <w:rPr>
                <w:color w:val="000000"/>
                <w:sz w:val="15"/>
                <w:szCs w:val="15"/>
              </w:rPr>
              <w:fldChar w:fldCharType="separate"/>
            </w:r>
            <w:r w:rsidR="00AD7F66" w:rsidRPr="00AD7F66">
              <w:rPr>
                <w:sz w:val="15"/>
                <w:vertAlign w:val="superscript"/>
              </w:rPr>
              <w:t>4</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6E9BB2EA" w14:textId="4E7BB9BA" w:rsidR="00CD5CE4" w:rsidRPr="00131373" w:rsidRDefault="00116234" w:rsidP="00485C7C">
            <w:pPr>
              <w:jc w:val="center"/>
              <w:rPr>
                <w:color w:val="000000"/>
                <w:sz w:val="15"/>
                <w:szCs w:val="15"/>
              </w:rPr>
            </w:pPr>
            <w:r w:rsidRPr="00131373">
              <w:rPr>
                <w:color w:val="000000"/>
                <w:sz w:val="15"/>
                <w:szCs w:val="15"/>
              </w:rPr>
              <w:t>Comparative</w:t>
            </w:r>
          </w:p>
        </w:tc>
        <w:tc>
          <w:tcPr>
            <w:tcW w:w="992" w:type="dxa"/>
            <w:tcBorders>
              <w:top w:val="nil"/>
              <w:left w:val="nil"/>
              <w:bottom w:val="single" w:sz="4" w:space="0" w:color="000000"/>
              <w:right w:val="single" w:sz="4" w:space="0" w:color="000000"/>
            </w:tcBorders>
            <w:noWrap/>
            <w:vAlign w:val="center"/>
          </w:tcPr>
          <w:p w14:paraId="662B9EE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27B494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EB5ED7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46410E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DE92E8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25A9FAB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0504B91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213E7DE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7571D89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2B901857" w14:textId="77777777" w:rsidR="00CD5CE4" w:rsidRPr="00131373" w:rsidRDefault="00CD5CE4"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52028DA8" w14:textId="1E2CF1F4" w:rsidR="00CD5CE4" w:rsidRPr="00131373" w:rsidRDefault="00AA7D9A" w:rsidP="00485C7C">
            <w:pPr>
              <w:jc w:val="center"/>
              <w:rPr>
                <w:color w:val="000000"/>
                <w:sz w:val="15"/>
                <w:szCs w:val="15"/>
              </w:rPr>
            </w:pPr>
            <w:r>
              <w:rPr>
                <w:color w:val="000000"/>
                <w:sz w:val="15"/>
                <w:szCs w:val="15"/>
              </w:rPr>
              <w:t>High</w:t>
            </w:r>
          </w:p>
        </w:tc>
      </w:tr>
      <w:tr w:rsidR="00CD5CE4" w:rsidRPr="00131373" w14:paraId="4AECC7AF"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11C7AF85" w14:textId="0DDD3B02" w:rsidR="00CD5CE4" w:rsidRPr="00131373" w:rsidRDefault="00CD5CE4" w:rsidP="00F72FC0">
            <w:pPr>
              <w:jc w:val="center"/>
              <w:rPr>
                <w:color w:val="000000"/>
                <w:sz w:val="15"/>
                <w:szCs w:val="15"/>
              </w:rPr>
            </w:pPr>
            <w:proofErr w:type="spellStart"/>
            <w:r w:rsidRPr="00131373">
              <w:rPr>
                <w:color w:val="000000"/>
                <w:sz w:val="15"/>
                <w:szCs w:val="15"/>
              </w:rPr>
              <w:t>Elkhayat</w:t>
            </w:r>
            <w:proofErr w:type="spellEnd"/>
            <w:r w:rsidRPr="00131373">
              <w:rPr>
                <w:color w:val="000000"/>
                <w:sz w:val="15"/>
                <w:szCs w:val="15"/>
              </w:rPr>
              <w:t xml:space="preserve"> et al. (2023)</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{"citationID":"mI2yvB6f","properties":{"formattedCitation":"\\super 5\\nosupersub{}","plainCitation":"5","noteIndex":0},"citationItems":[{"id":1585,"uris":["http://zotero.org/users/5317696/items/7TL84UP3"],"itemData":{"id":1585,"type":"article-journal","abstract":"Objectives: We aimed to investigate the clinical usefulness of Mac-2-binding protein glycosylation isomer (M2BPGi) in liver ﬁbrosis assessment within patients with chronic hepatitis C virus (HCV) at baseline and after direct-acting antiviral agent therapy.\nBackground: Considering ﬁbrogenesis underlies various clinical outcomes in chronic hepatitis C-infected patients as decompensated liver disease and hepatocellular carcinoma, besides affecting the prognosis, it is critical to estimate the liver ﬁbrosis extent within them. Patients and methods: A total of 200 participants were included: 100 HCV-infected patients receiving direct-acting antiviral agent in addition to 100 healthy participants as controls. Clinical, laboratory (complete blood count, liver and kidney functions, HCV reverse transcription PCR, and quantitative assessment of serum M2BPGi by enzyme-linked immunosorbent assay), and FibroScan examination were performed at baseline, end of therapy, and 3 and 6 months after treatment. Child and model for end-stage liver disease scores were calculated.\nResults: Serum M2BPGi had considerable higher levels in HCV patient group than controls (P &lt; 0.001). Baseline higher M2BPGi levels were associated with increasing liver ﬁbrosis; the highest values were observed in FibroScan-evidence cirrhotic patients and patients with Fibrosis-4 Index more than 3.25. Serum M2BPGi signiﬁcantly improved at SVR24 compared with baseline values (P &lt; 0.001). Baseline and SVR24 serum M2BPGi had signiﬁcant positive correlations with FibroScan value (r ¼ 0.614, P &lt; 0.001, and r ¼ 0.377, P &lt; 0.001, respectively), and with Fibrosis-4 Index (r ¼ 0.237, P ¼ 0.019, and r ¼ 0.0.207, P ¼ 0.041, respectively), with considerable negative correlations with serum albumin (r ¼ ¡0.347, P &lt; 0.001, and r ¼ ¡0.202, P ¼ 0.046, respectively). Receiver operating characteristic curve analysis showed good performance of M2BPGi in differentiating different ﬁbrosis stages and in predicting HCV-infected patients who showed regression of ﬁbrosis stage to F0.\nConclusion: Serum M2BPGi as a good (diagnostic and prognostic) noninvasive marker of liver ﬁbrosis that could be used for assessment of HCV-infected patients.","container-title":"Menoufia Medical Journal","DOI":"10.59204/2314-6788.1095","ISSN":"2314-6788","issue":"2","journalAbbreviation":"Menoufia Medical Journal","language":"en","source":"DOI.org (Crossref)","title":"Role of Mac-2-binding protein glycosylation isomer in assessment of liver fibrosis in patients with chronic hepatitis C virus receiving direct-acting antiviral agents","URL":"https://www.menoufia-med-j.com/journal/vol36/iss2/23","volume":"36","author":[{"family":"Elkhayat","given":"Mohsen"},{"family":"Lehleh","given":"Ayman El"},{"family":"Aboelkhair","given":"Noran T."},{"family":"Abozeid","given":"Mai"},{"family":"Shahin","given":"Hadeer A."},{"family":"Elabd","given":"Naglaa S."}],"accessed":{"date-parts":[["2025",5,15]]},"issued":{"date-parts":[["2023",9,8]]}}}],"schema":"https://github.com/citation-style-language/schema/raw/master/csl-citation.json"} </w:instrText>
            </w:r>
            <w:r w:rsidR="00AD7F66">
              <w:rPr>
                <w:color w:val="000000"/>
                <w:sz w:val="15"/>
                <w:szCs w:val="15"/>
              </w:rPr>
              <w:fldChar w:fldCharType="separate"/>
            </w:r>
            <w:r w:rsidR="00AD7F66" w:rsidRPr="00AD7F66">
              <w:rPr>
                <w:sz w:val="15"/>
                <w:vertAlign w:val="superscript"/>
              </w:rPr>
              <w:t>5</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34A548E0" w14:textId="6DE91C25" w:rsidR="00CD5CE4" w:rsidRPr="00131373" w:rsidRDefault="00116234" w:rsidP="00485C7C">
            <w:pPr>
              <w:jc w:val="center"/>
              <w:rPr>
                <w:color w:val="000000"/>
                <w:sz w:val="15"/>
                <w:szCs w:val="15"/>
              </w:rPr>
            </w:pPr>
            <w:r w:rsidRPr="00131373">
              <w:rPr>
                <w:color w:val="000000"/>
                <w:sz w:val="15"/>
                <w:szCs w:val="15"/>
              </w:rPr>
              <w:t>Prospective Case Control</w:t>
            </w:r>
          </w:p>
        </w:tc>
        <w:tc>
          <w:tcPr>
            <w:tcW w:w="992" w:type="dxa"/>
            <w:tcBorders>
              <w:top w:val="nil"/>
              <w:left w:val="nil"/>
              <w:bottom w:val="single" w:sz="4" w:space="0" w:color="000000"/>
              <w:right w:val="single" w:sz="4" w:space="0" w:color="000000"/>
            </w:tcBorders>
            <w:noWrap/>
            <w:vAlign w:val="center"/>
          </w:tcPr>
          <w:p w14:paraId="43E97EC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FB0B9F5"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9DAD1E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AB38C5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51AF3D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160A497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23B12E7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5F4FD1E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1434B33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44CBD0BF"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5A13F6B8" w14:textId="3D4AD0F8" w:rsidR="00CD5CE4" w:rsidRPr="00131373" w:rsidRDefault="00AA7D9A" w:rsidP="00485C7C">
            <w:pPr>
              <w:jc w:val="center"/>
              <w:rPr>
                <w:color w:val="000000"/>
                <w:sz w:val="15"/>
                <w:szCs w:val="15"/>
              </w:rPr>
            </w:pPr>
            <w:r>
              <w:rPr>
                <w:color w:val="000000"/>
                <w:sz w:val="15"/>
                <w:szCs w:val="15"/>
              </w:rPr>
              <w:t>High</w:t>
            </w:r>
          </w:p>
        </w:tc>
      </w:tr>
      <w:tr w:rsidR="00CD5CE4" w:rsidRPr="00131373" w14:paraId="4DFF9F76"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63F357A6" w14:textId="73265F36" w:rsidR="00CD5CE4" w:rsidRPr="00131373" w:rsidRDefault="00CD5CE4" w:rsidP="00F72FC0">
            <w:pPr>
              <w:jc w:val="center"/>
              <w:rPr>
                <w:color w:val="000000"/>
                <w:sz w:val="15"/>
                <w:szCs w:val="15"/>
              </w:rPr>
            </w:pPr>
            <w:r w:rsidRPr="00131373">
              <w:rPr>
                <w:color w:val="000000"/>
                <w:sz w:val="15"/>
                <w:szCs w:val="15"/>
              </w:rPr>
              <w:t>Mohammed et al. (2021)</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{"citationID":"UOqm9R3C","properties":{"formattedCitation":"\\super 6\\nosupersub{}","plainCitation":"6","noteIndex":0},"citationItems":[{"id":1584,"uris":["http://zotero.org/users/5317696/items/N5VIEFKA"],"itemData":{"id":1584,"type":"article-journal","abstract":"Methods study: A total of 50 Egyptian chronic HCV patients eligible for treatment with DAAs were enrolled in this prospective study. All subjects selected from Virology Unit of Tropical Medicine Department, Faculty of Medicine, BeniSuef University received DAAs (SOV DCV) the endpoint was a sustained virologic response at 12 (SVR12) weeks posttreatment. All participants were evaluated non-invasively by Liver Stiffness Measurement (LSM) by Fibro Scan before DAAs treatment, and 6 months post-treatment.\nResults: SVR achieved by DAAs therapy was 96 % and was associated with significant improvement (p ˂0.05) of noninvasive fibrosis markers (FIB-4, APRI score, and LSM by Fibro Scan) from baseline compared to 6 months posttreatment. Using fibro scan regression of fibrosis in 30/45 patients (66%). Liver inflammation and synthetic functions also improved on follow up 12w and 6m post treatment.\nConclusion: Regression of Liver inflammation and fibrosis in chronic hepatitis C patients post treatment with SOF DCV","container-title":"World Journal of Advanced Research and Reviews","DOI":"10.30574/wjarr.2021.10.2.0213","ISSN":"25819615","issue":"2","journalAbbreviation":"World J. Adv. Res. Rev.","language":"en","page":"135-145","source":"DOI.org (Crossref)","title":"Study of the effect of direct acting antivirals (DAAs) on fibrosis in chronic hepatitis C patients using transient elastography","URL":"https://wjarr.com/content/study-effect-direct-acting-antivirals-daas-fibrosis-chronic-hepatitis-c-patients-using","volume":"10","author":[{"literal":"Alaa Aboud Mohammed"},{"literal":"Dina Attia"},{"literal":"Basel Abdelmonem Ebeid"},{"literal":"Mariam Boulous Ibrahim"}],"accessed":{"date-parts":[["2025",5,15]]},"issued":{"date-parts":[["2021",5,30]]}}}],"schema":"https://github.com/citation-style-language/schema/raw/master/csl-citation.json"} </w:instrText>
            </w:r>
            <w:r w:rsidR="00AD7F66">
              <w:rPr>
                <w:color w:val="000000"/>
                <w:sz w:val="15"/>
                <w:szCs w:val="15"/>
              </w:rPr>
              <w:fldChar w:fldCharType="separate"/>
            </w:r>
            <w:r w:rsidR="00AD7F66" w:rsidRPr="00AD7F66">
              <w:rPr>
                <w:sz w:val="15"/>
                <w:vertAlign w:val="superscript"/>
              </w:rPr>
              <w:t>6</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097660FC" w14:textId="799D75A5" w:rsidR="00CD5CE4" w:rsidRPr="00131373" w:rsidRDefault="00116234"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1D7369A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FAA12A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A9A4D5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3C96A15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9B8FF3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923D50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7EB0EEC5"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64C4EB5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7186028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3D1D157F"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1FCE7232" w14:textId="7A3F7DD3" w:rsidR="00CD5CE4" w:rsidRPr="00131373" w:rsidRDefault="00AA7D9A" w:rsidP="00485C7C">
            <w:pPr>
              <w:jc w:val="center"/>
              <w:rPr>
                <w:color w:val="000000"/>
                <w:sz w:val="15"/>
                <w:szCs w:val="15"/>
              </w:rPr>
            </w:pPr>
            <w:r>
              <w:rPr>
                <w:color w:val="000000"/>
                <w:sz w:val="15"/>
                <w:szCs w:val="15"/>
              </w:rPr>
              <w:t>High</w:t>
            </w:r>
          </w:p>
        </w:tc>
      </w:tr>
      <w:tr w:rsidR="00CD5CE4" w:rsidRPr="00131373" w14:paraId="7383C0BB"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14D0ED11" w14:textId="7F77719F" w:rsidR="00CD5CE4" w:rsidRPr="00131373" w:rsidRDefault="00CD5CE4" w:rsidP="00F72FC0">
            <w:pPr>
              <w:jc w:val="center"/>
              <w:rPr>
                <w:color w:val="000000"/>
                <w:sz w:val="15"/>
                <w:szCs w:val="15"/>
              </w:rPr>
            </w:pPr>
            <w:proofErr w:type="spellStart"/>
            <w:r w:rsidRPr="00131373">
              <w:rPr>
                <w:color w:val="000000"/>
                <w:sz w:val="15"/>
                <w:szCs w:val="15"/>
              </w:rPr>
              <w:t>Anancheunsook</w:t>
            </w:r>
            <w:proofErr w:type="spellEnd"/>
            <w:r w:rsidRPr="00131373">
              <w:rPr>
                <w:color w:val="000000"/>
                <w:sz w:val="15"/>
                <w:szCs w:val="15"/>
              </w:rPr>
              <w:t xml:space="preserve"> et al. (2022)</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{"citationID":"mOq75Q8P","properties":{"formattedCitation":"\\super 7\\nosupersub{}","plainCitation":"7","noteIndex":0},"citationItems":[{"id":3824,"uris":["http://zotero.org/users/5317696/items/VH9FUDMP","http://zotero.org/users/5317696/items/J8HLTXFE"],"itemData":{"id":3824,"type":"article-journal","container-title":"Gastroenterology","DOI":"10.1016/S0016-5085(22)60041-6","ISSN":"0016-5085, 1528-0012","issue":"7","journalAbbreviation":"Gastroenterology","language":"English","license":"https://www.elsevier.com/tdm/userlicense/1.0/","page":"S","publisher":"Elsevier","source":"www.gastrojournal.org","title":"98: POST-TREATMENT ASSESSMENT OF LIVER STIFFNESS PREDICTS LIVER-RELATED COMPLICATIONS AND HEPATOCELLULAR CARCINOMA DEVELOPMENT FOLLOWING VIRAL ERADICATION WITH DIRECT-ACTING ANTIVIRAL IN PATIENTS WITH HEPATITIS C VIRUS INFECTION","title-short":"98","URL":"https://www.gastrojournal.org/article/S0016-5085(22)60041-6/fulltext","volume":"162","author":[{"family":"Anancheunsook","given":"Prooksa"},{"family":"Sriphoosanaphan","given":"Supachaya"},{"family":"Treeprasertsuk","given":"Sombat"},{"family":"Komolmitr","given":"Piyawat"},{"family":"Thanapirom","given":"Kessarin"}],"accessed":{"date-parts":[["2026",4,15]]},"issued":{"date-parts":[["2022",5,1]]}}}],"schema":"https://github.com/citation-style-language/schema/raw/master/csl-citation.json"} </w:instrText>
            </w:r>
            <w:r w:rsidR="00AD7F66">
              <w:rPr>
                <w:color w:val="000000"/>
                <w:sz w:val="15"/>
                <w:szCs w:val="15"/>
              </w:rPr>
              <w:fldChar w:fldCharType="separate"/>
            </w:r>
            <w:r w:rsidR="00AD7F66" w:rsidRPr="00AD7F66">
              <w:rPr>
                <w:sz w:val="15"/>
                <w:vertAlign w:val="superscript"/>
              </w:rPr>
              <w:t>7</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2E236025" w14:textId="04B6E749" w:rsidR="00CD5CE4" w:rsidRPr="00131373" w:rsidRDefault="00116234"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1E2C436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322D01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0994C32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2B0F00F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9A3CE4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1C2C700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4" w:space="0" w:color="000000"/>
            </w:tcBorders>
            <w:noWrap/>
            <w:vAlign w:val="center"/>
          </w:tcPr>
          <w:p w14:paraId="6FD1887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546E111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1D930FA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2DCC4127" w14:textId="77777777" w:rsidR="00CD5CE4" w:rsidRPr="00131373" w:rsidRDefault="00CD5CE4"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0FEC3396" w14:textId="70CB0FA5" w:rsidR="00CD5CE4" w:rsidRPr="00131373" w:rsidRDefault="00AA7D9A" w:rsidP="00485C7C">
            <w:pPr>
              <w:jc w:val="center"/>
              <w:rPr>
                <w:color w:val="000000"/>
                <w:sz w:val="15"/>
                <w:szCs w:val="15"/>
              </w:rPr>
            </w:pPr>
            <w:r>
              <w:rPr>
                <w:color w:val="000000"/>
                <w:sz w:val="15"/>
                <w:szCs w:val="15"/>
              </w:rPr>
              <w:t>High</w:t>
            </w:r>
          </w:p>
        </w:tc>
      </w:tr>
      <w:tr w:rsidR="00CD5CE4" w:rsidRPr="00131373" w14:paraId="16FFFD39"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430FAC80" w14:textId="1738A3A8" w:rsidR="00CD5CE4" w:rsidRPr="00131373" w:rsidRDefault="00CD5CE4" w:rsidP="00F72FC0">
            <w:pPr>
              <w:jc w:val="center"/>
              <w:rPr>
                <w:color w:val="000000"/>
                <w:sz w:val="15"/>
                <w:szCs w:val="15"/>
              </w:rPr>
            </w:pPr>
            <w:r w:rsidRPr="00131373">
              <w:rPr>
                <w:color w:val="000000"/>
                <w:sz w:val="15"/>
                <w:szCs w:val="15"/>
              </w:rPr>
              <w:t>Malik et al. (2022)</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{"citationID":"McTz7zJv","properties":{"formattedCitation":"\\super 8\\nosupersub{}","plainCitation":"8","noteIndex":0},"citationItems":[{"id":1657,"uris":["http://zotero.org/users/5317696/items/ZR5AB787"],"itemData":{"id":1657,"type":"thesis","abstract":"Background: In low- and middle-income countries (LMICs), hepatitis C virus (HCV) treatment uptake is increasing given availability of generic highly effective direct-acting antiviral (DAA) therapies. To optimise post-treatment cirrhosis surveillance in resource-limited settings, there is a need to identify people who remain at risk of liver disease progression after DAA cure. Methods: The ‘Enhancing hepatitis C linkage to care’ (ENHANCE) study was a single-arm nonrandomized intervention study that took place in Tehran, Iran in 2018–2020 with the aim of increasing HCV treatment uptake among people who use drugs (PWUDs). HCV FibroScan®, a noninvasive technique of liver stiffness measurement using transient elastography, was used to measure liver fibrosis. This sub-study includes those who received 24 weeks of DAA therapy and had FibroScan® performed before treatment initiation and 12 weeks after end of treatment. Between the two time points, significant fibrosis regression was assessed on the basis absolute and percent change in liver stiffness as well as a &gt; 30% reduction in liver fibrosis. Findings: The primary study population comprised 201 (19%) people who had HCV. Of the individuals who had HCV, 39 (19%) received 24 weeks of DAA therapy. After exclusion of those with incomplete data, 22 participants were included in the analysis of fibrosis regression, less than half (45%, n = 10) of whom had significant fibrosis regression after treatment. In the unadjusted analysis, pre-treatment fibrosis score was the strongest predictor of post-DAA fibrosis regression (regression coefficient -0.89, 95% CI -1.74, -0.04, P 0.039) Interpretation: Degree of fibrosis regression is related to the severity of baseline fibrosis. As people with high fibrosis are at an elevated risk of liver-related morbidity and mortality, baseline data can be used for the identification of these people for post-cure follow-up. This can help optimise the limited resources of LMICs which are insufficient to maintain follow-up of all individuals.","DOI":"10.25949/20399262.v1","genre":"thesis","language":"en","publisher":"Macquarie University","source":"figshare.mq.edu.au","title":"Hepatitis C-related liver-fibrosis regression after direct-acting antiviral therapy","URL":"https://figshare.mq.edu.au/articles/thesis/Hepatitis_C-related_liver-fibrosis_regression_after_direct-acting_antiviral_therapy/20399262/1","author":[{"family":"Malik","given":"Muhammad Qasim"}],"accessed":{"date-parts":[["2025",8,21]]},"issued":{"date-parts":[["2022",7,28]]}}}],"schema":"https://github.com/citation-style-language/schema/raw/master/csl-citation.json"} </w:instrText>
            </w:r>
            <w:r w:rsidR="00AD7F66">
              <w:rPr>
                <w:color w:val="000000"/>
                <w:sz w:val="15"/>
                <w:szCs w:val="15"/>
              </w:rPr>
              <w:fldChar w:fldCharType="separate"/>
            </w:r>
            <w:r w:rsidR="00B56B1A" w:rsidRPr="00B56B1A">
              <w:rPr>
                <w:sz w:val="15"/>
                <w:vertAlign w:val="superscript"/>
              </w:rPr>
              <w:t>8</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4B599426" w14:textId="4D3B963A" w:rsidR="00CD5CE4" w:rsidRPr="00131373" w:rsidRDefault="00F75BC0" w:rsidP="00485C7C">
            <w:pPr>
              <w:jc w:val="center"/>
              <w:rPr>
                <w:color w:val="000000"/>
                <w:sz w:val="15"/>
                <w:szCs w:val="15"/>
              </w:rPr>
            </w:pPr>
            <w:r w:rsidRPr="00131373">
              <w:rPr>
                <w:color w:val="000000"/>
                <w:sz w:val="15"/>
                <w:szCs w:val="15"/>
              </w:rPr>
              <w:t xml:space="preserve">Secondary Analysis of </w:t>
            </w:r>
            <w:r w:rsidR="00CD5CE4" w:rsidRPr="00131373">
              <w:rPr>
                <w:color w:val="000000"/>
                <w:sz w:val="15"/>
                <w:szCs w:val="15"/>
              </w:rPr>
              <w:t>Cohort</w:t>
            </w:r>
          </w:p>
        </w:tc>
        <w:tc>
          <w:tcPr>
            <w:tcW w:w="992" w:type="dxa"/>
            <w:tcBorders>
              <w:top w:val="nil"/>
              <w:left w:val="nil"/>
              <w:bottom w:val="single" w:sz="4" w:space="0" w:color="000000"/>
              <w:right w:val="single" w:sz="4" w:space="0" w:color="000000"/>
            </w:tcBorders>
            <w:noWrap/>
            <w:vAlign w:val="center"/>
          </w:tcPr>
          <w:p w14:paraId="469553F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9C3F71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1DEBE41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7D99DD9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2D682C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A65056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208D483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6717385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00DA73A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85" w:type="dxa"/>
            <w:tcBorders>
              <w:top w:val="nil"/>
              <w:left w:val="nil"/>
              <w:bottom w:val="single" w:sz="4" w:space="0" w:color="000000"/>
              <w:right w:val="single" w:sz="8" w:space="0" w:color="000000"/>
            </w:tcBorders>
            <w:noWrap/>
            <w:vAlign w:val="center"/>
          </w:tcPr>
          <w:p w14:paraId="57945B2F" w14:textId="77777777" w:rsidR="00CD5CE4" w:rsidRPr="00131373" w:rsidRDefault="00CD5CE4" w:rsidP="00485C7C">
            <w:pPr>
              <w:jc w:val="center"/>
              <w:rPr>
                <w:color w:val="000000"/>
                <w:sz w:val="15"/>
                <w:szCs w:val="15"/>
              </w:rPr>
            </w:pPr>
            <w:r w:rsidRPr="00131373">
              <w:rPr>
                <w:color w:val="000000"/>
                <w:sz w:val="15"/>
                <w:szCs w:val="15"/>
              </w:rPr>
              <w:t>6</w:t>
            </w:r>
          </w:p>
        </w:tc>
        <w:tc>
          <w:tcPr>
            <w:tcW w:w="1355" w:type="dxa"/>
            <w:tcBorders>
              <w:top w:val="nil"/>
              <w:left w:val="nil"/>
              <w:bottom w:val="single" w:sz="4" w:space="0" w:color="000000"/>
              <w:right w:val="single" w:sz="8" w:space="0" w:color="auto"/>
            </w:tcBorders>
            <w:noWrap/>
            <w:vAlign w:val="center"/>
          </w:tcPr>
          <w:p w14:paraId="717B01C6" w14:textId="77777777" w:rsidR="00CD5CE4" w:rsidRPr="00131373" w:rsidRDefault="00CD5CE4" w:rsidP="00485C7C">
            <w:pPr>
              <w:jc w:val="center"/>
              <w:rPr>
                <w:color w:val="000000"/>
                <w:sz w:val="15"/>
                <w:szCs w:val="15"/>
              </w:rPr>
            </w:pPr>
            <w:r w:rsidRPr="00131373">
              <w:rPr>
                <w:color w:val="000000"/>
                <w:sz w:val="15"/>
                <w:szCs w:val="15"/>
              </w:rPr>
              <w:t>Moderate</w:t>
            </w:r>
          </w:p>
        </w:tc>
      </w:tr>
      <w:tr w:rsidR="00CD5CE4" w:rsidRPr="00131373" w14:paraId="5C88D7FA"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683C0DF4" w14:textId="240795F2" w:rsidR="00CD5CE4" w:rsidRPr="00131373" w:rsidRDefault="00CD5CE4" w:rsidP="00F72FC0">
            <w:pPr>
              <w:jc w:val="center"/>
              <w:rPr>
                <w:color w:val="000000"/>
                <w:sz w:val="15"/>
                <w:szCs w:val="15"/>
              </w:rPr>
            </w:pPr>
            <w:proofErr w:type="spellStart"/>
            <w:r w:rsidRPr="00131373">
              <w:rPr>
                <w:color w:val="000000"/>
                <w:sz w:val="15"/>
                <w:szCs w:val="15"/>
              </w:rPr>
              <w:t>Elfiki</w:t>
            </w:r>
            <w:proofErr w:type="spellEnd"/>
            <w:r w:rsidRPr="00131373">
              <w:rPr>
                <w:color w:val="000000"/>
                <w:sz w:val="15"/>
                <w:szCs w:val="15"/>
              </w:rPr>
              <w:t xml:space="preserve"> et al. (2021)</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{"citationID":"PiUd9viA","properties":{"formattedCitation":"\\super 9\\nosupersub{}","plainCitation":"9","noteIndex":0},"citationItems":[{"id":1583,"uris":["http://zotero.org/users/5317696/items/9UPYVJSX"],"itemData":{"id":1583,"type":"article-journal","abstract":"Hepatitis C Virus (HCV) is a major health care concern worldwide. Egypt shows the highest worldwide HCV prevalence. Fibrosis progression is common in HCV and it is the most important prognostic factor in chronic HCV patients. The aim of this study was to investigate changes in some parameters of liver fibrosis progression after successful HCV eradication by direct acting antiviral (DAA) therapy in Egyptian patients. The study included 100 chronic HCV patients. liver stiffness measurement (LSM) was obtained by Transient elastography (TE) or Fibroscan before starting DAA treatment, after the end of 12 weeks of treatment and after achieving sustained virologic response12 (SVR12). Based on baseline LSM, patients were stratified into F2, F3 and F4 groups (METAVIR), F0-F1 patients were excluded. LSM and laboratory data after the end of treatment and after achieving SVR12 was compared with that baseline values in each fibrosis group. Following DAA treatment, all patients achieved SVR12. Mean baseline LSM dropped from 13.5 to 10.1 (kPa) post SVR12; the maximum change occurred in F2 patients 84.3% versus 84.2%, 43.3% in F3, and F4 patients respectively (p&lt;0.001). At baseline, 30 patients were in the F4 group; only 11 patients (43.3%) regressed to noncirrhotic range (&lt;12.5 kPa), while 19 patients (56.7%) were still cirrhotic despite achieving SVR12 (p&lt;0.001). Patients showed significant improvement in platelets count and decreased ALT enzyme levels after achieving SVR12 (p&lt;0.001). So, successful eradication of HCV results in significant LSM improvement; the best improvement occurs in F2 and F3 patients.","container-title":"Bulletin of Egyptian Society for Physiological Sciences","DOI":"10.21608/BESPS.2020.30677.1061","ISSN":"2356-9514","issue":"2","journalAbbreviation":"BESPS","language":"en","page":"203-219","source":"DOI.org (Crossref)","title":"The Effect of Direct Acting Antiviral Therapy for Hepatitis C- Virus Infected Egyptian Patients on Changes in the Parameters of Liver Fibrosis Progression","URL":"https://besps.journals.ekb.eg/article_138895.html","volume":"41","author":[{"family":"Elfiki","given":"Mohamed"},{"family":"Farid","given":"Mahmoud"},{"family":"Soliman","given":"Ayman"},{"family":"Ibrahim","given":"Bishoy"}],"accessed":{"date-parts":[["2025",5,15]]},"issued":{"date-parts":[["2021",4,1]]}}}],"schema":"https://github.com/citation-style-language/schema/raw/master/csl-citation.json"} </w:instrText>
            </w:r>
            <w:r w:rsidR="00AD7F66">
              <w:rPr>
                <w:color w:val="000000"/>
                <w:sz w:val="15"/>
                <w:szCs w:val="15"/>
              </w:rPr>
              <w:fldChar w:fldCharType="separate"/>
            </w:r>
            <w:r w:rsidR="00AD7F66" w:rsidRPr="00AD7F66">
              <w:rPr>
                <w:sz w:val="15"/>
                <w:vertAlign w:val="superscript"/>
              </w:rPr>
              <w:t>9</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62F0292C" w14:textId="3DB59C17"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32686D8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B3EA72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5D9ED46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3147B32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6B0FEC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F2A7AF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4BBD61A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3B58156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3D3A63D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041605C2"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5BE7893D" w14:textId="392420DB" w:rsidR="00CD5CE4" w:rsidRPr="00131373" w:rsidRDefault="00AA7D9A" w:rsidP="00485C7C">
            <w:pPr>
              <w:jc w:val="center"/>
              <w:rPr>
                <w:color w:val="000000"/>
                <w:sz w:val="15"/>
                <w:szCs w:val="15"/>
              </w:rPr>
            </w:pPr>
            <w:r>
              <w:rPr>
                <w:color w:val="000000"/>
                <w:sz w:val="15"/>
                <w:szCs w:val="15"/>
              </w:rPr>
              <w:t>High</w:t>
            </w:r>
          </w:p>
        </w:tc>
      </w:tr>
      <w:tr w:rsidR="00CD5CE4" w:rsidRPr="00131373" w14:paraId="1BE6E845"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0F307943" w14:textId="718C214F" w:rsidR="00CD5CE4" w:rsidRPr="00131373" w:rsidRDefault="00CD5CE4" w:rsidP="00F72FC0">
            <w:pPr>
              <w:jc w:val="center"/>
              <w:rPr>
                <w:color w:val="000000"/>
                <w:sz w:val="15"/>
                <w:szCs w:val="15"/>
              </w:rPr>
            </w:pPr>
            <w:proofErr w:type="spellStart"/>
            <w:r w:rsidRPr="00131373">
              <w:rPr>
                <w:color w:val="000000"/>
                <w:sz w:val="15"/>
                <w:szCs w:val="15"/>
              </w:rPr>
              <w:t>Cespiati</w:t>
            </w:r>
            <w:proofErr w:type="spellEnd"/>
            <w:r w:rsidRPr="00131373">
              <w:rPr>
                <w:color w:val="000000"/>
                <w:sz w:val="15"/>
                <w:szCs w:val="15"/>
              </w:rPr>
              <w:t xml:space="preserve"> et al. (2021)</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{"citationID":"2JRgXrEN","properties":{"formattedCitation":"\\super 10\\nosupersub{}","plainCitation":"10","noteIndex":0},"citationItems":[{"id":1582,"uris":["http://zotero.org/users/5317696/items/FVJH3SAR"],"itemData":{"id":1582,"type":"article-journal","abstract":"Introduction: In patients with chronic hepatitis C (CHC) presence of steatosis before and after sustained virological response (SVR) has been demonstrated. A multifaceted behavior of hepatic steatosis has been related with metabolic alterations. Aim: to deﬁne the impact of post SVR steatosis on ﬁbrosis improvement evaluated with Fibroscan in CHC patients after viral eradication by DAAs.\nMethods: 794 patients with CHC who achieved SVR, referring to 2 Italian Liver Units were enrolled. Data were collected the day of DAAs starting and six months after SVR. Fibroscan deﬁned the presence of steatosis (by controlled attenuation parameter (CAP) ≥ 248 dB/m) and ﬁbrosis (by liver stiffness measurement LSM).\nResults: Mean age was 64±16 ys, 50% males, genotype 1 in 73%, genotype 3 in 7%. Mean CAP and LSM values at baseline were 244±60 dB/m and 10±7.6 kPa. Patients with baseline steatosis 365 (46%) presented signiﬁcantly higher baseline LSM values compared to their counterpart (10.6±7.8 vs 9.4±7.4 kPa; p=0.04). New onset steatosis (CAP ≥ 248 dB/m) after SVR developed in 125 out of 429 (29%) without steatosis at enrollment, persistent steatosis in 243/365 (66%). LSM signiﬁcantly reduced after SVR (10±7.6 vs 8.2±7.2 kPa, p&lt;0.001), even in presence of hepatic steatosis post SVR (10.3±7.3 vs 8.2±6.6 kPa; p&lt;0.001). However, when the analysis was differentiated between patients with persistence and new onset steatosis, a signiﬁcantly reduction of LSM in patients with persistence (10.8±7.8 vs 8.0±5.7 kPa, p&lt;0.001) but not in those with new onset steatosis (9.4±6.4 vs 8.7±8.0 kPa, p=0.12) was conﬁrmed.\nConclusion: New onset steatosis but not persistence of baseline steatosis prevents ﬁbrosis improvement after SVR, possibly because of a combined action of acute inﬂammation and metabolic alterations. Our ﬁnding may suggest the presence of two different type of post SVR steatosis. Further studies are warranted to better elucidate differences between entities.","container-title":"Digestive and Liver Disease","DOI":"10.1016/j.dld.2020.12.044","ISSN":"15908658","journalAbbreviation":"Digestive and Liver Disease","language":"en","license":"https://www.elsevier.com/tdm/userlicense/1.0/","page":"S16","source":"DOI.org (Crossref)","title":"New onset steatosis but not persistent steatosis prevents hepatic fibrosis improvement after viral eradication by direct-acting antiviral therapy (DAAs) in patients with chronic hepatitis C: Evaluation by controlled attenuation parameter (CAP) and liver stiffness measurement LSM","title-short":"New onset steatosis but not persistent steatosis prevents hepatic fibrosis improvement after viral eradication by direct-acting antiviral therapy (DAAs) in patients with chronic hepatitis C","URL":"https://linkinghub.elsevier.com/retrieve/pii/S1590865820311257","volume":"53","author":[{"family":"Cespiati","given":"A."},{"family":"Petta","given":"S."},{"family":"Lombardi","given":"R."},{"family":"Di Marco","given":"V."},{"family":"Calvaruso","given":"V."},{"family":"Bertelli","given":"C."},{"family":"Pisano","given":"G."},{"family":"Fatta","given":"E."},{"family":"Sigon","given":"G."},{"family":"Iuculano","given":"F."},{"family":"Crapanzano","given":"L."},{"family":"Gibilaro","given":"G."},{"family":"Francione","given":"P."},{"family":"Craxì","given":"A."},{"family":"Fargion","given":"S."},{"family":"Fracanzani","given":"A.L."}],"accessed":{"date-parts":[["2025",5,15]]},"issued":{"date-parts":[["2021",3]]}}}],"schema":"https://github.com/citation-style-language/schema/raw/master/csl-citation.json"} </w:instrText>
            </w:r>
            <w:r w:rsidR="00AD7F66">
              <w:rPr>
                <w:color w:val="000000"/>
                <w:sz w:val="15"/>
                <w:szCs w:val="15"/>
              </w:rPr>
              <w:fldChar w:fldCharType="separate"/>
            </w:r>
            <w:r w:rsidR="00AD7F66" w:rsidRPr="00AD7F66">
              <w:rPr>
                <w:sz w:val="15"/>
                <w:vertAlign w:val="superscript"/>
              </w:rPr>
              <w:t>10</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51A8C360" w14:textId="6E71723E"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525C110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105A9C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41503E7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3E7A4EE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530BED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A1530C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49FD9FB5"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21E4B2E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5DB1159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6D957C52"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1ACF406A" w14:textId="3A0D4B66" w:rsidR="00CD5CE4" w:rsidRPr="00131373" w:rsidRDefault="00AA7D9A" w:rsidP="00485C7C">
            <w:pPr>
              <w:jc w:val="center"/>
              <w:rPr>
                <w:color w:val="000000"/>
                <w:sz w:val="15"/>
                <w:szCs w:val="15"/>
              </w:rPr>
            </w:pPr>
            <w:r>
              <w:rPr>
                <w:color w:val="000000"/>
                <w:sz w:val="15"/>
                <w:szCs w:val="15"/>
              </w:rPr>
              <w:t>High</w:t>
            </w:r>
          </w:p>
        </w:tc>
      </w:tr>
      <w:tr w:rsidR="00CD5CE4" w:rsidRPr="00131373" w14:paraId="18C0B032"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582E890E" w14:textId="2F52036A" w:rsidR="00CD5CE4" w:rsidRPr="00131373" w:rsidRDefault="00CD5CE4" w:rsidP="00F72FC0">
            <w:pPr>
              <w:jc w:val="center"/>
              <w:rPr>
                <w:color w:val="000000"/>
                <w:sz w:val="15"/>
                <w:szCs w:val="15"/>
              </w:rPr>
            </w:pPr>
            <w:r w:rsidRPr="00131373">
              <w:rPr>
                <w:color w:val="000000"/>
                <w:sz w:val="15"/>
                <w:szCs w:val="15"/>
              </w:rPr>
              <w:t>Lazar et al. (2019)</w:t>
            </w:r>
            <w:r w:rsidR="00AD7F6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{"citationID":"eJYdmzyW","properties":{"formattedCitation":"\\super 11\\nosupersub{}","plainCitation":"11","noteIndex":0},"citationItems":[{"id":1548,"uris":["http://zotero.org/users/5317696/items/UVKVVCEN"],"itemData":{"id":1548,"type":"article-journal","abstract":"Introduction\nLiver stiffness (LS) measurements by Transient Elastography (TE) has been accepted as a tool for fibrosis assessment. The aim of the study was to evaluate what happens with liver stiffness values after DAA (Direct-acting antivirals) therapy, in patients with compensated HCV cirrhosis, who had sustained virologic response (SVR) and to highlight in how many LS values become lower than the accepted cut-off for cirrhosis.\nMaterial &amp; Method\nA number of 167 patients with compensated HCV cirrhosis who had LS &gt; 12 kPa at baseline, underwent a 12 weeks DAA therapy (Viekirax/Exviera) and had SVR. 56 of them were followed up by TE 24 weeks after EOT (end of treatment) and also 48 weeks after EOT (SVR 48). A subgroup of 28 patients were followed up 96 weeks after EOT (SVR 96). LS values were assessed by means of TE (FibroScan, Echosens) at the start of treatment (ST), at SVR 12 (12 weeks from EOT), SVR 24, SVR 48 and SVR 96, respectively. In each session, 10 valid liver stiffness measurements (LSM) were obtained and reliable LSM were defined as median value of 10 measurements with Interquartile range/median (IQR/M) ≤ 30%.\nResults\nLS mean values at SVR12 were significantly lower as compared to ST (16.6 ± 6.87 kPa vs 21.3 ± 8.8, p  =  0.002). As compared to SVR12, at SVR24 the mean LS values remained stable (16.6 ± 6.87 vs 16.9 ± 6.87 kPa, p  =  0.81) and at SVR48 the values continued to decrease, but without statistical significance (14.6 ± 5.3 vs 16.6 ± 6.87 kPa, p  =  0.08). LS was &lt; 12 kPa in 14% of patients at SVR12, in 16% of patients at SVR24 and in 27% patients at SVR48. In the subgroup of 28 patients evaluated at SVR96, the mean LS values decreased significantly as compared to SVR12 (11.6 ± 4.6 vs. 15.5 ± 6.2 kPa, p  =  0.009), and 46% had LS &lt; 12 kPa.\nConclusion\nIn compensated HCV cirrhotic patients, the mean LS values significantly decreased at SVR12, remained stable at SVR24 and decreased at SVR48; 14 % patients had LS values &lt; 12 kPa at SVR12, 16% at SVR 24 and 27% at SVR 48. In the subgroup of patients followed up at SVR96, almost half had LS values lower than 12 kPa.","collection-title":"The 17th World Federation for Ultrasound in Medicine and Biology Congress in 2019","container-title":"Ultrasound in Medicine &amp; Biology","DOI":"10.1016/j.ultrasmedbio.2019.07.386","ISSN":"0301-5629","journalAbbreviation":"Ultrasound in Medicine &amp; Biology","page":"S118","source":"ScienceDirect","title":"How many HCV cirrhotic patients go below cirrhotic cut-off values in transient elastography after direct acting agents treatment?","URL":"https://www.sciencedirect.com/science/article/pii/S0301562919310762","volume":"45","author":[{"family":"Lazar","given":"Alin"},{"family":"Sporea","given":"Ioan"},{"family":"Lupusoru","given":"Raluca"},{"family":"Popescu","given":"Alina"},{"family":"Deleanu","given":"Alexandra"},{"family":"Dan","given":"Isabel"},{"family":"Sirli","given":"Roxana"}],"accessed":{"date-parts":[["2025",5,15]]},"issued":{"date-parts":[["2019",1,1]]}}}],"schema":"https://github.com/citation-style-language/schema/raw/master/csl-citation.json"} </w:instrText>
            </w:r>
            <w:r w:rsidR="00AD7F66">
              <w:rPr>
                <w:color w:val="000000"/>
                <w:sz w:val="15"/>
                <w:szCs w:val="15"/>
              </w:rPr>
              <w:fldChar w:fldCharType="separate"/>
            </w:r>
            <w:r w:rsidR="00AD7F66" w:rsidRPr="00AD7F66">
              <w:rPr>
                <w:sz w:val="15"/>
                <w:vertAlign w:val="superscript"/>
              </w:rPr>
              <w:t>11</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0C4CBB00" w14:textId="13E8D404"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76AEAB7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5F4E47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3EEDD3B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4DF100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C77D25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5BCDF52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0741C77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018CBC0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0F151B3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85" w:type="dxa"/>
            <w:tcBorders>
              <w:top w:val="nil"/>
              <w:left w:val="nil"/>
              <w:bottom w:val="single" w:sz="4" w:space="0" w:color="000000"/>
              <w:right w:val="single" w:sz="8" w:space="0" w:color="000000"/>
            </w:tcBorders>
            <w:noWrap/>
            <w:vAlign w:val="center"/>
          </w:tcPr>
          <w:p w14:paraId="37C14D25" w14:textId="77777777" w:rsidR="00CD5CE4" w:rsidRPr="00131373" w:rsidRDefault="00CD5CE4" w:rsidP="00485C7C">
            <w:pPr>
              <w:jc w:val="center"/>
              <w:rPr>
                <w:color w:val="000000"/>
                <w:sz w:val="15"/>
                <w:szCs w:val="15"/>
              </w:rPr>
            </w:pPr>
            <w:r w:rsidRPr="00131373">
              <w:rPr>
                <w:color w:val="000000"/>
                <w:sz w:val="15"/>
                <w:szCs w:val="15"/>
              </w:rPr>
              <w:t>5</w:t>
            </w:r>
          </w:p>
        </w:tc>
        <w:tc>
          <w:tcPr>
            <w:tcW w:w="1355" w:type="dxa"/>
            <w:tcBorders>
              <w:top w:val="nil"/>
              <w:left w:val="nil"/>
              <w:bottom w:val="single" w:sz="4" w:space="0" w:color="000000"/>
              <w:right w:val="single" w:sz="8" w:space="0" w:color="auto"/>
            </w:tcBorders>
            <w:noWrap/>
            <w:vAlign w:val="center"/>
          </w:tcPr>
          <w:p w14:paraId="0DB94CB7" w14:textId="2EAA93B0" w:rsidR="00CD5CE4" w:rsidRPr="00131373" w:rsidRDefault="00CD5CE4" w:rsidP="00485C7C">
            <w:pPr>
              <w:jc w:val="center"/>
              <w:rPr>
                <w:color w:val="000000"/>
                <w:sz w:val="15"/>
                <w:szCs w:val="15"/>
              </w:rPr>
            </w:pPr>
            <w:r w:rsidRPr="00131373">
              <w:rPr>
                <w:color w:val="000000"/>
                <w:sz w:val="15"/>
                <w:szCs w:val="15"/>
              </w:rPr>
              <w:t>Moderate</w:t>
            </w:r>
          </w:p>
        </w:tc>
      </w:tr>
      <w:tr w:rsidR="00CD5CE4" w:rsidRPr="00131373" w14:paraId="07770552"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73881066" w14:textId="18956F82" w:rsidR="00CD5CE4" w:rsidRPr="00131373" w:rsidRDefault="00CD5CE4" w:rsidP="00F72FC0">
            <w:pPr>
              <w:jc w:val="center"/>
              <w:rPr>
                <w:color w:val="000000"/>
                <w:sz w:val="15"/>
                <w:szCs w:val="15"/>
              </w:rPr>
            </w:pPr>
            <w:r w:rsidRPr="00131373">
              <w:rPr>
                <w:color w:val="000000"/>
                <w:sz w:val="15"/>
                <w:szCs w:val="15"/>
              </w:rPr>
              <w:t>Sporea et al. (2017)</w:t>
            </w:r>
            <w:r w:rsidR="00AD7F66">
              <w:rPr>
                <w:color w:val="000000"/>
                <w:sz w:val="15"/>
                <w:szCs w:val="15"/>
              </w:rPr>
              <w:t xml:space="preserve"> </w:t>
            </w:r>
            <w:r w:rsidR="00C13599">
              <w:rPr>
                <w:color w:val="000000"/>
                <w:sz w:val="15"/>
                <w:szCs w:val="15"/>
              </w:rPr>
              <w:fldChar w:fldCharType="begin"/>
            </w:r>
            <w:r w:rsidR="003758D4">
              <w:rPr>
                <w:color w:val="000000"/>
                <w:sz w:val="15"/>
                <w:szCs w:val="15"/>
              </w:rPr>
              <w:instrText xml:space="preserve"> ADDIN ZOTERO_ITEM CSL_CITATION {"citationID":"2l4cqqLd","properties":{"formattedCitation":"\\super 12\\nosupersub{}","plainCitation":"12","noteIndex":0},"citationItems":[{"id":1663,"uris":["http://zotero.org/users/5317696/items/NW7KGXWB"],"itemData":{"id":1663,"type":"article-journal","container-title":"Ultrasound in Medicine and Biology","DOI":"10.1016/j.ultrasmedbio.2017.08.1255","ISSN":"0301-5629, 1879-291X","journalAbbreviation":"Ultrasound in Medicine and Biology","language":"English","page":"S93-S94","publisher":"Elsevier","source":"www.umbjournal.org","title":"What Happened with Liver Stiffness Values Assessed by Means of Transient Elastography in Patients with HCV Liver Cirrhosis after DAA Treatment","URL":"https://www.umbjournal.org/article/S0301-5629(17)31616-2/fulltext","volume":"43","author":[{"family":"Sporea","given":"Ioan"},{"family":"Lupusoru","given":"Raluca"},{"family":"Mare","given":"Ruxandra"},{"family":"Popescu","given":"Alina"},{"family":"Iacob","given":"Speranta"},{"family":"Gheorghe","given":"Liana"},{"family":"Lazar","given":"Alin"},{"family":"Sirli","given":"Roxana"}],"accessed":{"date-parts":[["2025",8,21]]},"issued":{"date-parts":[["2017",1,1]]}}}],"schema":"https://github.com/citation-style-language/schema/raw/master/csl-citation.json"} </w:instrText>
            </w:r>
            <w:r w:rsidR="00C13599">
              <w:rPr>
                <w:color w:val="000000"/>
                <w:sz w:val="15"/>
                <w:szCs w:val="15"/>
              </w:rPr>
              <w:fldChar w:fldCharType="separate"/>
            </w:r>
            <w:r w:rsidR="00C13599" w:rsidRPr="00C13599">
              <w:rPr>
                <w:sz w:val="15"/>
                <w:vertAlign w:val="superscript"/>
              </w:rPr>
              <w:t>12</w:t>
            </w:r>
            <w:r w:rsidR="00C13599">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45EA1F8D" w14:textId="04D445D6" w:rsidR="00CD5CE4" w:rsidRPr="00131373" w:rsidRDefault="00F75BC0" w:rsidP="00485C7C">
            <w:pPr>
              <w:jc w:val="center"/>
              <w:rPr>
                <w:color w:val="000000"/>
                <w:sz w:val="15"/>
                <w:szCs w:val="15"/>
              </w:rPr>
            </w:pPr>
            <w:r w:rsidRPr="00131373">
              <w:rPr>
                <w:color w:val="000000"/>
                <w:sz w:val="15"/>
                <w:szCs w:val="15"/>
              </w:rPr>
              <w:t>Bicentric Clinical Trial</w:t>
            </w:r>
          </w:p>
        </w:tc>
        <w:tc>
          <w:tcPr>
            <w:tcW w:w="992" w:type="dxa"/>
            <w:tcBorders>
              <w:top w:val="nil"/>
              <w:left w:val="nil"/>
              <w:bottom w:val="single" w:sz="4" w:space="0" w:color="000000"/>
              <w:right w:val="single" w:sz="4" w:space="0" w:color="000000"/>
            </w:tcBorders>
            <w:noWrap/>
            <w:vAlign w:val="center"/>
          </w:tcPr>
          <w:p w14:paraId="41C93FD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0A3BA6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043204D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DEF76C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6AC9A9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16B46F9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23291B8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7B116AD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663DD7A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85" w:type="dxa"/>
            <w:tcBorders>
              <w:top w:val="nil"/>
              <w:left w:val="nil"/>
              <w:bottom w:val="single" w:sz="4" w:space="0" w:color="000000"/>
              <w:right w:val="single" w:sz="8" w:space="0" w:color="000000"/>
            </w:tcBorders>
            <w:noWrap/>
            <w:vAlign w:val="center"/>
          </w:tcPr>
          <w:p w14:paraId="6D864DF8" w14:textId="77777777" w:rsidR="00CD5CE4" w:rsidRPr="00131373" w:rsidRDefault="00CD5CE4" w:rsidP="00485C7C">
            <w:pPr>
              <w:jc w:val="center"/>
              <w:rPr>
                <w:color w:val="000000"/>
                <w:sz w:val="15"/>
                <w:szCs w:val="15"/>
              </w:rPr>
            </w:pPr>
            <w:r w:rsidRPr="00131373">
              <w:rPr>
                <w:color w:val="000000"/>
                <w:sz w:val="15"/>
                <w:szCs w:val="15"/>
              </w:rPr>
              <w:t>5</w:t>
            </w:r>
          </w:p>
        </w:tc>
        <w:tc>
          <w:tcPr>
            <w:tcW w:w="1355" w:type="dxa"/>
            <w:tcBorders>
              <w:top w:val="nil"/>
              <w:left w:val="nil"/>
              <w:bottom w:val="single" w:sz="4" w:space="0" w:color="000000"/>
              <w:right w:val="single" w:sz="8" w:space="0" w:color="auto"/>
            </w:tcBorders>
            <w:noWrap/>
            <w:vAlign w:val="center"/>
          </w:tcPr>
          <w:p w14:paraId="546A276B" w14:textId="60F09ADB" w:rsidR="00CD5CE4" w:rsidRPr="00131373" w:rsidRDefault="00CD5CE4" w:rsidP="00485C7C">
            <w:pPr>
              <w:jc w:val="center"/>
              <w:rPr>
                <w:color w:val="000000"/>
                <w:sz w:val="15"/>
                <w:szCs w:val="15"/>
              </w:rPr>
            </w:pPr>
            <w:r w:rsidRPr="00131373">
              <w:rPr>
                <w:color w:val="000000"/>
                <w:sz w:val="15"/>
                <w:szCs w:val="15"/>
              </w:rPr>
              <w:t>Moderate</w:t>
            </w:r>
          </w:p>
        </w:tc>
      </w:tr>
      <w:tr w:rsidR="00CD5CE4" w:rsidRPr="00131373" w14:paraId="0F78063D"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21695B05" w14:textId="1C6E6B10" w:rsidR="00CD5CE4" w:rsidRPr="00131373" w:rsidRDefault="00CD5CE4" w:rsidP="00F72FC0">
            <w:pPr>
              <w:jc w:val="center"/>
              <w:rPr>
                <w:color w:val="000000"/>
                <w:sz w:val="15"/>
                <w:szCs w:val="15"/>
              </w:rPr>
            </w:pPr>
            <w:r w:rsidRPr="00131373">
              <w:rPr>
                <w:color w:val="000000"/>
                <w:sz w:val="15"/>
                <w:szCs w:val="15"/>
              </w:rPr>
              <w:t>El-</w:t>
            </w:r>
            <w:proofErr w:type="spellStart"/>
            <w:r w:rsidRPr="00131373">
              <w:rPr>
                <w:color w:val="000000"/>
                <w:sz w:val="15"/>
                <w:szCs w:val="15"/>
              </w:rPr>
              <w:t>Garem</w:t>
            </w:r>
            <w:proofErr w:type="spellEnd"/>
            <w:r w:rsidRPr="00131373">
              <w:rPr>
                <w:color w:val="000000"/>
                <w:sz w:val="15"/>
                <w:szCs w:val="15"/>
              </w:rPr>
              <w:t xml:space="preserve"> et al. (2019)</w:t>
            </w:r>
            <w:r w:rsidR="003350B6">
              <w:rPr>
                <w:color w:val="000000"/>
                <w:sz w:val="15"/>
                <w:szCs w:val="15"/>
              </w:rPr>
              <w:t xml:space="preserve"> </w:t>
            </w:r>
            <w:r w:rsidR="00AD7F66">
              <w:rPr>
                <w:color w:val="000000"/>
                <w:sz w:val="15"/>
                <w:szCs w:val="15"/>
              </w:rPr>
              <w:fldChar w:fldCharType="begin"/>
            </w:r>
            <w:r w:rsidR="003758D4">
              <w:rPr>
                <w:color w:val="000000"/>
                <w:sz w:val="15"/>
                <w:szCs w:val="15"/>
              </w:rPr>
              <w:instrText xml:space="preserve"> ADDIN ZOTERO_ITEM CSL_CITATION {"citationID":"ktCXWXtk","properties":{"formattedCitation":"\\super 13\\nosupersub{}","plainCitation":"13","noteIndex":0},"citationItems":[{"id":1547,"uris":["http://zotero.org/users/5317696/items/4ANJ4JMC"],"itemData":{"id":1547,"type":"article-journal","container-title":"Journal of Advanced Research","DOI":"10.1016/j.jare.2019.02.021","ISSN":"20901232","journalAbbreviation":"Journal of Advanced Research","language":"en","license":"https://www.elsevier.com/tdm/userlicense/1.0/","page":"161","source":"DOI.org (Crossref)","title":"Liver stiffness reduction and serum fibrosis score improvement following sofosbuvir-based therapy of HCV/HIV co-infected patients","URL":"https://linkinghub.elsevier.com/retrieve/pii/S2090123219300505","volume":"16","author":[{"family":"El-Garem","given":"Hassan"},{"family":"Mohey","given":"Mohammad"},{"family":"Ghaith","given":"Doaa"},{"family":"Abou El-Soud","given":"Neveen H."},{"family":"AbdAllah","given":"Mohamed"},{"family":"Omar","given":"Heba"},{"family":"Elsharkawy","given":"Aisha"},{"family":"Kamal","given":"Walid"},{"family":"Cordie","given":"Ahmed"},{"family":"Esmat","given":"Gamal"}],"accessed":{"date-parts":[["2025",5,15]]},"issued":{"date-parts":[["2019",3]]}}}],"schema":"https://github.com/citation-style-language/schema/raw/master/csl-citation.json"} </w:instrText>
            </w:r>
            <w:r w:rsidR="00AD7F66">
              <w:rPr>
                <w:color w:val="000000"/>
                <w:sz w:val="15"/>
                <w:szCs w:val="15"/>
              </w:rPr>
              <w:fldChar w:fldCharType="separate"/>
            </w:r>
            <w:r w:rsidR="00C13599" w:rsidRPr="00C13599">
              <w:rPr>
                <w:sz w:val="15"/>
                <w:vertAlign w:val="superscript"/>
              </w:rPr>
              <w:t>13</w:t>
            </w:r>
            <w:r w:rsidR="00AD7F6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61D59985" w14:textId="5497E54C"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5A6F60D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DE272D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735D7DE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4B4A77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01896D4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1031151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4603730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0D604D5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4284AFF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85" w:type="dxa"/>
            <w:tcBorders>
              <w:top w:val="nil"/>
              <w:left w:val="nil"/>
              <w:bottom w:val="single" w:sz="4" w:space="0" w:color="000000"/>
              <w:right w:val="single" w:sz="8" w:space="0" w:color="000000"/>
            </w:tcBorders>
            <w:noWrap/>
            <w:vAlign w:val="center"/>
          </w:tcPr>
          <w:p w14:paraId="775F85FF" w14:textId="77777777" w:rsidR="00CD5CE4" w:rsidRPr="00131373" w:rsidRDefault="00CD5CE4" w:rsidP="00485C7C">
            <w:pPr>
              <w:jc w:val="center"/>
              <w:rPr>
                <w:color w:val="000000"/>
                <w:sz w:val="15"/>
                <w:szCs w:val="15"/>
              </w:rPr>
            </w:pPr>
            <w:r w:rsidRPr="00131373">
              <w:rPr>
                <w:color w:val="000000"/>
                <w:sz w:val="15"/>
                <w:szCs w:val="15"/>
              </w:rPr>
              <w:t>5</w:t>
            </w:r>
          </w:p>
        </w:tc>
        <w:tc>
          <w:tcPr>
            <w:tcW w:w="1355" w:type="dxa"/>
            <w:tcBorders>
              <w:top w:val="nil"/>
              <w:left w:val="nil"/>
              <w:bottom w:val="single" w:sz="4" w:space="0" w:color="000000"/>
              <w:right w:val="single" w:sz="8" w:space="0" w:color="auto"/>
            </w:tcBorders>
            <w:noWrap/>
            <w:vAlign w:val="center"/>
          </w:tcPr>
          <w:p w14:paraId="26A47DBA" w14:textId="0971AE2F" w:rsidR="00CD5CE4" w:rsidRPr="00131373" w:rsidRDefault="00CD5CE4" w:rsidP="00485C7C">
            <w:pPr>
              <w:jc w:val="center"/>
              <w:rPr>
                <w:color w:val="000000"/>
                <w:sz w:val="15"/>
                <w:szCs w:val="15"/>
              </w:rPr>
            </w:pPr>
            <w:r w:rsidRPr="00131373">
              <w:rPr>
                <w:color w:val="000000"/>
                <w:sz w:val="15"/>
                <w:szCs w:val="15"/>
              </w:rPr>
              <w:t>Moderate</w:t>
            </w:r>
          </w:p>
        </w:tc>
      </w:tr>
      <w:tr w:rsidR="00CD5CE4" w:rsidRPr="00131373" w14:paraId="6D98B217"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6E7A8F6C" w14:textId="64F37187" w:rsidR="00CD5CE4" w:rsidRPr="00131373" w:rsidRDefault="00CD5CE4" w:rsidP="00F72FC0">
            <w:pPr>
              <w:jc w:val="center"/>
              <w:rPr>
                <w:color w:val="000000"/>
                <w:sz w:val="15"/>
                <w:szCs w:val="15"/>
              </w:rPr>
            </w:pPr>
            <w:r w:rsidRPr="00131373">
              <w:rPr>
                <w:color w:val="000000"/>
                <w:sz w:val="15"/>
                <w:szCs w:val="15"/>
              </w:rPr>
              <w:t>Laursen et al. (2018)</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{"citationID":"w7KaEy9x","properties":{"formattedCitation":"\\super 14\\nosupersub{}","plainCitation":"14","noteIndex":0},"citationItems":[{"id":1578,"uris":["http://zotero.org/users/5317696/items/GWYKU35Y"],"itemData":{"id":1578,"type":"article-journal","abstract":"Background and Aims: The impacts of sustained virologic response (SVR) after direct antiviral agents (DAA) therapy in patients with chronic hepatitis C virus (CHC) remain unclear. The regression of cirrhosis and portal hypertension demonstrated in interferon therapy, are expected in the DAAs therapies. Transient Elastography (TE) is a noninvasive method ultrasound based, for assessment liver stiffness (LS). The aims of this study were: (1) evaluated the changes in liver stiffness and fibrosis stage (2) to examine factors influencing changes in liver stiffness measurements after DAA treatment.\nMethods: We prospectively consecutive patients treated with DAAs in our department between January 2013 and September 2016. 643 patients who received a DAA based treatment for CHC were screened and 417 were included. TE values recorded before therapy initiation and within 24 months after therapy were analysed. In addition, predictors of fibrosis regression were evaluated in multivariate analysis.\nResults: A total of 417 patients (375 have TE and 42 have paired biopsy) were included. Baseline characteristic: 71% were men, 54% had cirrhosis and the median age was 53 years. Median TE before DAA treatment was 12.85 kPa (IQR 9.75–19.2 kPa) and decreased to 8.55 kPa (IQR 5.87–15.23) post-treatment. This finding is statistically significant ( p &lt; 0.001) and equals a TE regression of 33.5% after DAA treatment. Median FIB-4 and APRI values significantly decreased from 2.53 (IQR 1.64–4.42) and 1.13 (IQR 0.67–2.45) to 1.78 (IQR 1.27–2.90, p &lt; 0.001) and 0.48 (IQR 0.33–0.81, p &lt; 0.001) respectively. Cirrhosis regressed in 15/24 patients (62%), but advanced fibrosis regressed 14/18 cases (78%) among 42 patients with liver biopsy. Multivariate analysis found a lower BMI and gender female as factors independently associated with fibrosis regression [(odds ratio (OR) 0.68, 95%CI 0.48–0.97), p = 0.037 and [(OR: 0.51, 95%CI 0.36–0.89), p = 0.0221] respectively.\nConclusions: Patients with SVR after DAA therapy showed significant regression of TE values and fibrosis regression according liver biopsy. Rapid decrease in TE was in concordance with the improvement of liver function. It remains to be examined whether this indicates a true regression of fibrosis or merely resolution of chronic liver inflammation with subsequent improvement of biopsy values in large cohort.","container-title":"Journal of Hepatology","DOI":"10.1016/S0168-8278(18)31339-4","ISSN":"01688278","journalAbbreviation":"Journal of Hepatology","language":"en","license":"https://www.elsevier.com/tdm/userlicense/1.0/","page":"S541","source":"DOI.org (Crossref)","title":"Effects of direct-acting antiviral treatment of chronic hepatitis C on macrophage activation, liver stiffness, metabolic liver function and portal hypertension in cirrhosis patients","URL":"https://linkinghub.elsevier.com/retrieve/pii/S0168827818313394","volume":"68","author":[{"family":"Laursen","given":"T.L."},{"family":"Kazankov","given":"K."},{"family":"Sandahl","given":"T.D."},{"family":"Møller","given":"H.J."},{"family":"Hagelskjær Kristensen","given":"L."},{"family":"Holmboe","given":"C."},{"family":"Sølund","given":"C."},{"family":"Arildsen","given":"H."},{"family":"Laursen","given":"A."},{"family":"Grønbæk","given":"H."}],"accessed":{"date-parts":[["2025",5,15]]},"issued":{"date-parts":[["2018",4]]}}}],"schema":"https://github.com/citation-style-language/schema/raw/master/csl-citation.json"} </w:instrText>
            </w:r>
            <w:r w:rsidR="003350B6">
              <w:rPr>
                <w:color w:val="000000"/>
                <w:sz w:val="15"/>
                <w:szCs w:val="15"/>
              </w:rPr>
              <w:fldChar w:fldCharType="separate"/>
            </w:r>
            <w:r w:rsidR="00C13599" w:rsidRPr="00C13599">
              <w:rPr>
                <w:sz w:val="15"/>
                <w:vertAlign w:val="superscript"/>
              </w:rPr>
              <w:t>14</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6EDD2369" w14:textId="61C38C4E"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34A452A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F04A77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10995A4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629D5D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DFCCCA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1644FE9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6FE69B9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7CEB384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66DA1E8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58D135AB" w14:textId="77777777" w:rsidR="00CD5CE4" w:rsidRPr="00131373" w:rsidRDefault="00CD5CE4" w:rsidP="00485C7C">
            <w:pPr>
              <w:jc w:val="center"/>
              <w:rPr>
                <w:color w:val="000000"/>
                <w:sz w:val="15"/>
                <w:szCs w:val="15"/>
              </w:rPr>
            </w:pPr>
            <w:r w:rsidRPr="00131373">
              <w:rPr>
                <w:color w:val="000000"/>
                <w:sz w:val="15"/>
                <w:szCs w:val="15"/>
              </w:rPr>
              <w:t>6</w:t>
            </w:r>
          </w:p>
        </w:tc>
        <w:tc>
          <w:tcPr>
            <w:tcW w:w="1355" w:type="dxa"/>
            <w:tcBorders>
              <w:top w:val="nil"/>
              <w:left w:val="nil"/>
              <w:bottom w:val="single" w:sz="4" w:space="0" w:color="000000"/>
              <w:right w:val="single" w:sz="8" w:space="0" w:color="auto"/>
            </w:tcBorders>
            <w:noWrap/>
            <w:vAlign w:val="center"/>
          </w:tcPr>
          <w:p w14:paraId="6D04D628" w14:textId="2B1259BA" w:rsidR="00CD5CE4" w:rsidRPr="00131373" w:rsidRDefault="00AA7D9A" w:rsidP="00485C7C">
            <w:pPr>
              <w:jc w:val="center"/>
              <w:rPr>
                <w:color w:val="000000"/>
                <w:sz w:val="15"/>
                <w:szCs w:val="15"/>
              </w:rPr>
            </w:pPr>
            <w:r>
              <w:rPr>
                <w:color w:val="000000"/>
                <w:sz w:val="15"/>
                <w:szCs w:val="15"/>
              </w:rPr>
              <w:t>Moderate</w:t>
            </w:r>
          </w:p>
        </w:tc>
      </w:tr>
      <w:tr w:rsidR="00CD5CE4" w:rsidRPr="00131373" w14:paraId="6D1361FE"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774FABF4" w14:textId="36274E33" w:rsidR="00CD5CE4" w:rsidRPr="00131373" w:rsidRDefault="00CD5CE4" w:rsidP="00F72FC0">
            <w:pPr>
              <w:jc w:val="center"/>
              <w:rPr>
                <w:color w:val="000000"/>
                <w:sz w:val="15"/>
                <w:szCs w:val="15"/>
              </w:rPr>
            </w:pPr>
            <w:r w:rsidRPr="00131373">
              <w:rPr>
                <w:color w:val="000000"/>
                <w:sz w:val="15"/>
                <w:szCs w:val="15"/>
              </w:rPr>
              <w:t>Attia et al. (2019)</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{"citationID":"Rhbfrgfh","properties":{"formattedCitation":"\\super 15\\nosupersub{}","plainCitation":"15","noteIndex":0},"citationItems":[{"id":1576,"uris":["http://zotero.org/users/5317696/items/JPBKGYPG"],"itemData":{"id":1576,"type":"article-journal","abstract":"Background Direct-acting antivirals (DAAs) lead to a high rate of sustained virologic response (SVR) in chronic hepatitis C infection. The aim was to evaluate liver stiffness kinetics, using acoustic radiation force impulse (ARFI) imaging elastography, during and after DAAs in patients who had reached SVR. Patients and methods A total of 275 consecutive chronic hepatitis C virus-infected patients were included in this longitudinal prospective single-centre study. All patients received DAAs for 8 to 24 weeks, and liver stiffness measurements (LSMs) by ARFI at baseline, at week 4, week 12, week 24, and 24 weeks (SVR24) and 48 weeks (FU48) after the end of treatment were recorded. Transient elastography was performed at baseline and at SVR24.\nResults A decrease in LSM was detected at SVR24 by ARFI and transient elastography (P &lt; 0.001 and &lt; 0.001, respectively). A continuous gradual decrease in ARFI was observed in patients with cirrhosis versus a nonsigniﬁcant change in patients without cirrhosis until FU48 (P &lt; 0.001 vs. 0.877, respectively). At SVR24, higher baseline ARFI values (P = 0.038) were associated with a decrease in LSM in patients with cirrhosis versus normal international normalization ratio (P = 0.003), lower bilirubin (P = 0.003), and higher albumin (P = 0.007) in patients without cirrhosis. The incidence of liver stiffness decrease from baseline was higher in patients with cirrhosis than in those without cirrhosis (P &lt; 0.001), whereas the incidence of liver stiffness progression was more pronounced in advanced than in compensated cirrhosis (P &lt; 0.001).\nConclusion After DAAs in patients with SVR, liver stiffness improves in patients with cirrhosis, whereas non-cirrhotic patients show no true change in liver stiffness. Liver stiffness worsens in patients with advanced liver disease. Eur J Gastroenterol Hepatol 31:67–74 Copyright © 2018 Wolters Kluwer Health, Inc. All rights reserved.","container-title":"European Journal of Gastroenterology &amp; Hepatology","DOI":"10.1097/MEG.0000000000001259","ISSN":"0954-691X","issue":"1","language":"en","page":"67-74","source":"DOI.org (Crossref)","title":"Different kinetics of liver stiffness using shear wave elastography in patients with chronic hepatitis C infection treated with interferon-free regimens","URL":"https://journals.lww.com/00042737-201901000-00011","volume":"31","author":[{"family":"Attia","given":"Dina"},{"family":"Deterding","given":"Katja"},{"family":"Cornberg","given":"Janet"},{"family":"Gebel","given":"Michael J."},{"family":"Cornberg","given":"Markus"},{"family":"Manns","given":"Michael P."},{"family":"Wedemeyer","given":"Heiner"},{"family":"Potthoff","given":"Andrej"}],"accessed":{"date-parts":[["2025",5,15]]},"issued":{"date-parts":[["2019",1]]}}}],"schema":"https://github.com/citation-style-language/schema/raw/master/csl-citation.json"} </w:instrText>
            </w:r>
            <w:r w:rsidR="003350B6">
              <w:rPr>
                <w:color w:val="000000"/>
                <w:sz w:val="15"/>
                <w:szCs w:val="15"/>
              </w:rPr>
              <w:fldChar w:fldCharType="separate"/>
            </w:r>
            <w:r w:rsidR="00C13599" w:rsidRPr="00C13599">
              <w:rPr>
                <w:sz w:val="15"/>
                <w:vertAlign w:val="superscript"/>
              </w:rPr>
              <w:t>15</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4684983E" w14:textId="131F5364" w:rsidR="00CD5CE4" w:rsidRPr="00131373" w:rsidRDefault="00F75BC0" w:rsidP="00485C7C">
            <w:pPr>
              <w:jc w:val="center"/>
              <w:rPr>
                <w:color w:val="000000"/>
                <w:sz w:val="15"/>
                <w:szCs w:val="15"/>
              </w:rPr>
            </w:pPr>
            <w:r w:rsidRPr="00131373">
              <w:rPr>
                <w:color w:val="000000"/>
                <w:sz w:val="15"/>
                <w:szCs w:val="15"/>
              </w:rPr>
              <w:t>Prospective Longitudinal</w:t>
            </w:r>
          </w:p>
        </w:tc>
        <w:tc>
          <w:tcPr>
            <w:tcW w:w="992" w:type="dxa"/>
            <w:tcBorders>
              <w:top w:val="nil"/>
              <w:left w:val="nil"/>
              <w:bottom w:val="single" w:sz="4" w:space="0" w:color="000000"/>
              <w:right w:val="single" w:sz="4" w:space="0" w:color="000000"/>
            </w:tcBorders>
            <w:noWrap/>
            <w:vAlign w:val="center"/>
          </w:tcPr>
          <w:p w14:paraId="67D14BE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358C9E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046BAF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147EC4D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5E510C7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65743A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4" w:space="0" w:color="000000"/>
            </w:tcBorders>
            <w:noWrap/>
            <w:vAlign w:val="center"/>
          </w:tcPr>
          <w:p w14:paraId="3CCC7B5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0BA4D8F5"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4E23D76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500AED7F" w14:textId="77777777" w:rsidR="00CD5CE4" w:rsidRPr="00131373" w:rsidRDefault="00CD5CE4"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4E45F6A1" w14:textId="7A090DF5" w:rsidR="00CD5CE4" w:rsidRPr="00131373" w:rsidRDefault="00AA7D9A" w:rsidP="00485C7C">
            <w:pPr>
              <w:jc w:val="center"/>
              <w:rPr>
                <w:color w:val="000000"/>
                <w:sz w:val="15"/>
                <w:szCs w:val="15"/>
              </w:rPr>
            </w:pPr>
            <w:r>
              <w:rPr>
                <w:color w:val="000000"/>
                <w:sz w:val="15"/>
                <w:szCs w:val="15"/>
              </w:rPr>
              <w:t>High</w:t>
            </w:r>
          </w:p>
        </w:tc>
      </w:tr>
      <w:tr w:rsidR="00CD5CE4" w:rsidRPr="00131373" w14:paraId="240BDB47"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5E6246CC" w14:textId="4C1E432C" w:rsidR="00CD5CE4" w:rsidRPr="00131373" w:rsidRDefault="00CD5CE4" w:rsidP="00F72FC0">
            <w:pPr>
              <w:jc w:val="center"/>
              <w:rPr>
                <w:color w:val="000000"/>
                <w:sz w:val="15"/>
                <w:szCs w:val="15"/>
              </w:rPr>
            </w:pPr>
            <w:r w:rsidRPr="00131373">
              <w:rPr>
                <w:color w:val="000000"/>
                <w:sz w:val="15"/>
                <w:szCs w:val="15"/>
              </w:rPr>
              <w:t>G</w:t>
            </w:r>
            <w:r w:rsidR="00C13599">
              <w:rPr>
                <w:color w:val="000000"/>
                <w:sz w:val="15"/>
                <w:szCs w:val="15"/>
              </w:rPr>
              <w:t>h</w:t>
            </w:r>
            <w:r w:rsidRPr="00131373">
              <w:rPr>
                <w:color w:val="000000"/>
                <w:sz w:val="15"/>
                <w:szCs w:val="15"/>
              </w:rPr>
              <w:t>eorghe et al. (2017)</w:t>
            </w:r>
            <w:r w:rsidR="003350B6">
              <w:rPr>
                <w:color w:val="000000"/>
                <w:sz w:val="15"/>
                <w:szCs w:val="15"/>
              </w:rPr>
              <w:t xml:space="preserve"> </w:t>
            </w:r>
            <w:r w:rsidR="00C13599">
              <w:rPr>
                <w:color w:val="000000"/>
                <w:sz w:val="15"/>
                <w:szCs w:val="15"/>
              </w:rPr>
              <w:fldChar w:fldCharType="begin"/>
            </w:r>
            <w:r w:rsidR="003758D4">
              <w:rPr>
                <w:color w:val="000000"/>
                <w:sz w:val="15"/>
                <w:szCs w:val="15"/>
              </w:rPr>
              <w:instrText xml:space="preserve"> ADDIN ZOTERO_ITEM CSL_CITATION {"citationID":"scDbU92x","properties":{"formattedCitation":"\\super 16\\nosupersub{}","plainCitation":"16","noteIndex":0},"citationItems":[{"id":1662,"uris":["http://zotero.org/users/5317696/items/74GGWSIN"],"itemData":{"id":1662,"type":"article-journal","abstract":"BACKGROUND AND AIMS: Ombitasvir/Paritaprevir/ritonavir/Dasabuvir (OBV/PTV/r+DSV) is one of the elective direct-acting antivirals (DAAs) recommended by international guidelines and the only one covered by the National Insurance System in Romania until November 2016. Our aim was to present the first prospective Romanian cohort evaluating the effectiveness and safety in clinical practice of this 3DAA combination in patients with HCV genotype-1b Child A liver cirrhosis.\nMETHODS: 681 patients received OBV/PTV/r+DSV+RBV for 12 weeks and were assessed clinically and biologically at baseline, week 4, 8, 12 (end of treatment, EOT), and 12 weeks after therapy (sustained viral response, SVR).\nRESULTS: Per protocol, EOT virological response was 99.8% and SVR12 rate was 99.4%. Adverse events were present in 36.4% of patients. Permanent discontinuation of 3DAA regimen due to side effects was reported in 11 patients (1.6%). In 47.6% (185/389) of patients, Transient Elastography values were &gt;20kPa (defined as clinically significant portal hypertension, CSPH) at baseline. Independent variables associated with CSPH were: baseline cholesterol level (p=0.003), platelet count &lt;120,000/mm³ (p=0.02), MELD score (p=0.01). Liver stiffness measurement has significantly improved between baseline (26.6+/-12.7kPa) and SVR12 (21.6+/-11.8kPa) (p&lt;0.0001). The same was true for APRI score (2.66+/-0.15 at baseline vs 0.85+/-0.02 at SVR12, p&lt;0.0001) and FIB4 score (5.53+/-0.28 vs 3.24+/-0.08, p&lt;0.0001), but not for Lok score (0.57+/-0.01 vs 0.63+/-0.01, p&lt;0.0001).\nCONCLUSIONS: We report a high efficacy of the 3DAA regimen in a homogeneous compensated HCV genotype-1b liver cirrhosis population, in a real-life setting. Noninvasive fibrosis scores significantly improved at SVR12.","container-title":"Journal of gastrointestinal and liver diseases: JGLD","DOI":"10.15403/jgld.2014.1121.263.iac","ISSN":"1842-1121","issue":"3","journalAbbreviation":"J Gastrointestin Liver Dis","language":"eng","license":"http://creativecommons.org/licenses/by-nc-nd/4.0","page":"275-281","PMID":"28922440","source":"PubMed","title":"Real-Life Use of 3 Direct-Acting Antiviral Regimen in a Large Cohort of Patients with Genotype-1b HCV Compensated Cirrhosis","URL":"https://www.jgld.ro/jgld/index.php/jgld/article/view/983","volume":"26","author":[{"family":"Gheorghe","given":"Liana"},{"family":"Iacob","given":"Speranta"},{"family":"Curescu","given":"Manuela"},{"family":"Brisc","given":"Ciprian"},{"family":"Cijevschi","given":"Cristina"},{"family":"Caruntu","given":"Florin"},{"family":"Stanciu","given":"Carol"},{"family":"Simionov","given":"Iulia"},{"family":"Sporea","given":"Ioan"},{"family":"Gheorghe","given":"Cristian"},{"family":"Iacob","given":"Razvan"},{"family":"Arama","given":"Victoria"},{"family":"Sirli","given":"Roxana"},{"family":"Trifan","given":"Anca"}],"accessed":{"date-parts":[["2025",5,15]]},"issued":{"date-parts":[["2017",9]]}}}],"schema":"https://github.com/citation-style-language/schema/raw/master/csl-citation.json"} </w:instrText>
            </w:r>
            <w:r w:rsidR="00C13599">
              <w:rPr>
                <w:color w:val="000000"/>
                <w:sz w:val="15"/>
                <w:szCs w:val="15"/>
              </w:rPr>
              <w:fldChar w:fldCharType="separate"/>
            </w:r>
            <w:r w:rsidR="00C13599" w:rsidRPr="00C13599">
              <w:rPr>
                <w:sz w:val="15"/>
                <w:vertAlign w:val="superscript"/>
              </w:rPr>
              <w:t>16</w:t>
            </w:r>
            <w:r w:rsidR="00C13599">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7B42DF44" w14:textId="77777777" w:rsidR="00CD5CE4" w:rsidRPr="00131373" w:rsidRDefault="00CD5CE4" w:rsidP="00485C7C">
            <w:pPr>
              <w:jc w:val="center"/>
              <w:rPr>
                <w:color w:val="000000"/>
                <w:sz w:val="15"/>
                <w:szCs w:val="15"/>
              </w:rPr>
            </w:pPr>
            <w:r w:rsidRPr="00131373">
              <w:rPr>
                <w:color w:val="000000"/>
                <w:sz w:val="15"/>
                <w:szCs w:val="15"/>
              </w:rPr>
              <w:t>Cohort</w:t>
            </w:r>
          </w:p>
        </w:tc>
        <w:tc>
          <w:tcPr>
            <w:tcW w:w="992" w:type="dxa"/>
            <w:tcBorders>
              <w:top w:val="nil"/>
              <w:left w:val="nil"/>
              <w:bottom w:val="single" w:sz="4" w:space="0" w:color="000000"/>
              <w:right w:val="single" w:sz="4" w:space="0" w:color="000000"/>
            </w:tcBorders>
            <w:noWrap/>
            <w:vAlign w:val="center"/>
          </w:tcPr>
          <w:p w14:paraId="4F7C27C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90E71F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A37739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C5B282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00210D8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F10E37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15F3038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26DB3C3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43A13A9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1B526D08"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442D9722" w14:textId="48696498" w:rsidR="00CD5CE4" w:rsidRPr="00131373" w:rsidRDefault="00AA7D9A" w:rsidP="00485C7C">
            <w:pPr>
              <w:jc w:val="center"/>
              <w:rPr>
                <w:color w:val="000000"/>
                <w:sz w:val="15"/>
                <w:szCs w:val="15"/>
              </w:rPr>
            </w:pPr>
            <w:r>
              <w:rPr>
                <w:color w:val="000000"/>
                <w:sz w:val="15"/>
                <w:szCs w:val="15"/>
              </w:rPr>
              <w:t>High</w:t>
            </w:r>
          </w:p>
        </w:tc>
      </w:tr>
      <w:tr w:rsidR="00CD5CE4" w:rsidRPr="00131373" w14:paraId="76D816E5"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61DA98CA" w14:textId="740B58E1" w:rsidR="00CD5CE4" w:rsidRPr="00131373" w:rsidRDefault="00CD5CE4" w:rsidP="00F72FC0">
            <w:pPr>
              <w:jc w:val="center"/>
              <w:rPr>
                <w:color w:val="000000"/>
                <w:sz w:val="15"/>
                <w:szCs w:val="15"/>
              </w:rPr>
            </w:pPr>
            <w:r w:rsidRPr="00131373">
              <w:rPr>
                <w:color w:val="000000"/>
                <w:sz w:val="15"/>
                <w:szCs w:val="15"/>
              </w:rPr>
              <w:t>Hsieh et al. (2021)</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{"citationID":"rLtlgvTX","properties":{"formattedCitation":"\\super 17\\nosupersub{}","plainCitation":"17","noteIndex":0},"citationItems":[{"id":1573,"uris":["http://zotero.org/users/5317696/items/Y5XSAXBL"],"itemData":{"id":1573,"type":"article-journal","abstract":"Background: Direct-acting antivirals (DAA) improve sustained virological response (SVR) rates with normalization of liver enzymes in patients with hepatitis C. However, liver inflammation may persist despite virus eradication. We aimed to investigate the rate and risk factors for persistent elevated aminotransferase levels in patients with advanced fibrosis after DAA-induced SVR.\nMethods: From January 2017 to April 2018, chronic hepatitis C patients with advanced fibrosis and SVR after DAA treatment at the Taipei Veterans General Hospital were prospectively enrolled. Persistent liver inflammation after SVR was defined as an increase in levels of alanine aminotransferase (ALT) (&gt;40 U/L) at SVR12.\nResults: A total of 461 patients were included (57.9% females, mean age 64 years, 69.6% genotype 1b, 46.4% cirrhosis). At SVR12, there was a decline in ALT levels (90.5 ± 80.8 U/L to 25.3 ± 26.5 U/L) from baseline levels. Persistent liver inflammation at SVR12 was detected in 45 patients (9.8%). The presence of cirrhosis, markers of impaired liver functions, history of interferonbased therapy, steatosis, and elevated ALT levels at baseline was associated with persistent liver inflammation after SVR12. Results of multivariate analysis indicated that levels of baseline serum total bilirubin (odds ratio [OR]: 2.605, 95% CI: 1.158-5.858), international normalized ratio (OR: 14.389, 95% CI: 1.754-118.049), ALT (OR: 1.006, 95% CI: 1.003-1.009), and the presence of steatosis (OR: 3.635, 95% CI: 1.716-7.698) were independent predictors of persistent liver inflammation at SVR12.\nConclusion: Persistent liver inflammation is not uncommon in chronic hepatitis C patients with advanced fibrosis after DAAinduced SVR. It is associated with impaired baseline liver function and steatosis. Long-term follow-up is required to assess the implication of liver inflammation on disease progression.","container-title":"Journal of the Chinese Medical Association","DOI":"10.1097/JCMA.0000000000000517","ISSN":"1726-4901","issue":"5","language":"en","page":"472-477","source":"DOI.org (Crossref)","title":"Persistent liver inflammation in chronic hepatitis C patients with advanced fibrosis after direct-acting antivirals induced sustained virological response","URL":"https://journals.lww.com/10.1097/JCMA.0000000000000517","volume":"84","author":[{"family":"Hsieh","given":"Yun-Cheng"},{"family":"Lee","given":"Kuei-Chuan"},{"family":"Su","given":"Chien-Wei"},{"family":"Lan","given":"Ken-Hsin"},{"family":"Huo","given":"Teh-Ia"},{"family":"Wang","given":"Yuan-Jen"},{"family":"Huang","given":"Hui-Chun"},{"family":"Lin","given":"Han-Chieh"},{"family":"Chu","given":"Chi-Jen"},{"family":"Huang","given":"Yi-Hsiang"},{"family":"Hou","given":"Ming-Chih"}],"accessed":{"date-parts":[["2025",5,15]]},"issued":{"date-parts":[["2021",5]]}}}],"schema":"https://github.com/citation-style-language/schema/raw/master/csl-citation.json"} </w:instrText>
            </w:r>
            <w:r w:rsidR="003350B6">
              <w:rPr>
                <w:color w:val="000000"/>
                <w:sz w:val="15"/>
                <w:szCs w:val="15"/>
              </w:rPr>
              <w:fldChar w:fldCharType="separate"/>
            </w:r>
            <w:r w:rsidR="00C13599" w:rsidRPr="00C13599">
              <w:rPr>
                <w:sz w:val="15"/>
                <w:vertAlign w:val="superscript"/>
              </w:rPr>
              <w:t>17</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1A246BC1" w14:textId="653554A8" w:rsidR="00CD5CE4" w:rsidRPr="00131373" w:rsidRDefault="00F75BC0" w:rsidP="00485C7C">
            <w:pPr>
              <w:jc w:val="center"/>
              <w:rPr>
                <w:color w:val="000000"/>
                <w:sz w:val="15"/>
                <w:szCs w:val="15"/>
              </w:rPr>
            </w:pPr>
            <w:r w:rsidRPr="00131373">
              <w:rPr>
                <w:color w:val="000000"/>
                <w:sz w:val="15"/>
                <w:szCs w:val="15"/>
              </w:rPr>
              <w:t>Prospective Observational Cohort</w:t>
            </w:r>
          </w:p>
        </w:tc>
        <w:tc>
          <w:tcPr>
            <w:tcW w:w="992" w:type="dxa"/>
            <w:tcBorders>
              <w:top w:val="nil"/>
              <w:left w:val="nil"/>
              <w:bottom w:val="single" w:sz="4" w:space="0" w:color="000000"/>
              <w:right w:val="single" w:sz="4" w:space="0" w:color="000000"/>
            </w:tcBorders>
            <w:noWrap/>
            <w:vAlign w:val="center"/>
          </w:tcPr>
          <w:p w14:paraId="024693F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8A673A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54B04F4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ADE0D5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03B2A57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7781839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4" w:space="0" w:color="000000"/>
            </w:tcBorders>
            <w:noWrap/>
            <w:vAlign w:val="center"/>
          </w:tcPr>
          <w:p w14:paraId="3EA12F4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489EF23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14BFB9E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1A4C4936" w14:textId="77777777" w:rsidR="00CD5CE4" w:rsidRPr="00131373" w:rsidRDefault="00CD5CE4"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7BA1521D" w14:textId="0E44E6FA" w:rsidR="00CD5CE4" w:rsidRPr="00131373" w:rsidRDefault="00AA7D9A" w:rsidP="00485C7C">
            <w:pPr>
              <w:jc w:val="center"/>
              <w:rPr>
                <w:color w:val="000000"/>
                <w:sz w:val="15"/>
                <w:szCs w:val="15"/>
              </w:rPr>
            </w:pPr>
            <w:r>
              <w:rPr>
                <w:color w:val="000000"/>
                <w:sz w:val="15"/>
                <w:szCs w:val="15"/>
              </w:rPr>
              <w:t>High</w:t>
            </w:r>
          </w:p>
        </w:tc>
      </w:tr>
      <w:tr w:rsidR="00CD5CE4" w:rsidRPr="00131373" w14:paraId="731ABAE7"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43BDE17D" w14:textId="241850B0" w:rsidR="00CD5CE4" w:rsidRPr="00131373" w:rsidRDefault="00CD5CE4" w:rsidP="00F72FC0">
            <w:pPr>
              <w:jc w:val="center"/>
              <w:rPr>
                <w:color w:val="000000"/>
                <w:sz w:val="15"/>
                <w:szCs w:val="15"/>
              </w:rPr>
            </w:pPr>
            <w:r w:rsidRPr="00131373">
              <w:rPr>
                <w:color w:val="000000"/>
                <w:sz w:val="15"/>
                <w:szCs w:val="15"/>
              </w:rPr>
              <w:t>Tag-Adeen et al. (2017)</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{"citationID":"HeElSNeY","properties":{"formattedCitation":"\\super 18\\nosupersub{}","plainCitation":"18","noteIndex":0},"citationItems":[{"id":1577,"uris":["http://zotero.org/users/5317696/items/WHNAHKX2"],"itemData":{"id":1577,"type":"article-journal","abstract":"Background: Liver fibrosis is the most important prognostic factor in chronic hepatitis C virus (HCV) patients, and Egypt shows the highest worldwide HCV prevalence with genotype-4 predominance. The aim of this study was to investigate the degree of liver stiffness measurement (LSM) improvement after successful HCV eradication. Patients and methods: The study included 84 chronic HCV Egyptian patients, and was conducted at Qena University Hospital from November 1, 2015 till October 31, 2016. LSM was obtained by FibroScan® before starting direct acting antiviral (DAA) treatment and after achieving sustained virologic response-24 (SVR-24). Based on baseline LSM, patients were stratified into F0–F1, F2, F3 and F4 groups (METAVIR). LSM and laboratory data after achieving SVR-24 was compared with that before starting therapy in each fibrosis group (F0-F4), p-value &lt;0.05 was statistically significant.\nResults: Following DAA treatment, 80 patients achieved SVR-24; of these, 50 were males (62.5%), mean age: 54.2±7.6 years, and mean body mass index: 28.6±2.2 kg/m2. Mean baseline LSM dropped from 15.6±10.8 to 12.1±8.7 kPa post-SVR; the maximum change of −5.8 occurred in F4 versus −2.79, −1.28 and +0.08 in F3, F2 and F0–F1 respectively (p&lt;0.0001). At baseline, 41 patients were in the F4 group; only 16 (39%) regressed to non-cirrhotic range (&lt;12.5 kPa), while 25 (61%) were still cirrhotic despite achieving SVR-24 (p&lt;0.0001). Patients who achieved LSM improvement (n=64) have had significantly higher baseline aspartate transferase (AST) and alanine transaminase (ALT). Also, those patients showed significant improvement in AST, AST/ platelets ratio index (APRI) and fibrosis-4 index (Fib-4) after achieving SVR; 91% showed AST improvement (p=0.01) and APRI improvement (p=0.01) and 81% showed Fib-4 improvement (p=0.04). Females, diabetics, patients with S3 steatosis and patients older than 50 years showed less LSM improvements than their counterparts. Baseline LSM ≥9 kPa, bilirubin ≥1 mg/dl, ALT ≥36 U/L and AST ≥31 U/L were significant predictors for LSM improvement.\nConclusion: Successful HCV genotype-4 eradication results in significant LSM improvement; the best improvement occurs in F4 patients. But as the majority of cirrhotics are still at risk for liver decompensation and hepatocellular carcinoma development despite achieving SVR-24, early detection and treatment are highly recommended.","container-title":"Hepatic Medicine: Evidence and Research","DOI":"10.2147/HMER.S142600","ISSN":"1179-1535","journalAbbreviation":"HMER","language":"en","license":"http://creativecommons.org/licenses/by-nc/3.0/","page":"45-53","source":"DOI.org (Crossref)","title":"Impact of hepatitis C virus genotype-4 eradication following direct acting antivirals on liver stiffness measurement","URL":"https://www.dovepress.com/impact-of-hepatitis-c-virus-genotype-4-eradication-following-direct-ac-peer-reviewed-article-HMER","volume":"Volume 9","author":[{"family":"Tag-Adeen","given":"Mohammed"},{"family":"Sabra","given":"Ahlam"},{"family":"Akazawa","given":"Yuko"},{"family":"Ohnita","given":"Ken"},{"family":"Nakao","given":"Kazuhiko"}],"accessed":{"date-parts":[["2025",5,15]]},"issued":{"date-parts":[["2017",10]]}}}],"schema":"https://github.com/citation-style-language/schema/raw/master/csl-citation.json"} </w:instrText>
            </w:r>
            <w:r w:rsidR="003350B6">
              <w:rPr>
                <w:color w:val="000000"/>
                <w:sz w:val="15"/>
                <w:szCs w:val="15"/>
              </w:rPr>
              <w:fldChar w:fldCharType="separate"/>
            </w:r>
            <w:r w:rsidR="00C13599" w:rsidRPr="00C13599">
              <w:rPr>
                <w:sz w:val="15"/>
                <w:vertAlign w:val="superscript"/>
              </w:rPr>
              <w:t>18</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66805B04" w14:textId="13A0DE5D"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653083C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13CC65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3917E9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FB1A31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CCBAE4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CEAE29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0A02B4A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24D9851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47D3D16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2415DEB3"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760D30EC" w14:textId="045DAA70" w:rsidR="00CD5CE4" w:rsidRPr="00131373" w:rsidRDefault="00AA7D9A" w:rsidP="00485C7C">
            <w:pPr>
              <w:jc w:val="center"/>
              <w:rPr>
                <w:color w:val="000000"/>
                <w:sz w:val="15"/>
                <w:szCs w:val="15"/>
              </w:rPr>
            </w:pPr>
            <w:r>
              <w:rPr>
                <w:color w:val="000000"/>
                <w:sz w:val="15"/>
                <w:szCs w:val="15"/>
              </w:rPr>
              <w:t>High</w:t>
            </w:r>
          </w:p>
        </w:tc>
      </w:tr>
      <w:tr w:rsidR="00CD5CE4" w:rsidRPr="00131373" w14:paraId="1D840FF4"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6C203E07" w14:textId="5D553C90" w:rsidR="00CD5CE4" w:rsidRPr="00131373" w:rsidRDefault="00CD5CE4" w:rsidP="00F72FC0">
            <w:pPr>
              <w:jc w:val="center"/>
              <w:rPr>
                <w:color w:val="000000"/>
                <w:sz w:val="15"/>
                <w:szCs w:val="15"/>
              </w:rPr>
            </w:pPr>
            <w:r w:rsidRPr="00131373">
              <w:rPr>
                <w:color w:val="000000"/>
                <w:sz w:val="15"/>
                <w:szCs w:val="15"/>
              </w:rPr>
              <w:lastRenderedPageBreak/>
              <w:t>Sung et al. (2020)</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{"citationID":"X0Sffu3c","properties":{"formattedCitation":"\\super 19\\nosupersub{}","plainCitation":"19","noteIndex":0},"citationItems":[{"id":1575,"uris":["http://zotero.org/users/5317696/items/2RT8462S"],"itemData":{"id":1575,"type":"article-journal","abstract":"Patient reported outcomes (PROs) are important measures of quality of life. Direct acting antiviral (DAA) drugs for hepatitis C virus (HCV) improved PROs in clinical trials. We prospectively evaluated the impact of DAA-based HCV cure on PROs and liver-related outcomes in real-world patients at a large urban medical center. The Short Form (SF)-36 and three additional validated instruments were used. F3–4 fibrosis was defined as &gt;9.6 kPa by transient elastography (TE); S2–3 steatosis was defined as &gt;270 dB/m by TE-controlled attenuation parameter (CAP). Data were analyzed by paired and unpaired t-tests. Patients (n=16) who did not achieve a sustained virologic response at 12 weeks (SVR12) were excluded. The study achieved its primary endpoint and showed a significant 30% improvement in the SF-36 vitality score, measured baseline to SVR12: 63 versus 82, p&lt;0.001 (n=111). Scores in 24 of 25 PRO domains improved at SVR12 (p&lt;0.05). Nearly all gains exceeded 5%, indicating their clinical significance. Transaminase values and liver stiffness improved (decreased) significantly, baseline to SVR12 (p&lt;0.005), but steatosis was unchanged (p=0.58). Patients with baseline F0–2 fibrosis and those with F3–F4 fibrosis both improved in 22 domains. Patients with baseline S0–S1 steatosis improved in more domains (23) than patients with S2–S3 steatosis (19). At baseline, patients with F3–F4 fibrosis and patients with S2–3 steatosis had worse scores in certain PRO domains than patients with F0–2 fibrosis or S0–S1 steatosis, but this difference resolved by SVR12. HCV cure led to meaningful gains in PROs, and these findings may encourage patients to seek treatment.","container-title":"Journal of Viral Hepatitis","DOI":"10.1111/jvh.13234","ISSN":"1352-0504, 1365-2893","issue":"4","journalAbbreviation":"Journal of Viral Hepatitis","language":"en","page":"350-359","source":"DOI.org (Crossref)","title":"Hepatitis C cure improved patient‐reported outcomes in patients with and without liver fibrosis in a prospective study at a large urban medical center","URL":"https://onlinelibrary.wiley.com/doi/10.1111/jvh.13234","volume":"27","author":[{"family":"Sung","given":"Julie C."},{"family":"Bosh","given":"Ciara"},{"family":"Wyatt","given":"Brooke"},{"family":"Miller","given":"Mark"},{"family":"Harty","given":"Alyson"},{"family":"Del Bello","given":"David"},{"family":"Knight","given":"Sterling"},{"family":"Dieterich","given":"Douglas T."},{"family":"Perumalswami","given":"Ponni V."},{"family":"Branch","given":"Andrea D."}],"accessed":{"date-parts":[["2025",5,15]]},"issued":{"date-parts":[["2020",4]]}}}],"schema":"https://github.com/citation-style-language/schema/raw/master/csl-citation.json"} </w:instrText>
            </w:r>
            <w:r w:rsidR="003350B6">
              <w:rPr>
                <w:color w:val="000000"/>
                <w:sz w:val="15"/>
                <w:szCs w:val="15"/>
              </w:rPr>
              <w:fldChar w:fldCharType="separate"/>
            </w:r>
            <w:r w:rsidR="00C13599" w:rsidRPr="00C13599">
              <w:rPr>
                <w:sz w:val="15"/>
                <w:vertAlign w:val="superscript"/>
              </w:rPr>
              <w:t>19</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2BF8778C" w14:textId="3BB187E0"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760F0A0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9FFA18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1EE497E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2A3526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0E9E089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FBBB53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3F24A3B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7BA9E3B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3F92F3A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039AECDF"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697DE340" w14:textId="18604536" w:rsidR="00CD5CE4" w:rsidRPr="00131373" w:rsidRDefault="00AA7D9A" w:rsidP="00485C7C">
            <w:pPr>
              <w:jc w:val="center"/>
              <w:rPr>
                <w:color w:val="000000"/>
                <w:sz w:val="15"/>
                <w:szCs w:val="15"/>
              </w:rPr>
            </w:pPr>
            <w:r>
              <w:rPr>
                <w:color w:val="000000"/>
                <w:sz w:val="15"/>
                <w:szCs w:val="15"/>
              </w:rPr>
              <w:t>High</w:t>
            </w:r>
          </w:p>
        </w:tc>
      </w:tr>
      <w:tr w:rsidR="00CD5CE4" w:rsidRPr="00131373" w14:paraId="34CBF24F"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2B3BCFC4" w14:textId="4C2E6E23" w:rsidR="00CD5CE4" w:rsidRPr="00131373" w:rsidRDefault="00CD5CE4" w:rsidP="00F72FC0">
            <w:pPr>
              <w:jc w:val="center"/>
              <w:rPr>
                <w:color w:val="000000"/>
                <w:sz w:val="15"/>
                <w:szCs w:val="15"/>
              </w:rPr>
            </w:pPr>
            <w:r w:rsidRPr="00131373">
              <w:rPr>
                <w:color w:val="000000"/>
                <w:sz w:val="15"/>
                <w:szCs w:val="15"/>
              </w:rPr>
              <w:t>Enomoto et al. (2018)</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{"citationID":"74sdP5aU","properties":{"formattedCitation":"\\super 20\\nosupersub{}","plainCitation":"20","noteIndex":0},"citationItems":[{"id":1670,"uris":["http://zotero.org/users/5317696/items/YP8KNAN7"],"itemData":{"id":1670,"type":"article-journal","abstract":"Background Interferon-free, direct-acting antiviral treatments can result in a sustained virologic response in nearly 100% of patients with chronic hepatitis C virus infection. Aims The purpose of this study was to evaluate histological improvement after achieving a sustained virologic response to direct-acting antiviral treatments in patients with chronic hepatitis C. Methods Among 691 patients with chronic hepatitis C who achieved a sustained virologic response to direct-acting antivirals, 51 underwent liver biopsy 41 ± 20 weeks after the end of treatment despite normal transaminase levels. In 20 patients, liver biopsy specimens obtained a median of 1.2 years before the start of treatment were available. Results Among the 51 patients who underwent post-sustained virologic response biopsies, the grade of inflammation was A0 in 18 patients, A1 in 24, A2 in eight, and A3 in one; the stage of fibrosis was F0 in three patients, F1 in 20, F2 in 15, F3 in nine, and F4 in four. Among the nine post-sustained virologic response biopsy specimens with moderate-to-severe inflammation (≥A2), four showed S1-to-S3 steatosis (&gt;5% of hepatocytes affected). In the 20 paired biopsy specimens, the inflammation grade significantly regressed (p = 0.0043), but the fibrosis stage did not (p = 0.45). Histological improvement, defined as a ≥ 2-point decrease in the Knodell inflammatory score and no worsening of the fibrosis, was found in 11 (55%) patients. The iron accumulation had significantly regressed (p = 0.0093), but the steatosis had not (p = 0.10). Conclusions Even if transaminases become normal after obtaining a sustained virologic response, significant histological inflammation of unknown cause was found in some patients. Additionally, improvement in liver fibrosis was not evident in the short term.","container-title":"United European Gastroenterology Journal","DOI":"10.1177/2050640618791053","ISSN":"2050-6414","issue":"9","journalAbbreviation":"UEG Journal","language":"en","license":"© 2018 The Authors. UEG Journal published by Wiley Periodicals LLC. on behalf of United European Gastroenterology","note":"_eprint: https://onlinelibrary.wiley.com/doi/pdf/10.1177/2050640618791053","page":"1391-1400","source":"Wiley Online Library","title":"Short-term histological evaluations after achieving a sustained virologic response to direct-acting antiviral treatment for chronic hepatitis C","URL":"https://onlinelibrary.wiley.com/doi/abs/10.1177/2050640618791053","volume":"6","author":[{"family":"Enomoto","given":"Masaru"},{"family":"Ikura","given":"Yoshihiro"},{"family":"Tamori","given":"Akihiro"},{"family":"Kozuka","given":"Ritsuzo"},{"family":"Motoyama","given":"Hiroyuki"},{"family":"Kawamura","given":"Etsushi"},{"family":"Hagihara","given":"Atsushi"},{"family":"Fujii","given":"Hideki"},{"family":"Uchida-Kobayashi","given":"Sawako"},{"family":"Morikawa","given":"Hiroyasu"},{"family":"Murakami","given":"Yoshiki"},{"family":"Kawada","given":"Norifumi"}],"accessed":{"date-parts":[["2025",8,21]]},"issued":{"date-parts":[["2018"]]}}}],"schema":"https://github.com/citation-style-language/schema/raw/master/csl-citation.json"} </w:instrText>
            </w:r>
            <w:r w:rsidR="003350B6">
              <w:rPr>
                <w:color w:val="000000"/>
                <w:sz w:val="15"/>
                <w:szCs w:val="15"/>
              </w:rPr>
              <w:fldChar w:fldCharType="separate"/>
            </w:r>
            <w:r w:rsidR="00C13599" w:rsidRPr="00C13599">
              <w:rPr>
                <w:sz w:val="15"/>
                <w:vertAlign w:val="superscript"/>
              </w:rPr>
              <w:t>20</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309E67FF" w14:textId="3F5CE1F7" w:rsidR="00CD5CE4" w:rsidRPr="00131373" w:rsidRDefault="00F75BC0" w:rsidP="00485C7C">
            <w:pPr>
              <w:jc w:val="center"/>
              <w:rPr>
                <w:color w:val="000000"/>
                <w:sz w:val="15"/>
                <w:szCs w:val="15"/>
              </w:rPr>
            </w:pPr>
            <w:r w:rsidRPr="00131373">
              <w:rPr>
                <w:color w:val="000000"/>
                <w:sz w:val="15"/>
                <w:szCs w:val="15"/>
              </w:rPr>
              <w:t>Retrospective</w:t>
            </w:r>
          </w:p>
        </w:tc>
        <w:tc>
          <w:tcPr>
            <w:tcW w:w="992" w:type="dxa"/>
            <w:tcBorders>
              <w:top w:val="nil"/>
              <w:left w:val="nil"/>
              <w:bottom w:val="single" w:sz="4" w:space="0" w:color="000000"/>
              <w:right w:val="single" w:sz="4" w:space="0" w:color="000000"/>
            </w:tcBorders>
            <w:noWrap/>
            <w:vAlign w:val="center"/>
          </w:tcPr>
          <w:p w14:paraId="48087AA7" w14:textId="77777777" w:rsidR="00CD5CE4" w:rsidRPr="00131373" w:rsidRDefault="00CD5CE4" w:rsidP="00485C7C">
            <w:pPr>
              <w:jc w:val="center"/>
              <w:rPr>
                <w:rFonts w:ascii="Wingdings" w:hAnsi="Wingdings"/>
                <w:color w:val="000000"/>
                <w:sz w:val="15"/>
                <w:szCs w:val="15"/>
              </w:rPr>
            </w:pPr>
            <w:bookmarkStart w:id="1" w:name="_Hlk206669268"/>
            <w:r w:rsidRPr="00131373">
              <w:rPr>
                <w:rFonts w:ascii="Wingdings" w:hAnsi="Wingdings"/>
                <w:color w:val="000000"/>
                <w:sz w:val="15"/>
                <w:szCs w:val="15"/>
              </w:rPr>
              <w:t>¶</w:t>
            </w:r>
            <w:bookmarkEnd w:id="1"/>
          </w:p>
        </w:tc>
        <w:tc>
          <w:tcPr>
            <w:tcW w:w="1134" w:type="dxa"/>
            <w:tcBorders>
              <w:top w:val="nil"/>
              <w:left w:val="nil"/>
              <w:bottom w:val="single" w:sz="4" w:space="0" w:color="000000"/>
              <w:right w:val="single" w:sz="4" w:space="0" w:color="000000"/>
            </w:tcBorders>
            <w:noWrap/>
            <w:vAlign w:val="center"/>
          </w:tcPr>
          <w:p w14:paraId="08562A6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CA604D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381582C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C45F25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126DDCD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1BBE5F5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715CD67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119C53B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35458900"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47A58AD5" w14:textId="404BD6C6" w:rsidR="00CD5CE4" w:rsidRPr="00131373" w:rsidRDefault="00AA7D9A" w:rsidP="00485C7C">
            <w:pPr>
              <w:jc w:val="center"/>
              <w:rPr>
                <w:color w:val="000000"/>
                <w:sz w:val="15"/>
                <w:szCs w:val="15"/>
              </w:rPr>
            </w:pPr>
            <w:r>
              <w:rPr>
                <w:color w:val="000000"/>
                <w:sz w:val="15"/>
                <w:szCs w:val="15"/>
              </w:rPr>
              <w:t>High</w:t>
            </w:r>
          </w:p>
        </w:tc>
      </w:tr>
      <w:tr w:rsidR="00CD5CE4" w:rsidRPr="00131373" w14:paraId="427BBE61"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2F1EA7A9" w14:textId="76ECDC93" w:rsidR="00CD5CE4" w:rsidRPr="00131373" w:rsidRDefault="00CD5CE4" w:rsidP="00F72FC0">
            <w:pPr>
              <w:jc w:val="center"/>
              <w:rPr>
                <w:color w:val="000000"/>
                <w:sz w:val="15"/>
                <w:szCs w:val="15"/>
              </w:rPr>
            </w:pPr>
            <w:r w:rsidRPr="00131373">
              <w:rPr>
                <w:color w:val="000000"/>
                <w:sz w:val="15"/>
                <w:szCs w:val="15"/>
              </w:rPr>
              <w:t>Huang et al. (2020)</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{"citationID":"9w8ExZ3t","properties":{"formattedCitation":"\\super 21\\nosupersub{}","plainCitation":"21","noteIndex":0},"citationItems":[{"id":1674,"uris":["http://zotero.org/users/5317696/items/6UKITX5D"],"itemData":{"id":1674,"type":"article-journal","container-title":"Journal of Hepatology","DOI":"10.1016/S0618-8278(19)31470-7","ISSN":"0168-8278, 1600-0641","issue":"1","journalAbbreviation":"Journal of Hepatology","language":"English","page":"e735-e736","publisher":"Elsevier","source":"www.journal-of-hepatology.eu","title":"SAT-237-Histological improvement of hepatitis C virus patients after achieving sustained virological response with direct-acting antivirals","URL":"https://www.journal-of-hepatology.eu/article/S0618-8278(19)31470-7/abstract","volume":"70","author":[{"family":"Huang","given":"Rui"},{"family":"Rao","given":"Huiying"},{"family":"Wei","given":"Lai"}],"accessed":{"date-parts":[["2025",8,21]]},"issued":{"date-parts":[["2019",4,1]]}}}],"schema":"https://github.com/citation-style-language/schema/raw/master/csl-citation.json"} </w:instrText>
            </w:r>
            <w:r w:rsidR="003350B6">
              <w:rPr>
                <w:color w:val="000000"/>
                <w:sz w:val="15"/>
                <w:szCs w:val="15"/>
              </w:rPr>
              <w:fldChar w:fldCharType="separate"/>
            </w:r>
            <w:r w:rsidR="00C13599" w:rsidRPr="00C13599">
              <w:rPr>
                <w:sz w:val="15"/>
                <w:vertAlign w:val="superscript"/>
              </w:rPr>
              <w:t>21</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4612DDB4" w14:textId="18553D1F" w:rsidR="00CD5CE4" w:rsidRPr="00131373" w:rsidRDefault="00F75BC0" w:rsidP="00485C7C">
            <w:pPr>
              <w:jc w:val="center"/>
              <w:rPr>
                <w:color w:val="000000"/>
                <w:sz w:val="15"/>
                <w:szCs w:val="15"/>
              </w:rPr>
            </w:pPr>
            <w:r w:rsidRPr="00131373">
              <w:rPr>
                <w:color w:val="000000"/>
                <w:sz w:val="15"/>
                <w:szCs w:val="15"/>
              </w:rPr>
              <w:t>Retrospective</w:t>
            </w:r>
          </w:p>
        </w:tc>
        <w:tc>
          <w:tcPr>
            <w:tcW w:w="992" w:type="dxa"/>
            <w:tcBorders>
              <w:top w:val="nil"/>
              <w:left w:val="nil"/>
              <w:bottom w:val="single" w:sz="4" w:space="0" w:color="000000"/>
              <w:right w:val="single" w:sz="4" w:space="0" w:color="000000"/>
            </w:tcBorders>
            <w:noWrap/>
            <w:vAlign w:val="center"/>
          </w:tcPr>
          <w:p w14:paraId="5CD01E0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71CD20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7B1339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1414659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D8B48B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1371B16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0BAEBDD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49B6A92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7F83AC75"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797BF14C"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22E4E6EC" w14:textId="387B3F93" w:rsidR="00CD5CE4" w:rsidRPr="00131373" w:rsidRDefault="00AA7D9A" w:rsidP="00485C7C">
            <w:pPr>
              <w:jc w:val="center"/>
              <w:rPr>
                <w:color w:val="000000"/>
                <w:sz w:val="15"/>
                <w:szCs w:val="15"/>
              </w:rPr>
            </w:pPr>
            <w:r>
              <w:rPr>
                <w:color w:val="000000"/>
                <w:sz w:val="15"/>
                <w:szCs w:val="15"/>
              </w:rPr>
              <w:t>High</w:t>
            </w:r>
          </w:p>
        </w:tc>
      </w:tr>
      <w:tr w:rsidR="00CD5CE4" w:rsidRPr="00131373" w14:paraId="34B968F5"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6B27BF08" w14:textId="1256480D" w:rsidR="00CD5CE4" w:rsidRPr="00131373" w:rsidRDefault="00CD5CE4" w:rsidP="00F72FC0">
            <w:pPr>
              <w:jc w:val="center"/>
              <w:rPr>
                <w:color w:val="000000"/>
                <w:sz w:val="15"/>
                <w:szCs w:val="15"/>
              </w:rPr>
            </w:pPr>
            <w:r w:rsidRPr="00131373">
              <w:rPr>
                <w:color w:val="000000"/>
                <w:sz w:val="15"/>
                <w:szCs w:val="15"/>
              </w:rPr>
              <w:t>Zakareya et al. (2021)</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{"citationID":"e5jR5Cpg","properties":{"formattedCitation":"\\super 22\\nosupersub{}","plainCitation":"22","noteIndex":0},"citationItems":[{"id":1559,"uris":["http://zotero.org/users/5317696/items/ICK65H77"],"itemData":{"id":1559,"type":"article-journal","abstract":"Background/Objectives. Liver fibrosis is the inevitable end result of chronic hepatitis C (HCV) infection and is responsible for almost all liver-related complications. After the big advancement in therapeutics of HCV, liver fibrosis would expectedly improve after viral clearance. Many studies showed significant improvement of liver fibrosis shortly after successful treatment with direct acting antiviral agents (DAAs); however, the long-term changes have been scarcely addressed in the literature. We aimed to trace dynamical changes in liver stiffness 1, 3, and 5 years after HCV eradication. Methods. Liver stiffness measurements (LSM) have been serially assessed 1, 3, and 5 years after HCV clearance in 655 patients who have been treated with DAAs. Results. The mean age was 51.44 ± 10 years. 73% of patients were males. 48% were cirrhotics. In noncirrhotics, the mean LSM was significantly decreased from 8.29 ± 2.3 kPa to 4.03 ± 1.0 kPa\n              \n                \n                  \n                    \n                      p\n                      &lt;\n                      0.0001\n                    \n                  \n                \n              \n              at the end of the follow-up. Likewise, LSM decreased in cirrhotics from 29.66 ± 14.25 kPa to 22.50 ± 11.16 kPa\n              \n                \n                  \n                    \n                      p\n                      &lt;\n                      0.0001\n                    \n                  \n                \n              \n              . The proportions of F1, F2, F3, and F4 patients at the baseline were 17.7%, 17.9%, 16.6%, and 47.8%, which became 56.5%, 4.1%, 4.9%, and 34.5%, respectively, with a substantial reversal of cirrhosis in 87 patients (27.7%) at the end of follow-up. Conclusions. There was an overall significant regression of liver stiffness in all patients after sustained HCV eradication. Liver stiffness reflecting mild fibrosis (F0–F2) usually improves shortly after treatment, while measurements reflecting advanced fibrosis (F3–F4) take a longer time to regress to lower fibrosis stages.","container-title":"Canadian Journal of Gastroenterology and Hepatology","DOI":"10.1155/2021/4961919","ISSN":"2291-2797, 2291-2789","journalAbbreviation":"Canadian Journal of Gastroenterology and Hepatology","language":"en","license":"https://creativecommons.org/licenses/by/4.0/","page":"1-9","source":"DOI.org (Crossref)","title":"Long-Term Impact of Hepatitis C Virus Eradication on Liver Stiffness in Egyptian Patients","URL":"https://www.hindawi.com/journals/cjgh/2021/4961919/","volume":"2021","author":[{"family":"Zakareya","given":"Talaat"},{"family":"Elhelbawy","given":"Mostafa"},{"family":"Elzohry","given":"Hassan"},{"family":"Eltabbakh","given":"Mohamed"},{"family":"Deif","given":"Mohamed"},{"family":"Abbasy","given":"Mohamed"}],"editor":[{"family":"Kanda","given":"Tatsuo"}],"accessed":{"date-parts":[["2025",5,15]]},"issued":{"date-parts":[["2021",9,20]]}}}],"schema":"https://github.com/citation-style-language/schema/raw/master/csl-citation.json"} </w:instrText>
            </w:r>
            <w:r w:rsidR="003350B6">
              <w:rPr>
                <w:color w:val="000000"/>
                <w:sz w:val="15"/>
                <w:szCs w:val="15"/>
              </w:rPr>
              <w:fldChar w:fldCharType="separate"/>
            </w:r>
            <w:r w:rsidR="003758D4" w:rsidRPr="003758D4">
              <w:rPr>
                <w:sz w:val="15"/>
                <w:vertAlign w:val="superscript"/>
              </w:rPr>
              <w:t>22</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6ED87A3C" w14:textId="0E5AC8F8"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01D6320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14A157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226C87B"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4E5FB64"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05E9E39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78CD4E3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773F0B9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48AD92A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45E0CE7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5C5C857D"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6479EE57" w14:textId="6B42B57A" w:rsidR="00CD5CE4" w:rsidRPr="00131373" w:rsidRDefault="00AA7D9A" w:rsidP="00485C7C">
            <w:pPr>
              <w:jc w:val="center"/>
              <w:rPr>
                <w:color w:val="000000"/>
                <w:sz w:val="15"/>
                <w:szCs w:val="15"/>
              </w:rPr>
            </w:pPr>
            <w:r>
              <w:rPr>
                <w:color w:val="000000"/>
                <w:sz w:val="15"/>
                <w:szCs w:val="15"/>
              </w:rPr>
              <w:t>High</w:t>
            </w:r>
          </w:p>
        </w:tc>
      </w:tr>
      <w:tr w:rsidR="00CD5CE4" w:rsidRPr="00131373" w14:paraId="5C2A17BB"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336290C0" w14:textId="544B0720" w:rsidR="00CD5CE4" w:rsidRPr="00131373" w:rsidRDefault="00CD5CE4" w:rsidP="00F72FC0">
            <w:pPr>
              <w:jc w:val="center"/>
              <w:rPr>
                <w:color w:val="000000"/>
                <w:sz w:val="15"/>
                <w:szCs w:val="15"/>
              </w:rPr>
            </w:pPr>
            <w:r w:rsidRPr="00131373">
              <w:rPr>
                <w:color w:val="000000"/>
                <w:sz w:val="15"/>
                <w:szCs w:val="15"/>
              </w:rPr>
              <w:t>Ferra-Murcia et al. (2022)</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{"citationID":"bWjo5u3f","properties":{"formattedCitation":"\\super 23\\nosupersub{}","plainCitation":"23","noteIndex":0},"citationItems":[{"id":1571,"uris":["http://zotero.org/users/5317696/items/7P72K2UR"],"itemData":{"id":1571,"type":"article-journal","abstract":"Treatment with interferon-free direct-acting antivirals (DAA) has become the gold standard in chronic hepatitis C virus (HCV) infection. Nevertheless, little research about the metabolic impact of achieving sustained virological response (SVR) is available in HCV/HIV co-infected patients. This research aimed to evaluate early anthropometric, lipid and liver parameters changes after achieving SVR 12 weeks after treatment (SVR12). A real-life retrospective descriptive before-after study assessed 128 DAA treatment episodes from 2015 to 2019 in HCV/HIV co-infected patients. Anthropometric parameters (weight, body mass index), lipid proﬁle, genotype (GT) and viral load, liver data (basics laboratory necroinﬂammatory parameters and transient elastography (TE)) were collected before treatment with DAA (baseline), and when SVR12 was achieved. Signiﬁcant increases (p &lt; 0.01) were found in the early lipid proﬁle, measured by LDLc (84.6 ± 35.0 vs. 108.6 ± 35.1 mg/dL) and total cholesterol (161.3 ± 41.0 vs. 183.3 ± 41.6 mg/dL). Signiﬁcant changes (p &lt; 0.05) were found in liver parameters, measured by ALT (58.2 ± 34.0 vs. 22.0 ± 16.0 U/L), bilirubin (0.8 ± 0.6 vs. 0.6 ± 0.5 mg/dL), albumin (4.2 ± 0.4 vs. 4.3 ± 0.3 g/dL) and liver stiffness (LS) (13.7 ± 13.3 vs. 11.8 ± 12.1 kPa). The main conclusions were that the use of DAA has an early negative impact on lipid metabolism. Achieving SVR12 against HCV leads to an early improvement in liver function and LS in HCV/HIV co-infected patients without interference with antiretroviral treatment (ART) and DAA. Short-term close lipid monitoring may be necessary when combining protease inhibitors. HCV-GT-3/HIV co-infected patients might require further close monitoring for residual ﬁbrosis. These ﬁndings can be relevant for actual clinical practice.","container-title":"Journal of Clinical Medicine","DOI":"10.3390/jcm11092639","ISSN":"2077-0383","issue":"9","journalAbbreviation":"JCM","language":"en","license":"https://creativecommons.org/licenses/by/4.0/","page":"2639","source":"DOI.org (Crossref)","title":"Real-Life Early Anthropometric, Lipid and Liver Changes after Direct-Acting Antiviral Therapy in PLWHIV with HCV Co-Infection","URL":"https://www.mdpi.com/2077-0383/11/9/2639","volume":"11","author":[{"family":"Ferra-Murcia","given":"Sergio"},{"family":"Collado-Romacho","given":"Antonio Ramón"},{"family":"Nievas-Soriano","given":"Bruno José"},{"family":"Reche-Lorite","given":"Fernando"},{"family":"Parrón-Carreño","given":"Tesifón"}],"accessed":{"date-parts":[["2025",5,15]]},"issued":{"date-parts":[["2022",5,7]]}}}],"schema":"https://github.com/citation-style-language/schema/raw/master/csl-citation.json"} </w:instrText>
            </w:r>
            <w:r w:rsidR="003350B6">
              <w:rPr>
                <w:color w:val="000000"/>
                <w:sz w:val="15"/>
                <w:szCs w:val="15"/>
              </w:rPr>
              <w:fldChar w:fldCharType="separate"/>
            </w:r>
            <w:r w:rsidR="003758D4" w:rsidRPr="003758D4">
              <w:rPr>
                <w:sz w:val="15"/>
                <w:vertAlign w:val="superscript"/>
              </w:rPr>
              <w:t>23</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6757E4CC" w14:textId="2A02C362" w:rsidR="00CD5CE4" w:rsidRPr="00131373" w:rsidRDefault="00F75BC0" w:rsidP="00485C7C">
            <w:pPr>
              <w:jc w:val="center"/>
              <w:rPr>
                <w:color w:val="000000"/>
                <w:sz w:val="15"/>
                <w:szCs w:val="15"/>
              </w:rPr>
            </w:pPr>
            <w:r w:rsidRPr="00131373">
              <w:rPr>
                <w:color w:val="000000"/>
                <w:sz w:val="15"/>
                <w:szCs w:val="15"/>
              </w:rPr>
              <w:t>Observational Descriptive</w:t>
            </w:r>
          </w:p>
        </w:tc>
        <w:tc>
          <w:tcPr>
            <w:tcW w:w="992" w:type="dxa"/>
            <w:tcBorders>
              <w:top w:val="nil"/>
              <w:left w:val="nil"/>
              <w:bottom w:val="single" w:sz="4" w:space="0" w:color="000000"/>
              <w:right w:val="single" w:sz="4" w:space="0" w:color="000000"/>
            </w:tcBorders>
            <w:noWrap/>
            <w:vAlign w:val="center"/>
          </w:tcPr>
          <w:p w14:paraId="31F15827"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2CF952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409AC45A"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C6B84D8"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3D4054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7DB07C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38C528DE"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7EBD9780"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4A69F4F2"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5DE6D409" w14:textId="77777777" w:rsidR="00CD5CE4" w:rsidRPr="00131373" w:rsidRDefault="00CD5CE4"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7B613B3A" w14:textId="793909AB" w:rsidR="00CD5CE4" w:rsidRPr="00131373" w:rsidRDefault="00AA7D9A" w:rsidP="00485C7C">
            <w:pPr>
              <w:jc w:val="center"/>
              <w:rPr>
                <w:color w:val="000000"/>
                <w:sz w:val="15"/>
                <w:szCs w:val="15"/>
              </w:rPr>
            </w:pPr>
            <w:r>
              <w:rPr>
                <w:color w:val="000000"/>
                <w:sz w:val="15"/>
                <w:szCs w:val="15"/>
              </w:rPr>
              <w:t>High</w:t>
            </w:r>
          </w:p>
        </w:tc>
      </w:tr>
      <w:tr w:rsidR="00CD5CE4" w:rsidRPr="00131373" w14:paraId="5170AA20"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239D4A2C" w14:textId="43DAA192" w:rsidR="00CD5CE4" w:rsidRPr="00131373" w:rsidRDefault="00CD5CE4" w:rsidP="00F72FC0">
            <w:pPr>
              <w:jc w:val="center"/>
              <w:rPr>
                <w:color w:val="000000"/>
                <w:sz w:val="15"/>
                <w:szCs w:val="15"/>
              </w:rPr>
            </w:pPr>
            <w:proofErr w:type="spellStart"/>
            <w:r w:rsidRPr="00131373">
              <w:rPr>
                <w:color w:val="000000"/>
                <w:sz w:val="15"/>
                <w:szCs w:val="15"/>
              </w:rPr>
              <w:t>Argalia</w:t>
            </w:r>
            <w:proofErr w:type="spellEnd"/>
            <w:r w:rsidRPr="00131373">
              <w:rPr>
                <w:color w:val="000000"/>
                <w:sz w:val="15"/>
                <w:szCs w:val="15"/>
              </w:rPr>
              <w:t xml:space="preserve"> et al. (2021)</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{"citationID":"nrla84ir","properties":{"formattedCitation":"\\super 24\\nosupersub{}","plainCitation":"24","noteIndex":0},"citationItems":[{"id":1564,"uris":["http://zotero.org/users/5317696/items/EFVCTFAK"],"itemData":{"id":1564,"type":"article-journal","abstract":"Purpose To compare the ultrasound (US) and pulse shear wave elastography (pSWE, Elast PQ®) methods with transient elastography (TE), clinical scores and laboratory tests, during the follow-up of HCV patients receiving direct-acting antiviral drugs (DAA).\nMethods Our prospective study from June 2016 to December 2017 included 22 consecutively enrolled HCV-positive patients (59.7 ± 12.3 years, 11 male) which were subjected to antiviral therapy. All patients underwent B-mode ultrasound, colorDoppler, pSWE and TE five times: before therapy (T0), at the end of therapy (post-Tx), and at 12, 24, 48 weeks post-therapy. The liver stiffness (LS) values obtained with pSWE and TE and the data coming from US assessment and clinical evaluation were compared.\nResults We obtained a statistically significant reduction of LS values (kPa) measured by pSWE, between T0 (14.3 ± 9.3), post-Tx (11.8 ± 10.5), 12 weeks (7.5 ± 3.3), 24 weeks (8 ± 3.8) and 48 weeks (8.5 ± 4.6) (p = 0.02). The reduction of kPa measured by TE was not significant between T0 (14.7 ± 9.3), post-Tx (12 ± 9.5), 12 weeks (11.6 ± 7.7), 24 weeks (10.3 ± 6) and 48 weeks (10.8 ± 7.5) (p &gt; 0.05). Multivariate baseline analysis showed significant independent association among measurement of TE stiffness with cirrhosis, type of vein hepatic flow and showed significant independent association between delta-pSWE measurement (difference between stiffness measurements at the baseline and 12 months after treatment) with staging of fibrosis (p = 0.006) and sustained virologic response after 12 weeks of treatment (SVR12, p = 0.017).\nConclusion The pSWE method has shown better ability than TE to identify a reduction in LS. Therefore, pSWE allow to evaluate stiffness reduction in HCV patient during DAA treatment follow-up, which is related to SVR12.","container-title":"La radiologia medica","DOI":"10.1007/s11547-020-01326-4","ISSN":"0033-8362, 1826-6983","issue":"6","journalAbbreviation":"Radiol med","language":"en","page":"894-899","source":"DOI.org (Crossref)","title":"Shear wave elastography and transient elastography in HCV patients after direct-acting antivirals","URL":"https://link.springer.com/10.1007/s11547-020-01326-4","volume":"126","author":[{"family":"Argalia","given":"Giulio"},{"family":"Tarantino","given":"Giuseppe"},{"family":"Ventura","given":"Claudio"},{"family":"Campioni","given":"Daniele"},{"family":"Tagliati","given":"Corrado"},{"family":"Guardati","given":"Paola"},{"family":"Kostandini","given":"Alba"},{"family":"Marzioni","given":"Marco"},{"family":"Giuseppetti","given":"Gian Marco"},{"family":"Giovagnoni","given":"Andrea"}],"accessed":{"date-parts":[["2025",5,15]]},"issued":{"date-parts":[["2021",6]]}}}],"schema":"https://github.com/citation-style-language/schema/raw/master/csl-citation.json"} </w:instrText>
            </w:r>
            <w:r w:rsidR="003350B6">
              <w:rPr>
                <w:color w:val="000000"/>
                <w:sz w:val="15"/>
                <w:szCs w:val="15"/>
              </w:rPr>
              <w:fldChar w:fldCharType="separate"/>
            </w:r>
            <w:r w:rsidR="003758D4" w:rsidRPr="003758D4">
              <w:rPr>
                <w:sz w:val="15"/>
                <w:vertAlign w:val="superscript"/>
              </w:rPr>
              <w:t>24</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64333FBE" w14:textId="4411D781" w:rsidR="00CD5CE4"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1D2139FC"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EBA49D9"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BAFC06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0742C11"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3CB787F"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7FDA5E53"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4" w:space="0" w:color="000000"/>
            </w:tcBorders>
            <w:noWrap/>
            <w:vAlign w:val="center"/>
          </w:tcPr>
          <w:p w14:paraId="77618D36"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74734295"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04CE329D" w14:textId="77777777" w:rsidR="00CD5CE4" w:rsidRPr="00131373" w:rsidRDefault="00CD5CE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75785479" w14:textId="77777777" w:rsidR="00CD5CE4" w:rsidRPr="00131373" w:rsidRDefault="00CD5CE4"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244DA2F0" w14:textId="1C34EB2C" w:rsidR="00CD5CE4" w:rsidRPr="00131373" w:rsidRDefault="00AA7D9A" w:rsidP="00485C7C">
            <w:pPr>
              <w:jc w:val="center"/>
              <w:rPr>
                <w:color w:val="000000"/>
                <w:sz w:val="15"/>
                <w:szCs w:val="15"/>
              </w:rPr>
            </w:pPr>
            <w:r>
              <w:rPr>
                <w:color w:val="000000"/>
                <w:sz w:val="15"/>
                <w:szCs w:val="15"/>
              </w:rPr>
              <w:t>High</w:t>
            </w:r>
          </w:p>
        </w:tc>
      </w:tr>
      <w:tr w:rsidR="00F75BC0" w:rsidRPr="00131373" w14:paraId="13EF519A"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077B09B0" w14:textId="5CD4ABA1" w:rsidR="00F75BC0" w:rsidRPr="00131373" w:rsidRDefault="00F75BC0" w:rsidP="00F72FC0">
            <w:pPr>
              <w:jc w:val="center"/>
              <w:rPr>
                <w:color w:val="000000"/>
                <w:sz w:val="15"/>
                <w:szCs w:val="15"/>
              </w:rPr>
            </w:pPr>
            <w:r w:rsidRPr="00131373">
              <w:rPr>
                <w:color w:val="000000"/>
                <w:sz w:val="15"/>
                <w:szCs w:val="15"/>
              </w:rPr>
              <w:t>Taneja et al. (2017)</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{"citationID":"ZOXW8N6g","properties":{"formattedCitation":"\\super 25\\nosupersub{}","plainCitation":"25","noteIndex":0},"citationItems":[{"id":1557,"uris":["http://zotero.org/users/5317696/items/Y3AXFJ44"],"itemData":{"id":1557,"type":"article-journal","abstract":"Aims: The data regarding the treatment of chronic hepatitis C (CHC) in renal transplant recipients is lacking from the Asia-Pacific region. Aim of the present study was to assess the safety and efficacy of directly acting antivirals (DAAs) in the treatment of CHC infection in renal transplant recipients.","container-title":"Nephrology","DOI":"10.1111/nep.13109","ISSN":"1320-5358, 1440-1797","issue":"9","journalAbbreviation":"Nephrology","language":"en","page":"876-882","source":"DOI.org (Crossref)","title":"Successful treatment of chronic hepatitis &lt;span style=\"font-variant:small-caps;\"&gt;C&lt;/span&gt; infection with directly acting antivirals in renal transplant recipients","title-short":"Successful treatment of chronic hepatitis &lt;span style=\"font-variant","URL":"https://onlinelibrary.wiley.com/doi/10.1111/nep.13109","volume":"23","author":[{"family":"Taneja","given":"Sunil"},{"family":"Duseja","given":"Ajay"},{"family":"De","given":"Arka"},{"family":"Kumar","given":"Vivek"},{"family":"Ramachandran","given":"Raja"},{"family":"Sharma","given":"Ashish"},{"family":"Dhiman","given":"Radha K"},{"family":"Gupta","given":"Krishan L"},{"family":"Chawla","given":"Yogesh"}],"accessed":{"date-parts":[["2025",5,15]]},"issued":{"date-parts":[["2018",9]]}}}],"schema":"https://github.com/citation-style-language/schema/raw/master/csl-citation.json"} </w:instrText>
            </w:r>
            <w:r w:rsidR="003350B6">
              <w:rPr>
                <w:color w:val="000000"/>
                <w:sz w:val="15"/>
                <w:szCs w:val="15"/>
              </w:rPr>
              <w:fldChar w:fldCharType="separate"/>
            </w:r>
            <w:r w:rsidR="003758D4" w:rsidRPr="003758D4">
              <w:rPr>
                <w:sz w:val="15"/>
                <w:vertAlign w:val="superscript"/>
              </w:rPr>
              <w:t>25</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162F484E" w14:textId="597D7AB7" w:rsidR="00F75BC0" w:rsidRPr="00131373" w:rsidRDefault="00F75BC0" w:rsidP="00485C7C">
            <w:pPr>
              <w:jc w:val="center"/>
              <w:rPr>
                <w:color w:val="000000"/>
                <w:sz w:val="15"/>
                <w:szCs w:val="15"/>
              </w:rPr>
            </w:pPr>
            <w:r w:rsidRPr="00131373">
              <w:rPr>
                <w:color w:val="000000"/>
                <w:sz w:val="15"/>
                <w:szCs w:val="15"/>
              </w:rPr>
              <w:t>Real life observational cohort analysis</w:t>
            </w:r>
          </w:p>
        </w:tc>
        <w:tc>
          <w:tcPr>
            <w:tcW w:w="992" w:type="dxa"/>
            <w:tcBorders>
              <w:top w:val="nil"/>
              <w:left w:val="nil"/>
              <w:bottom w:val="single" w:sz="4" w:space="0" w:color="000000"/>
              <w:right w:val="single" w:sz="4" w:space="0" w:color="000000"/>
            </w:tcBorders>
            <w:noWrap/>
            <w:vAlign w:val="center"/>
          </w:tcPr>
          <w:p w14:paraId="2EF5A7FC"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13A4B9C"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54736A13"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AB942E7"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0487640"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6ED6963"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6CF0E9A2"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713FD08D"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3830B639"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3FCB6C11" w14:textId="77777777" w:rsidR="00F75BC0" w:rsidRPr="00131373" w:rsidRDefault="00F75BC0"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79FDAD53" w14:textId="352EA8D0" w:rsidR="00F75BC0" w:rsidRPr="00131373" w:rsidRDefault="00AA7D9A" w:rsidP="00485C7C">
            <w:pPr>
              <w:jc w:val="center"/>
              <w:rPr>
                <w:color w:val="000000"/>
                <w:sz w:val="15"/>
                <w:szCs w:val="15"/>
              </w:rPr>
            </w:pPr>
            <w:r>
              <w:rPr>
                <w:color w:val="000000"/>
                <w:sz w:val="15"/>
                <w:szCs w:val="15"/>
              </w:rPr>
              <w:t>High</w:t>
            </w:r>
          </w:p>
        </w:tc>
      </w:tr>
      <w:tr w:rsidR="00F75BC0" w:rsidRPr="00131373" w14:paraId="37B9269A"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0A06B42C" w14:textId="3404FBEC" w:rsidR="00F75BC0" w:rsidRPr="00131373" w:rsidRDefault="00F75BC0" w:rsidP="00F72FC0">
            <w:pPr>
              <w:jc w:val="center"/>
              <w:rPr>
                <w:color w:val="000000"/>
                <w:sz w:val="15"/>
                <w:szCs w:val="15"/>
              </w:rPr>
            </w:pPr>
            <w:r w:rsidRPr="00131373">
              <w:rPr>
                <w:color w:val="000000"/>
                <w:sz w:val="15"/>
                <w:szCs w:val="15"/>
              </w:rPr>
              <w:t>Rasmy et al. (2023)</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{"citationID":"wMMM1SZ3","properties":{"formattedCitation":"\\super 26\\nosupersub{}","plainCitation":"26","noteIndex":0},"citationItems":[{"id":1568,"uris":["http://zotero.org/users/5317696/items/7V87SUXA"],"itemData":{"id":1568,"type":"article-journal","abstract":"Background Hepatitis C virus is the underlying cause of chronic hepatitis which frequently progresses to cirrhosis and hepatocellular carcinoma. In addition, HCV is thought to cause steatosis, dyslipidemia, insulin resistance, diabetes, obesity, and cardiovascular events. The aim of this study is to evaluate the role of serum RBP-4 in the prediction of fibrosis regression and the response of treatment among chronic HCV patients receiving direct-acting antiviral agents.\nMethods This study included 40 chronic HCV Egyptian patients, divided into two groups: Naive cases, 20 chronic HCV patients before starting first line of treatment; Relapser cases, 20 chronic HCV patients who were non-responders before starting second line treatment; and 10 healthy subjects as control. Laboratory investigations including complete blood count, full hepatic profile, fibroscan assessment, and retinol-binding protein-4 level at baseline and re-assessed 12 weeks after the end of treatment [sustained virological response SVR12]. Student T test, analysis of variance, chi-square, Tukey’s test, and Pearson correlation coefficient tests were used for statistical analysis.\nResults Baseline retinol-binding protein-4 level was significantly higher in the naïve case group than in the relapser and control groups with a P value of P value of &lt; 0.001. All the naïve patients had 100% SVR12, only 90% of the relapser group achieved SVR12. A significant reduction in retinol-binding protein-4 and fibrosis staging and measurements by fibroscan among all studied patients were noted after receiving direct acting antivirals (P value &lt; 0.001). Retinol-binding protein-4 levels before and after treatment were significantly lower among F4 patients in comparison to those of F1–F3 patients (P value 0.002, 0.009, respectively). The best cutoff value of retinol-binding protein-4 in the prediction of liver cirrhosis (F4) was ≤ 46 pg/ml with sensitivity of 100% and specificity of 66.67%.\nConclusion Serum retinol-binding protein-4 was found to be higher in chronic HCV infection with a significant reduction after successful eradication. Its level is much lower in cirrhotic patients [F4]. As a result, retinol-binding protein-4 may have a promising role in assessing direct acting antivirals response, as well as a prognostic value in predicting liver cirrhosis.","container-title":"Egyptian Liver Journal","DOI":"10.1186/s43066-023-00251-1","ISSN":"2090-6226","issue":"1","journalAbbreviation":"Egypt Liver Journal","language":"en","page":"16","source":"DOI.org (Crossref)","title":"Serum retinol-binding protein 4 as a predictor of fibrosis regression and response to direct-acting antiviral drugs in chronic hepatitis C virus patients","URL":"https://eglj.springeropen.com/articles/10.1186/s43066-023-00251-1","volume":"13","author":[{"family":"Rasmy","given":"Hany Samir"},{"family":"Elmalatawy","given":"Mohammed Abd Elfattah"},{"family":"ElKarmoty","given":"Khaled Zakaria"},{"family":"Abdelwarth","given":"Ebrahim Youssef"},{"family":"Isaac","given":"Amira"}],"accessed":{"date-parts":[["2025",5,15]]},"issued":{"date-parts":[["2023",3,30]]}}}],"schema":"https://github.com/citation-style-language/schema/raw/master/csl-citation.json"} </w:instrText>
            </w:r>
            <w:r w:rsidR="003350B6">
              <w:rPr>
                <w:color w:val="000000"/>
                <w:sz w:val="15"/>
                <w:szCs w:val="15"/>
              </w:rPr>
              <w:fldChar w:fldCharType="separate"/>
            </w:r>
            <w:r w:rsidR="003758D4" w:rsidRPr="003758D4">
              <w:rPr>
                <w:sz w:val="15"/>
                <w:vertAlign w:val="superscript"/>
              </w:rPr>
              <w:t>26</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3E3AA293" w14:textId="27E71455" w:rsidR="00F75BC0"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000000"/>
              <w:right w:val="single" w:sz="4" w:space="0" w:color="000000"/>
            </w:tcBorders>
            <w:noWrap/>
            <w:vAlign w:val="center"/>
          </w:tcPr>
          <w:p w14:paraId="6A7BA9C8"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52D4955"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5562F607"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0855491"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60A1957"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C7AF033"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435DCD50"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009A486A"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39D8AF86"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48D2772E" w14:textId="77777777" w:rsidR="00F75BC0" w:rsidRPr="00131373" w:rsidRDefault="00F75BC0"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4D32FA4C" w14:textId="5A0F0562" w:rsidR="00F75BC0" w:rsidRPr="00131373" w:rsidRDefault="00AA7D9A" w:rsidP="00485C7C">
            <w:pPr>
              <w:jc w:val="center"/>
              <w:rPr>
                <w:color w:val="000000"/>
                <w:sz w:val="15"/>
                <w:szCs w:val="15"/>
              </w:rPr>
            </w:pPr>
            <w:r>
              <w:rPr>
                <w:color w:val="000000"/>
                <w:sz w:val="15"/>
                <w:szCs w:val="15"/>
              </w:rPr>
              <w:t>High</w:t>
            </w:r>
          </w:p>
        </w:tc>
      </w:tr>
      <w:tr w:rsidR="00F75BC0" w:rsidRPr="00131373" w14:paraId="62012FC4"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17546562" w14:textId="4709F5EF" w:rsidR="00F75BC0" w:rsidRPr="00131373" w:rsidRDefault="00F75BC0" w:rsidP="00F72FC0">
            <w:pPr>
              <w:jc w:val="center"/>
              <w:rPr>
                <w:color w:val="000000"/>
                <w:sz w:val="15"/>
                <w:szCs w:val="15"/>
              </w:rPr>
            </w:pPr>
            <w:r w:rsidRPr="00131373">
              <w:rPr>
                <w:color w:val="000000"/>
                <w:sz w:val="15"/>
                <w:szCs w:val="15"/>
              </w:rPr>
              <w:t>Yoo et al. (2022)</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{"citationID":"zd5lnbOQ","properties":{"formattedCitation":"\\super 27\\nosupersub{}","plainCitation":"27","noteIndex":0},"citationItems":[{"id":1567,"uris":["http://zotero.org/users/5317696/items/XA5FHCDU"],"itemData":{"id":1567,"type":"article-journal","abstract":"Abstract\n            \n              We prospectively investigated the changes of liver stiffness (LS) and the occurrence of hepatocellular carcinoma (HCC) after hepatitis C virus (HCV) eradication using direct antiviral agents (DAA) over three years. LS measurement using transient elastography and serum fibrosis surrogate markers before treatment and at 48, 96, 144 weeks after starting direct-acting antivirals (DAA) according to the protocol were evaluated. Patients were also compared with historical cohort treated with pegylated interferon (peg-IFN). Sustained viral response (SVR) was observed in 95.8%. LS value in the patients achieving SVR significantly decreased over time (19.4 ± 12.9 kPa [baseline], 13.9 ± 9.1 kPa [48 weeks], 11.7 ± 8.2 kPa [96 weeks], 10.09 ± 6.23 [144 weeks], all\n              p\n               &lt; 0.001). With matched analysis, the decrease in LS value was significantly larger in DAA group than peg-IFN group at both 48 weeks (29% vs. 9%) and 96 weeks (39% vs. 17%). The incidence of HCC was not significantly different between DAA and peg-IFN groups (5.5% vs. 5.4%) at 144 weeks. HCV eradication with DAA can lead to improvement of liver stiffness over time. The regression of fibrosis was greater in the group with DAA than peg-IFN.\n            \n            Clinical trials registration: ClinicalTrials.gov (NCT02865369).","container-title":"Scientific Reports","DOI":"10.1038/s41598-021-03272-1","ISSN":"2045-2322","issue":"1","journalAbbreviation":"Sci Rep","language":"en","page":"193","PMID":"34996920","PMCID":"PMC8742091","source":"DOI.org (Crossref)","title":"Regression of liver fibrosis and hepatocellular carcinoma development after HCV eradication with oral antiviral agents","URL":"https://www.nature.com/articles/s41598-021-03272-1","volume":"12","author":[{"family":"Yoo","given":"Hae Won"},{"family":"Park","given":"Jun Yong"},{"family":"Kim","given":"Sang Gyune"},{"family":"Jung","given":"Young Kul"},{"family":"Lee","given":"Sae Hwan"},{"family":"Kim","given":"Moon Young"},{"family":"Jun","given":"Dae Won"},{"family":"Jang","given":"Jae Young"},{"family":"Lee","given":"Jin Woo"},{"family":"Kwon","given":"Oh Sang"}],"accessed":{"date-parts":[["2025",5,15]]},"issued":{"date-parts":[["2022",1,7]]}}}],"schema":"https://github.com/citation-style-language/schema/raw/master/csl-citation.json"} </w:instrText>
            </w:r>
            <w:r w:rsidR="003350B6">
              <w:rPr>
                <w:color w:val="000000"/>
                <w:sz w:val="15"/>
                <w:szCs w:val="15"/>
              </w:rPr>
              <w:fldChar w:fldCharType="separate"/>
            </w:r>
            <w:r w:rsidR="003758D4" w:rsidRPr="003758D4">
              <w:rPr>
                <w:sz w:val="15"/>
                <w:vertAlign w:val="superscript"/>
              </w:rPr>
              <w:t>27</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1BC22F81" w14:textId="6F1D8CC8" w:rsidR="00F75BC0" w:rsidRPr="00131373" w:rsidRDefault="00F75BC0" w:rsidP="00485C7C">
            <w:pPr>
              <w:jc w:val="center"/>
              <w:rPr>
                <w:color w:val="000000"/>
                <w:sz w:val="15"/>
                <w:szCs w:val="15"/>
              </w:rPr>
            </w:pPr>
            <w:r w:rsidRPr="00131373">
              <w:rPr>
                <w:color w:val="000000"/>
                <w:sz w:val="15"/>
                <w:szCs w:val="15"/>
              </w:rPr>
              <w:t>Prospective Observational Multi-centre</w:t>
            </w:r>
          </w:p>
        </w:tc>
        <w:tc>
          <w:tcPr>
            <w:tcW w:w="992" w:type="dxa"/>
            <w:tcBorders>
              <w:top w:val="nil"/>
              <w:left w:val="nil"/>
              <w:bottom w:val="single" w:sz="4" w:space="0" w:color="000000"/>
              <w:right w:val="single" w:sz="4" w:space="0" w:color="000000"/>
            </w:tcBorders>
            <w:noWrap/>
            <w:vAlign w:val="center"/>
          </w:tcPr>
          <w:p w14:paraId="03A5259C"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1A0788F"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343DEA34"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64EA83A"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5298A305"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4B2CA83"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4" w:space="0" w:color="000000"/>
            </w:tcBorders>
            <w:noWrap/>
            <w:vAlign w:val="center"/>
          </w:tcPr>
          <w:p w14:paraId="1A0FD94F"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6D107DBE"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2CB4DE42"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31BF43BF" w14:textId="77777777" w:rsidR="00F75BC0" w:rsidRPr="00131373" w:rsidRDefault="00F75BC0"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000000"/>
              <w:right w:val="single" w:sz="8" w:space="0" w:color="auto"/>
            </w:tcBorders>
            <w:noWrap/>
            <w:vAlign w:val="center"/>
          </w:tcPr>
          <w:p w14:paraId="1196D1F4" w14:textId="0D4E67EE" w:rsidR="00F75BC0" w:rsidRPr="00131373" w:rsidRDefault="00AA7D9A" w:rsidP="00485C7C">
            <w:pPr>
              <w:jc w:val="center"/>
              <w:rPr>
                <w:color w:val="000000"/>
                <w:sz w:val="15"/>
                <w:szCs w:val="15"/>
              </w:rPr>
            </w:pPr>
            <w:r>
              <w:rPr>
                <w:color w:val="000000"/>
                <w:sz w:val="15"/>
                <w:szCs w:val="15"/>
              </w:rPr>
              <w:t>High</w:t>
            </w:r>
          </w:p>
        </w:tc>
      </w:tr>
      <w:tr w:rsidR="00F75BC0" w:rsidRPr="00131373" w14:paraId="17FEAA11"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2475D166" w14:textId="693406C1" w:rsidR="00F75BC0" w:rsidRPr="00131373" w:rsidRDefault="00F75BC0" w:rsidP="00F72FC0">
            <w:pPr>
              <w:jc w:val="center"/>
              <w:rPr>
                <w:color w:val="000000"/>
                <w:sz w:val="15"/>
                <w:szCs w:val="15"/>
              </w:rPr>
            </w:pPr>
            <w:proofErr w:type="spellStart"/>
            <w:r w:rsidRPr="00131373">
              <w:rPr>
                <w:color w:val="000000"/>
                <w:sz w:val="15"/>
                <w:szCs w:val="15"/>
              </w:rPr>
              <w:t>Gadallah</w:t>
            </w:r>
            <w:proofErr w:type="spellEnd"/>
            <w:r w:rsidRPr="00131373">
              <w:rPr>
                <w:color w:val="000000"/>
                <w:sz w:val="15"/>
                <w:szCs w:val="15"/>
              </w:rPr>
              <w:t xml:space="preserve"> et al. (2023)</w:t>
            </w:r>
            <w:r w:rsidR="00C13599">
              <w:rPr>
                <w:color w:val="000000"/>
                <w:sz w:val="15"/>
                <w:szCs w:val="15"/>
              </w:rPr>
              <w:t xml:space="preserve"> </w:t>
            </w:r>
            <w:r w:rsidR="00C13599">
              <w:rPr>
                <w:color w:val="000000"/>
                <w:sz w:val="15"/>
                <w:szCs w:val="15"/>
              </w:rPr>
              <w:fldChar w:fldCharType="begin"/>
            </w:r>
            <w:r w:rsidR="003758D4">
              <w:rPr>
                <w:color w:val="000000"/>
                <w:sz w:val="15"/>
                <w:szCs w:val="15"/>
              </w:rPr>
              <w:instrText xml:space="preserve"> ADDIN ZOTERO_ITEM CSL_CITATION {"citationID":"FJzWH0VW","properties":{"formattedCitation":"\\super 28\\nosupersub{}","plainCitation":"28","noteIndex":0},"citationItems":[{"id":1661,"uris":["http://zotero.org/users/5317696/items/7R4YXH4U"],"itemData":{"id":1661,"type":"article-journal","abstract":"Aim Egypt has the highest incidence of hepatitis C virus (HCV) infection in the world. Fibrosis development is common in HCV cases, and it is important in disease prediction. The aim of this study was to demonstrate the role of fibro scan in assessment of changes in hepatic stiffness in patients with chronic HCV infection following direct acting antiviral treatment (DAAT). Methods This prospective observational research included 120 patients with compensated HCV infection. All patients were subjected to fibro scan before and after receiving DAAT. Patients' history, clinical examination, laboratory parameters (red - RBCs, and white blood cells - WBCs, hepatic function test, renal function test, coagulation profile, HBsAg, AFP - alpha feto protein, HbA1C, HCVAb) and fibro scan were done for all patients. Results Stiffness may differentiate F0-2 minimal fibrosis from F3-4 massive fibrosis using ROC-curve analysis, with 77.5% sensitivity, 90% specificity, 88.57% positive predictive value (PPV), and 80% negative predictive value (NPV). With sensitivity, specificity, PPV, and NPV of 71.4%, 44.5%, 43.48%, and 71.43%, respectively, the APRI-score can discriminate F0-2 from F3-4 at cutoff of 0.314. At a cutoff of 1.18, Fib4 calculation can discriminate F0-2 from F3-4, with sensitivity, specificity, PPV, and NPV of 78.6%, 64.1%, 63.04%, and 78.57%, respectively. Conclusion Hepatic fibrosis measurements such as fibro scan and non-invasive fibrosis scores (FIB-4) and aspartate aminotransferase (AST) to platelet ratio index (APRI) showed a significant improvement after direct-acting antiviral therapy. Improvements in hepatic function tests, serum creatinine level, and platelet count are also seen.","container-title":"Medicinski Glasnik: Official Publication of the Medical Association of Zenica-Doboj Canton, Bosnia and Herzegovina","DOI":"10.17392/1553-23","ISSN":"1840-2445","issue":"2","journalAbbreviation":"Med Glas (Zenica)","language":"eng","page":"188-195","PMID":"37589669","source":"PubMed","title":"Effects of direct acting antiviral therapy on liver stiffness measured by using fibro scan in Egyptian patients with chronic hepatitis C","URL":"https://medicinskiglasnik.ba/article/139","volume":"20","author":[{"family":"Gadallah","given":"Abdel Naser Abdel Atty"},{"family":"Bahnasi","given":"Abdullah Abdulaziz"},{"family":"Abdelfattah","given":"Waleed"},{"family":"Mousa","given":"Dr"},{"family":"Elsayaad","given":"Mohammed Shafiek Mohammed"},{"family":"Elbasyouni","given":"Hany Abdelbary Abdelaziz"}],"accessed":{"date-parts":[["2025",5,15]]},"issued":{"date-parts":[["2023",8,1]]}}}],"schema":"https://github.com/citation-style-language/schema/raw/master/csl-citation.json"} </w:instrText>
            </w:r>
            <w:r w:rsidR="00C13599">
              <w:rPr>
                <w:color w:val="000000"/>
                <w:sz w:val="15"/>
                <w:szCs w:val="15"/>
              </w:rPr>
              <w:fldChar w:fldCharType="separate"/>
            </w:r>
            <w:r w:rsidR="003758D4" w:rsidRPr="003758D4">
              <w:rPr>
                <w:sz w:val="15"/>
                <w:vertAlign w:val="superscript"/>
              </w:rPr>
              <w:t>28</w:t>
            </w:r>
            <w:r w:rsidR="00C13599">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56EEFD89" w14:textId="1C7CFF04" w:rsidR="00F75BC0" w:rsidRPr="00131373" w:rsidRDefault="00F75BC0" w:rsidP="00485C7C">
            <w:pPr>
              <w:jc w:val="center"/>
              <w:rPr>
                <w:color w:val="000000"/>
                <w:sz w:val="15"/>
                <w:szCs w:val="15"/>
              </w:rPr>
            </w:pPr>
            <w:r w:rsidRPr="00131373">
              <w:rPr>
                <w:color w:val="000000"/>
                <w:sz w:val="15"/>
                <w:szCs w:val="15"/>
              </w:rPr>
              <w:t>Prospective Observational</w:t>
            </w:r>
          </w:p>
        </w:tc>
        <w:tc>
          <w:tcPr>
            <w:tcW w:w="992" w:type="dxa"/>
            <w:tcBorders>
              <w:top w:val="nil"/>
              <w:left w:val="nil"/>
              <w:bottom w:val="single" w:sz="4" w:space="0" w:color="000000"/>
              <w:right w:val="single" w:sz="4" w:space="0" w:color="000000"/>
            </w:tcBorders>
            <w:noWrap/>
            <w:vAlign w:val="center"/>
          </w:tcPr>
          <w:p w14:paraId="2981558D"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1BBC176"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7AF9B164"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8174E40"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121D015"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9387F82"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67807BCF"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471AAF62"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65C70DC1"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20678613" w14:textId="77777777" w:rsidR="00F75BC0" w:rsidRPr="00131373" w:rsidRDefault="00F75BC0"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3E8F3C07" w14:textId="13F5DB72" w:rsidR="00F75BC0" w:rsidRPr="00131373" w:rsidRDefault="00AA7D9A" w:rsidP="00485C7C">
            <w:pPr>
              <w:jc w:val="center"/>
              <w:rPr>
                <w:color w:val="000000"/>
                <w:sz w:val="15"/>
                <w:szCs w:val="15"/>
              </w:rPr>
            </w:pPr>
            <w:r>
              <w:rPr>
                <w:color w:val="000000"/>
                <w:sz w:val="15"/>
                <w:szCs w:val="15"/>
              </w:rPr>
              <w:t>High</w:t>
            </w:r>
          </w:p>
        </w:tc>
      </w:tr>
      <w:tr w:rsidR="00F75BC0" w:rsidRPr="00131373" w14:paraId="5645CF51" w14:textId="77777777" w:rsidTr="00F72FC0">
        <w:trPr>
          <w:trHeight w:val="300"/>
        </w:trPr>
        <w:tc>
          <w:tcPr>
            <w:tcW w:w="1681" w:type="dxa"/>
            <w:tcBorders>
              <w:top w:val="nil"/>
              <w:left w:val="single" w:sz="8" w:space="0" w:color="auto"/>
              <w:bottom w:val="single" w:sz="4" w:space="0" w:color="000000"/>
              <w:right w:val="single" w:sz="8" w:space="0" w:color="000000"/>
            </w:tcBorders>
            <w:noWrap/>
            <w:vAlign w:val="center"/>
          </w:tcPr>
          <w:p w14:paraId="67170BF4" w14:textId="1ED895B3" w:rsidR="00F75BC0" w:rsidRPr="00131373" w:rsidRDefault="00F75BC0" w:rsidP="00F72FC0">
            <w:pPr>
              <w:jc w:val="center"/>
              <w:rPr>
                <w:color w:val="000000"/>
                <w:sz w:val="15"/>
                <w:szCs w:val="15"/>
              </w:rPr>
            </w:pPr>
            <w:r w:rsidRPr="00131373">
              <w:rPr>
                <w:color w:val="000000"/>
                <w:sz w:val="15"/>
                <w:szCs w:val="15"/>
              </w:rPr>
              <w:t>Nozaki et al. (2021)</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{"citationID":"ibMOf8xj","properties":{"formattedCitation":"\\super 29\\nosupersub{}","plainCitation":"29","noteIndex":0},"citationItems":[{"id":1563,"uris":["http://zotero.org/users/5317696/items/SCT3FN36"],"itemData":{"id":1563,"type":"article-journal","abstract":"Oral direct-acting antiviral (DAA) treatment leads to &gt;95% sustained virological response (SVR) and could be clinically useful in regression of liver ﬁbrosis in chronic hepatitis C virus (HCV) infection. We evaluated if ledipasvir/sofosbuvir or sofosbuvir + ribavirin is associated with regression of ﬁbrosis in HCV patients who achieved SVR.","container-title":"Medicine","DOI":"10.1097/MD.0000000000025110","ISSN":"0025-7974, 1536-5964","issue":"12","language":"en","page":"e25110","source":"DOI.org (Crossref)","title":"Sofosbuvir-based therapies associated with regression of liver fibrosis in patients with hepatitis C virus infection: A prospective observational study","title-short":"Sofosbuvir-based therapies associated with regression of liver fibrosis in patients with hepatitis C virus infection","URL":"https://journals.lww.com/10.1097/MD.0000000000025110","volume":"100","author":[{"family":"Nozaki","given":"Akito"},{"family":"Chuma","given":"Makoto"},{"family":"Hara","given":"Koji"},{"family":"Moriya","given":"Satoshi"},{"family":"Fukuda","given":"Hiroyuki"},{"family":"Numata","given":"Kazushi"},{"family":"Tanaka","given":"Katsuaki"},{"family":"Morimoto","given":"Manabu"},{"family":"Sakamaki","given":"Kentaro"},{"family":"Yamanaka","given":"Takeharu"},{"family":"Kondo","given":"Masaaki"},{"family":"Maeda","given":"Shin"}],"accessed":{"date-parts":[["2025",5,15]]},"issued":{"date-parts":[["2021",3,26]]}}}],"schema":"https://github.com/citation-style-language/schema/raw/master/csl-citation.json"} </w:instrText>
            </w:r>
            <w:r w:rsidR="003350B6">
              <w:rPr>
                <w:color w:val="000000"/>
                <w:sz w:val="15"/>
                <w:szCs w:val="15"/>
              </w:rPr>
              <w:fldChar w:fldCharType="separate"/>
            </w:r>
            <w:r w:rsidR="003758D4" w:rsidRPr="003758D4">
              <w:rPr>
                <w:sz w:val="15"/>
                <w:vertAlign w:val="superscript"/>
              </w:rPr>
              <w:t>29</w:t>
            </w:r>
            <w:r w:rsidR="003350B6">
              <w:rPr>
                <w:color w:val="000000"/>
                <w:sz w:val="15"/>
                <w:szCs w:val="15"/>
              </w:rPr>
              <w:fldChar w:fldCharType="end"/>
            </w:r>
          </w:p>
        </w:tc>
        <w:tc>
          <w:tcPr>
            <w:tcW w:w="1141" w:type="dxa"/>
            <w:tcBorders>
              <w:top w:val="nil"/>
              <w:left w:val="nil"/>
              <w:bottom w:val="single" w:sz="4" w:space="0" w:color="000000"/>
              <w:right w:val="single" w:sz="8" w:space="0" w:color="000000"/>
            </w:tcBorders>
            <w:noWrap/>
            <w:vAlign w:val="center"/>
          </w:tcPr>
          <w:p w14:paraId="7A328101" w14:textId="05744AFA" w:rsidR="00F75BC0" w:rsidRPr="00131373" w:rsidRDefault="00F75BC0" w:rsidP="00485C7C">
            <w:pPr>
              <w:jc w:val="center"/>
              <w:rPr>
                <w:color w:val="000000"/>
                <w:sz w:val="15"/>
                <w:szCs w:val="15"/>
              </w:rPr>
            </w:pPr>
            <w:r w:rsidRPr="00131373">
              <w:rPr>
                <w:color w:val="000000"/>
                <w:sz w:val="15"/>
                <w:szCs w:val="15"/>
              </w:rPr>
              <w:t>Prospective Cohort</w:t>
            </w:r>
          </w:p>
        </w:tc>
        <w:tc>
          <w:tcPr>
            <w:tcW w:w="992" w:type="dxa"/>
            <w:tcBorders>
              <w:top w:val="nil"/>
              <w:left w:val="nil"/>
              <w:bottom w:val="single" w:sz="4" w:space="0" w:color="000000"/>
              <w:right w:val="single" w:sz="4" w:space="0" w:color="000000"/>
            </w:tcBorders>
            <w:noWrap/>
            <w:vAlign w:val="center"/>
          </w:tcPr>
          <w:p w14:paraId="7E8BFCBE"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5B6C0F1D"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5B8CC2BF"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4217F2DA"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BCC6A64"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C1A45F5"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93" w:type="dxa"/>
            <w:tcBorders>
              <w:top w:val="nil"/>
              <w:left w:val="nil"/>
              <w:bottom w:val="single" w:sz="4" w:space="0" w:color="000000"/>
              <w:right w:val="single" w:sz="4" w:space="0" w:color="000000"/>
            </w:tcBorders>
            <w:noWrap/>
            <w:vAlign w:val="center"/>
          </w:tcPr>
          <w:p w14:paraId="76FABAB7"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000000"/>
              <w:right w:val="single" w:sz="4" w:space="0" w:color="000000"/>
            </w:tcBorders>
            <w:noWrap/>
            <w:vAlign w:val="center"/>
          </w:tcPr>
          <w:p w14:paraId="0BDA0235"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000000"/>
              <w:right w:val="single" w:sz="8" w:space="0" w:color="000000"/>
            </w:tcBorders>
            <w:noWrap/>
            <w:vAlign w:val="center"/>
          </w:tcPr>
          <w:p w14:paraId="45936B51"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000000"/>
              <w:right w:val="single" w:sz="8" w:space="0" w:color="000000"/>
            </w:tcBorders>
            <w:noWrap/>
            <w:vAlign w:val="center"/>
          </w:tcPr>
          <w:p w14:paraId="4388E7E1" w14:textId="77777777" w:rsidR="00F75BC0" w:rsidRPr="00131373" w:rsidRDefault="00F75BC0" w:rsidP="00485C7C">
            <w:pPr>
              <w:jc w:val="center"/>
              <w:rPr>
                <w:color w:val="000000"/>
                <w:sz w:val="15"/>
                <w:szCs w:val="15"/>
              </w:rPr>
            </w:pPr>
            <w:r w:rsidRPr="00131373">
              <w:rPr>
                <w:color w:val="000000"/>
                <w:sz w:val="15"/>
                <w:szCs w:val="15"/>
              </w:rPr>
              <w:t>7</w:t>
            </w:r>
          </w:p>
        </w:tc>
        <w:tc>
          <w:tcPr>
            <w:tcW w:w="1355" w:type="dxa"/>
            <w:tcBorders>
              <w:top w:val="nil"/>
              <w:left w:val="nil"/>
              <w:bottom w:val="single" w:sz="4" w:space="0" w:color="000000"/>
              <w:right w:val="single" w:sz="8" w:space="0" w:color="auto"/>
            </w:tcBorders>
            <w:noWrap/>
            <w:vAlign w:val="center"/>
          </w:tcPr>
          <w:p w14:paraId="76347A54" w14:textId="59F070EA" w:rsidR="00F75BC0" w:rsidRPr="00131373" w:rsidRDefault="00AA7D9A" w:rsidP="00485C7C">
            <w:pPr>
              <w:jc w:val="center"/>
              <w:rPr>
                <w:color w:val="000000"/>
                <w:sz w:val="15"/>
                <w:szCs w:val="15"/>
              </w:rPr>
            </w:pPr>
            <w:r>
              <w:rPr>
                <w:color w:val="000000"/>
                <w:sz w:val="15"/>
                <w:szCs w:val="15"/>
              </w:rPr>
              <w:t>High</w:t>
            </w:r>
          </w:p>
        </w:tc>
      </w:tr>
      <w:tr w:rsidR="00F75BC0" w:rsidRPr="00131373" w14:paraId="4B2B99DB" w14:textId="77777777" w:rsidTr="00F72FC0">
        <w:trPr>
          <w:trHeight w:val="300"/>
        </w:trPr>
        <w:tc>
          <w:tcPr>
            <w:tcW w:w="1681" w:type="dxa"/>
            <w:tcBorders>
              <w:top w:val="nil"/>
              <w:left w:val="single" w:sz="8" w:space="0" w:color="auto"/>
              <w:bottom w:val="single" w:sz="4" w:space="0" w:color="auto"/>
              <w:right w:val="single" w:sz="8" w:space="0" w:color="000000"/>
            </w:tcBorders>
            <w:noWrap/>
            <w:vAlign w:val="center"/>
          </w:tcPr>
          <w:p w14:paraId="6191E468" w14:textId="4F60E61A" w:rsidR="00F75BC0" w:rsidRPr="00131373" w:rsidRDefault="00F75BC0" w:rsidP="00F72FC0">
            <w:pPr>
              <w:jc w:val="center"/>
              <w:rPr>
                <w:color w:val="000000"/>
                <w:sz w:val="15"/>
                <w:szCs w:val="15"/>
              </w:rPr>
            </w:pPr>
            <w:proofErr w:type="spellStart"/>
            <w:r w:rsidRPr="00131373">
              <w:rPr>
                <w:color w:val="000000"/>
                <w:sz w:val="15"/>
                <w:szCs w:val="15"/>
              </w:rPr>
              <w:t>Chuaypen</w:t>
            </w:r>
            <w:proofErr w:type="spellEnd"/>
            <w:r w:rsidRPr="00131373">
              <w:rPr>
                <w:color w:val="000000"/>
                <w:sz w:val="15"/>
                <w:szCs w:val="15"/>
              </w:rPr>
              <w:t xml:space="preserve"> et al. (2021)</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{"citationID":"T4yt7jWX","properties":{"formattedCitation":"\\super 30\\nosupersub{}","plainCitation":"30","noteIndex":0},"citationItems":[{"id":1566,"uris":["http://zotero.org/users/5317696/items/3J7SDS9H"],"itemData":{"id":1566,"type":"article-journal","abstract":"Aim: Fibrosis regression has been observed in patients with chronic hepatitis C virus (HCV) infection treated with direct‐acting antivirals. This study was aimed at evaluating dynamic changes of serum Mac‐2‐binding protein glycosylation isomer (M2BPGi) in patients with HCV genotype 1 receiving elbasvir/grazoprevir.","container-title":"Hepatology Research","DOI":"10.1111/hepr.13630","ISSN":"1386-6346, 1872-034X","issue":"5","journalAbbreviation":"Hepatology Research","language":"en","page":"528-537","source":"DOI.org (Crossref)","title":"Liver fibrosis improvement assessed by magnetic resonance elastography and Mac‐2‐binding protein glycosylation isomer in patients with hepatitis C virus infection receiving direct‐acting antivirals","URL":"https://onlinelibrary.wiley.com/doi/10.1111/hepr.13630","volume":"51","author":[{"family":"Chuaypen","given":"Natthaya"},{"family":"Chittmittrapap","given":"Salyavit"},{"family":"Avihingsanon","given":"Anchalee"},{"family":"Siripongsakun","given":"Surachate"},{"family":"Wongpiyabovorn","given":"Jongkonnee"},{"family":"Tanpowpong","given":"Natthaporn"},{"family":"Tanaka","given":"Yasuhito"},{"family":"Tangkijvanich","given":"Pisit"}],"accessed":{"date-parts":[["2025",5,15]]},"issued":{"date-parts":[["2021",5]]}}}],"schema":"https://github.com/citation-style-language/schema/raw/master/csl-citation.json"} </w:instrText>
            </w:r>
            <w:r w:rsidR="003350B6">
              <w:rPr>
                <w:color w:val="000000"/>
                <w:sz w:val="15"/>
                <w:szCs w:val="15"/>
              </w:rPr>
              <w:fldChar w:fldCharType="separate"/>
            </w:r>
            <w:r w:rsidR="003758D4" w:rsidRPr="003758D4">
              <w:rPr>
                <w:sz w:val="15"/>
                <w:vertAlign w:val="superscript"/>
              </w:rPr>
              <w:t>30</w:t>
            </w:r>
            <w:r w:rsidR="003350B6">
              <w:rPr>
                <w:color w:val="000000"/>
                <w:sz w:val="15"/>
                <w:szCs w:val="15"/>
              </w:rPr>
              <w:fldChar w:fldCharType="end"/>
            </w:r>
          </w:p>
        </w:tc>
        <w:tc>
          <w:tcPr>
            <w:tcW w:w="1141" w:type="dxa"/>
            <w:tcBorders>
              <w:top w:val="nil"/>
              <w:left w:val="nil"/>
              <w:bottom w:val="single" w:sz="4" w:space="0" w:color="auto"/>
              <w:right w:val="single" w:sz="8" w:space="0" w:color="000000"/>
            </w:tcBorders>
            <w:noWrap/>
            <w:vAlign w:val="center"/>
          </w:tcPr>
          <w:p w14:paraId="34F45275" w14:textId="57D23FE1" w:rsidR="00F75BC0" w:rsidRPr="00131373" w:rsidRDefault="00F75BC0" w:rsidP="00485C7C">
            <w:pPr>
              <w:jc w:val="center"/>
              <w:rPr>
                <w:color w:val="000000"/>
                <w:sz w:val="15"/>
                <w:szCs w:val="15"/>
              </w:rPr>
            </w:pPr>
            <w:r w:rsidRPr="00131373">
              <w:rPr>
                <w:color w:val="000000"/>
                <w:sz w:val="15"/>
                <w:szCs w:val="15"/>
              </w:rPr>
              <w:t>Prospective</w:t>
            </w:r>
          </w:p>
        </w:tc>
        <w:tc>
          <w:tcPr>
            <w:tcW w:w="992" w:type="dxa"/>
            <w:tcBorders>
              <w:top w:val="nil"/>
              <w:left w:val="nil"/>
              <w:bottom w:val="single" w:sz="4" w:space="0" w:color="auto"/>
              <w:right w:val="single" w:sz="4" w:space="0" w:color="000000"/>
            </w:tcBorders>
            <w:noWrap/>
            <w:vAlign w:val="center"/>
          </w:tcPr>
          <w:p w14:paraId="1C0C22D4"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auto"/>
              <w:right w:val="single" w:sz="4" w:space="0" w:color="000000"/>
            </w:tcBorders>
            <w:noWrap/>
            <w:vAlign w:val="center"/>
          </w:tcPr>
          <w:p w14:paraId="18A0EE11"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auto"/>
              <w:right w:val="single" w:sz="4" w:space="0" w:color="000000"/>
            </w:tcBorders>
            <w:noWrap/>
            <w:vAlign w:val="center"/>
          </w:tcPr>
          <w:p w14:paraId="70D9CDDA"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auto"/>
              <w:right w:val="single" w:sz="8" w:space="0" w:color="000000"/>
            </w:tcBorders>
            <w:noWrap/>
            <w:vAlign w:val="center"/>
          </w:tcPr>
          <w:p w14:paraId="6EBB0F91"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auto"/>
              <w:right w:val="single" w:sz="4" w:space="0" w:color="000000"/>
            </w:tcBorders>
            <w:noWrap/>
            <w:vAlign w:val="center"/>
          </w:tcPr>
          <w:p w14:paraId="195112C2"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auto"/>
              <w:right w:val="single" w:sz="8" w:space="0" w:color="000000"/>
            </w:tcBorders>
            <w:noWrap/>
            <w:vAlign w:val="center"/>
          </w:tcPr>
          <w:p w14:paraId="5649514D"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auto"/>
              <w:right w:val="single" w:sz="4" w:space="0" w:color="000000"/>
            </w:tcBorders>
            <w:noWrap/>
            <w:vAlign w:val="center"/>
          </w:tcPr>
          <w:p w14:paraId="55C0D2FC"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nil"/>
              <w:left w:val="nil"/>
              <w:bottom w:val="single" w:sz="4" w:space="0" w:color="auto"/>
              <w:right w:val="single" w:sz="4" w:space="0" w:color="000000"/>
            </w:tcBorders>
            <w:noWrap/>
            <w:vAlign w:val="center"/>
          </w:tcPr>
          <w:p w14:paraId="616AE97B"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nil"/>
              <w:left w:val="nil"/>
              <w:bottom w:val="single" w:sz="4" w:space="0" w:color="auto"/>
              <w:right w:val="single" w:sz="8" w:space="0" w:color="000000"/>
            </w:tcBorders>
            <w:noWrap/>
            <w:vAlign w:val="center"/>
          </w:tcPr>
          <w:p w14:paraId="5D8C0F04"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nil"/>
              <w:left w:val="nil"/>
              <w:bottom w:val="single" w:sz="4" w:space="0" w:color="auto"/>
              <w:right w:val="single" w:sz="8" w:space="0" w:color="000000"/>
            </w:tcBorders>
            <w:noWrap/>
            <w:vAlign w:val="center"/>
          </w:tcPr>
          <w:p w14:paraId="6128E58B" w14:textId="77777777" w:rsidR="00F75BC0" w:rsidRPr="00131373" w:rsidRDefault="00F75BC0" w:rsidP="00485C7C">
            <w:pPr>
              <w:jc w:val="center"/>
              <w:rPr>
                <w:color w:val="000000"/>
                <w:sz w:val="15"/>
                <w:szCs w:val="15"/>
              </w:rPr>
            </w:pPr>
            <w:r w:rsidRPr="00131373">
              <w:rPr>
                <w:color w:val="000000"/>
                <w:sz w:val="15"/>
                <w:szCs w:val="15"/>
              </w:rPr>
              <w:t>8</w:t>
            </w:r>
          </w:p>
        </w:tc>
        <w:tc>
          <w:tcPr>
            <w:tcW w:w="1355" w:type="dxa"/>
            <w:tcBorders>
              <w:top w:val="nil"/>
              <w:left w:val="nil"/>
              <w:bottom w:val="single" w:sz="4" w:space="0" w:color="auto"/>
              <w:right w:val="single" w:sz="8" w:space="0" w:color="auto"/>
            </w:tcBorders>
            <w:noWrap/>
            <w:vAlign w:val="center"/>
          </w:tcPr>
          <w:p w14:paraId="78FADE35" w14:textId="4B05B6DA" w:rsidR="00F75BC0" w:rsidRPr="00131373" w:rsidRDefault="00AA7D9A" w:rsidP="00485C7C">
            <w:pPr>
              <w:jc w:val="center"/>
              <w:rPr>
                <w:color w:val="000000"/>
                <w:sz w:val="15"/>
                <w:szCs w:val="15"/>
              </w:rPr>
            </w:pPr>
            <w:r>
              <w:rPr>
                <w:color w:val="000000"/>
                <w:sz w:val="15"/>
                <w:szCs w:val="15"/>
              </w:rPr>
              <w:t>High</w:t>
            </w:r>
          </w:p>
        </w:tc>
      </w:tr>
      <w:tr w:rsidR="00F75BC0" w:rsidRPr="00131373" w14:paraId="21BDA66D" w14:textId="77777777" w:rsidTr="00F72FC0">
        <w:trPr>
          <w:trHeight w:val="300"/>
        </w:trPr>
        <w:tc>
          <w:tcPr>
            <w:tcW w:w="1681" w:type="dxa"/>
            <w:tcBorders>
              <w:top w:val="single" w:sz="4" w:space="0" w:color="auto"/>
              <w:left w:val="single" w:sz="4" w:space="0" w:color="auto"/>
              <w:bottom w:val="single" w:sz="4" w:space="0" w:color="auto"/>
              <w:right w:val="single" w:sz="4" w:space="0" w:color="auto"/>
            </w:tcBorders>
            <w:noWrap/>
            <w:vAlign w:val="center"/>
          </w:tcPr>
          <w:p w14:paraId="1BFAF51D" w14:textId="70291983" w:rsidR="00F75BC0" w:rsidRPr="00131373" w:rsidRDefault="00F75BC0" w:rsidP="00F72FC0">
            <w:pPr>
              <w:jc w:val="center"/>
              <w:rPr>
                <w:color w:val="000000"/>
                <w:sz w:val="15"/>
                <w:szCs w:val="15"/>
              </w:rPr>
            </w:pPr>
            <w:r w:rsidRPr="00131373">
              <w:rPr>
                <w:color w:val="000000"/>
                <w:sz w:val="15"/>
                <w:szCs w:val="15"/>
              </w:rPr>
              <w:t>Persico et al. (2018)</w:t>
            </w:r>
            <w:r w:rsidR="003350B6">
              <w:rPr>
                <w:color w:val="000000"/>
                <w:sz w:val="15"/>
                <w:szCs w:val="15"/>
              </w:rPr>
              <w:t xml:space="preserve"> </w:t>
            </w:r>
            <w:r w:rsidR="003350B6">
              <w:rPr>
                <w:color w:val="000000"/>
                <w:sz w:val="15"/>
                <w:szCs w:val="15"/>
              </w:rPr>
              <w:fldChar w:fldCharType="begin"/>
            </w:r>
            <w:r w:rsidR="003758D4">
              <w:rPr>
                <w:color w:val="000000"/>
                <w:sz w:val="15"/>
                <w:szCs w:val="15"/>
              </w:rPr>
              <w:instrText xml:space="preserve"> ADDIN ZOTERO_ITEM CSL_CITATION {"citationID":"TRezHLcR","properties":{"formattedCitation":"\\super 31\\nosupersub{}","plainCitation":"31","noteIndex":0},"citationItems":[{"id":1554,"uris":["http://zotero.org/users/5317696/items/UVWNAR69"],"itemData":{"id":1554,"type":"article-journal","abstract":"Background\n              Direct antiviral agents (DAA) demonstrated high efficacy among HCV-infected patients in registered trials. Nevertheless, the impact of these therapies on liver stiffness measurement (LSM) and liver functionality in ‘real-life’ is not well-known. The aim of the present study was to evaluate the sustained virological response (SVR) impact on LSM and clinical parameters of DAA-therapy on a real-life population of HCV patients with F3/F4 fibrosis.\n            \n            \n              Methods\n              A total of 749 HCV genotype 1–4 patients with F3/F4 hepatitis undergoing antiviral therapy were consecutively enrolled in four centres of hepatology in Italy. Clinical, biochemical and imaging data were collected at the baseline (T0), at the end of treatment (EoT) and after 12 weeks (SVR12).\n            \n            \n              Results\n              Out of 749 patients, 69.7% were F4 and 30.3% were F3. SVR12 was reached in 97.5%. LSM significantly decreased from T0 to EoT ( P&lt;0.001), whereas, it did not from EoT to SVR12 ( P= not significant). Moreover, in F4 no significant differences were found in Child and MELD between T0, EoT and SVR12 ( P= not significant). At the univariate analysis of clinical and liver parameters, baseline high glucose ( P&lt;0.005), type 2 diabetes ( P&lt;0.001), low alanine aminotransferase (ALT; P&lt;0.001), low platelets ( P&lt;0.005), and the presence of esophageal varices (EV; P&lt;0.001) were found to be associated with a lack of a significant EoT LSM improvement. At multiple regression, ALT ( P&lt;0.05), diabetes ( P&lt;0.005) and EV ( P&lt;0.05) were inversely associated with significant LSM reduction.\n            \n            \n              Conclusions\n              Virological response to DAA is associated with fibrosis regression and recovery of liver functionality and this can be detected as early as EoT. HCV eradication is associated with a rapid and significant clinical improvement that lasts over time and seems to be negatively influenced by diabetes and EV.","container-title":"Antiviral Therapy","DOI":"10.3851/IMP3186","ISSN":"1359-6535, 2040-2058","issue":"2","journalAbbreviation":"Antiviral Therapy","language":"en","page":"129-138","source":"DOI.org (Crossref)","title":"Sustained Virological Response by Direct Antiviral Agents in HCV Leads to an Early and Significant Improvement of Liver Fibrosis","URL":"https://journals.sagepub.com/doi/10.3851/IMP3186","volume":"23","author":[{"family":"Persico","given":"Marcello"},{"family":"Rosato","given":"Valerio"},{"family":"Aglitti","given":"Andrea"},{"family":"Precone","given":"Davide"},{"family":"Corrado","given":"Mariano"},{"family":"Luna","given":"Antonio De"},{"family":"Morisco","given":"Filomena"},{"family":"Camera","given":"Silvia"},{"family":"Federico","given":"Alessandro"},{"family":"Dallio","given":"Marcello"},{"family":"Claar","given":"Ernesto"},{"family":"Caporaso","given":"Nicola"},{"family":"Masarone","given":"Mario"}],"accessed":{"date-parts":[["2025",5,15]]},"issued":{"date-parts":[["2018",2]]}}}],"schema":"https://github.com/citation-style-language/schema/raw/master/csl-citation.json"} </w:instrText>
            </w:r>
            <w:r w:rsidR="003350B6">
              <w:rPr>
                <w:color w:val="000000"/>
                <w:sz w:val="15"/>
                <w:szCs w:val="15"/>
              </w:rPr>
              <w:fldChar w:fldCharType="separate"/>
            </w:r>
            <w:r w:rsidR="003758D4" w:rsidRPr="003758D4">
              <w:rPr>
                <w:sz w:val="15"/>
                <w:vertAlign w:val="superscript"/>
              </w:rPr>
              <w:t>31</w:t>
            </w:r>
            <w:r w:rsidR="003350B6">
              <w:rPr>
                <w:color w:val="000000"/>
                <w:sz w:val="15"/>
                <w:szCs w:val="15"/>
              </w:rPr>
              <w:fldChar w:fldCharType="end"/>
            </w:r>
          </w:p>
        </w:tc>
        <w:tc>
          <w:tcPr>
            <w:tcW w:w="1141" w:type="dxa"/>
            <w:tcBorders>
              <w:top w:val="single" w:sz="4" w:space="0" w:color="auto"/>
              <w:left w:val="single" w:sz="4" w:space="0" w:color="auto"/>
              <w:bottom w:val="single" w:sz="4" w:space="0" w:color="auto"/>
              <w:right w:val="single" w:sz="4" w:space="0" w:color="auto"/>
            </w:tcBorders>
            <w:noWrap/>
            <w:vAlign w:val="center"/>
          </w:tcPr>
          <w:p w14:paraId="059A0945" w14:textId="0CF5A727" w:rsidR="00F75BC0" w:rsidRPr="00131373" w:rsidRDefault="00F75BC0" w:rsidP="00485C7C">
            <w:pPr>
              <w:jc w:val="center"/>
              <w:rPr>
                <w:color w:val="000000"/>
                <w:sz w:val="15"/>
                <w:szCs w:val="15"/>
              </w:rPr>
            </w:pPr>
            <w:r w:rsidRPr="00131373">
              <w:rPr>
                <w:color w:val="000000"/>
                <w:sz w:val="15"/>
                <w:szCs w:val="15"/>
              </w:rPr>
              <w:t>Prospective, Non-interventional, Observational Multi-centre</w:t>
            </w:r>
          </w:p>
        </w:tc>
        <w:tc>
          <w:tcPr>
            <w:tcW w:w="992" w:type="dxa"/>
            <w:tcBorders>
              <w:top w:val="single" w:sz="4" w:space="0" w:color="auto"/>
              <w:left w:val="single" w:sz="4" w:space="0" w:color="auto"/>
              <w:bottom w:val="single" w:sz="4" w:space="0" w:color="auto"/>
              <w:right w:val="single" w:sz="4" w:space="0" w:color="auto"/>
            </w:tcBorders>
            <w:noWrap/>
            <w:vAlign w:val="center"/>
          </w:tcPr>
          <w:p w14:paraId="0162443B"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31E04CB3"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04EB2A87"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4CCB1E33"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7525F9C"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E2AB3FF"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67480CAF"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521B879D"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052E7D69" w14:textId="77777777" w:rsidR="00F75BC0" w:rsidRPr="00131373" w:rsidRDefault="00F75BC0"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single" w:sz="4" w:space="0" w:color="auto"/>
              <w:left w:val="single" w:sz="4" w:space="0" w:color="auto"/>
              <w:bottom w:val="single" w:sz="4" w:space="0" w:color="auto"/>
              <w:right w:val="single" w:sz="4" w:space="0" w:color="auto"/>
            </w:tcBorders>
            <w:noWrap/>
            <w:vAlign w:val="center"/>
          </w:tcPr>
          <w:p w14:paraId="638DE3C8" w14:textId="77777777" w:rsidR="00F75BC0" w:rsidRPr="00131373" w:rsidRDefault="00F75BC0" w:rsidP="00485C7C">
            <w:pPr>
              <w:jc w:val="center"/>
              <w:rPr>
                <w:color w:val="000000"/>
                <w:sz w:val="15"/>
                <w:szCs w:val="15"/>
              </w:rPr>
            </w:pPr>
            <w:r w:rsidRPr="00131373">
              <w:rPr>
                <w:color w:val="000000"/>
                <w:sz w:val="15"/>
                <w:szCs w:val="15"/>
              </w:rPr>
              <w:t>8</w:t>
            </w:r>
          </w:p>
        </w:tc>
        <w:tc>
          <w:tcPr>
            <w:tcW w:w="1355" w:type="dxa"/>
            <w:tcBorders>
              <w:top w:val="single" w:sz="4" w:space="0" w:color="auto"/>
              <w:left w:val="single" w:sz="4" w:space="0" w:color="auto"/>
              <w:bottom w:val="single" w:sz="4" w:space="0" w:color="auto"/>
              <w:right w:val="single" w:sz="4" w:space="0" w:color="auto"/>
            </w:tcBorders>
            <w:noWrap/>
            <w:vAlign w:val="center"/>
          </w:tcPr>
          <w:p w14:paraId="55686A2A" w14:textId="3544A8F4" w:rsidR="00F75BC0" w:rsidRPr="00131373" w:rsidRDefault="00AA7D9A" w:rsidP="00485C7C">
            <w:pPr>
              <w:jc w:val="center"/>
              <w:rPr>
                <w:color w:val="000000"/>
                <w:sz w:val="15"/>
                <w:szCs w:val="15"/>
              </w:rPr>
            </w:pPr>
            <w:r>
              <w:rPr>
                <w:color w:val="000000"/>
                <w:sz w:val="15"/>
                <w:szCs w:val="15"/>
              </w:rPr>
              <w:t>High</w:t>
            </w:r>
          </w:p>
        </w:tc>
      </w:tr>
      <w:tr w:rsidR="003758D4" w:rsidRPr="00131373" w14:paraId="1084BC3F" w14:textId="77777777" w:rsidTr="00F72FC0">
        <w:trPr>
          <w:trHeight w:val="300"/>
        </w:trPr>
        <w:tc>
          <w:tcPr>
            <w:tcW w:w="1681" w:type="dxa"/>
            <w:tcBorders>
              <w:top w:val="single" w:sz="4" w:space="0" w:color="auto"/>
              <w:left w:val="single" w:sz="4" w:space="0" w:color="auto"/>
              <w:bottom w:val="single" w:sz="4" w:space="0" w:color="auto"/>
              <w:right w:val="single" w:sz="4" w:space="0" w:color="auto"/>
            </w:tcBorders>
            <w:noWrap/>
            <w:vAlign w:val="center"/>
          </w:tcPr>
          <w:p w14:paraId="6D1BC406" w14:textId="5D5BB1A2" w:rsidR="003758D4" w:rsidRPr="00131373" w:rsidRDefault="003758D4" w:rsidP="00F72FC0">
            <w:pPr>
              <w:jc w:val="center"/>
              <w:rPr>
                <w:color w:val="000000"/>
                <w:sz w:val="15"/>
                <w:szCs w:val="15"/>
              </w:rPr>
            </w:pPr>
            <w:proofErr w:type="spellStart"/>
            <w:r>
              <w:rPr>
                <w:color w:val="000000"/>
                <w:sz w:val="15"/>
                <w:szCs w:val="15"/>
              </w:rPr>
              <w:t>Cavalletto</w:t>
            </w:r>
            <w:proofErr w:type="spellEnd"/>
            <w:r>
              <w:rPr>
                <w:color w:val="000000"/>
                <w:sz w:val="15"/>
                <w:szCs w:val="15"/>
              </w:rPr>
              <w:t xml:space="preserve"> et al (2025)</w:t>
            </w:r>
            <w:r>
              <w:rPr>
                <w:color w:val="000000"/>
                <w:sz w:val="15"/>
                <w:szCs w:val="15"/>
              </w:rPr>
              <w:fldChar w:fldCharType="begin"/>
            </w:r>
            <w:r w:rsidR="00485C7C">
              <w:rPr>
                <w:color w:val="000000"/>
                <w:sz w:val="15"/>
                <w:szCs w:val="15"/>
              </w:rPr>
              <w:instrText xml:space="preserve"> ADDIN ZOTERO_ITEM CSL_CITATION {"citationID":"8d4OIgp3","properties":{"formattedCitation":"\\super 32\\nosupersub{}","plainCitation":"32","noteIndex":0},"citationItems":[{"id":3811,"uris":["http://zotero.org/users/5317696/items/6APYWTI5"],"itemData":{"id":3811,"type":"article-journal","abstract":"Simple SummaryAfter availability of oral direct-acting antivirals for treatment of chronic hepatitis C, it is required to define the long-term effecti...","container-title":"Cancers","DOI":"10.3390/cancers17091528","ISSN":"2072-6694","issue":"9","language":"en","license":"http://creativecommons.org/licenses/by/3.0/","publisher":"Multidisciplinary Digital Publishing Institute","source":"www.mdpi.com","title":"Long-Term Risk of Hepatic and Extrahepatic-Related Events After Direct Antiviral Therapy for Chronic Hepatitis C: A Prospective Long-Term Study Cohort","title-short":"Long-Term Risk of Hepatic and Extrahepatic-Related Events After Direct Antiviral Therapy for Chronic Hepatitis C","URL":"https://www.mdpi.com/2072-6694/17/9/1528","volume":"17","author":[{"family":"Cavalletto","given":"Luisa"},{"family":"Bertoli","given":"Eleonora"},{"family":"Mescoli","given":"Claudia"},{"family":"Aliberti","given":"Camillo"},{"family":"Quaranta","given":"Maria Giovanna"},{"family":"Kondili","given":"Loreta"},{"family":"Chemello","given":"Liliana"}],"accessed":{"date-parts":[["2026",4,15]]},"issued":{"date-parts":[["2025",4,30]]}}}],"schema":"https://github.com/citation-style-language/schema/raw/master/csl-citation.json"} </w:instrText>
            </w:r>
            <w:r>
              <w:rPr>
                <w:color w:val="000000"/>
                <w:sz w:val="15"/>
                <w:szCs w:val="15"/>
              </w:rPr>
              <w:fldChar w:fldCharType="separate"/>
            </w:r>
            <w:r w:rsidR="00485C7C" w:rsidRPr="00485C7C">
              <w:rPr>
                <w:sz w:val="15"/>
                <w:vertAlign w:val="superscript"/>
              </w:rPr>
              <w:t>32</w:t>
            </w:r>
            <w:r>
              <w:rPr>
                <w:color w:val="000000"/>
                <w:sz w:val="15"/>
                <w:szCs w:val="15"/>
              </w:rPr>
              <w:fldChar w:fldCharType="end"/>
            </w:r>
          </w:p>
        </w:tc>
        <w:tc>
          <w:tcPr>
            <w:tcW w:w="1141" w:type="dxa"/>
            <w:tcBorders>
              <w:top w:val="single" w:sz="4" w:space="0" w:color="auto"/>
              <w:left w:val="single" w:sz="4" w:space="0" w:color="auto"/>
              <w:bottom w:val="single" w:sz="4" w:space="0" w:color="auto"/>
              <w:right w:val="single" w:sz="4" w:space="0" w:color="auto"/>
            </w:tcBorders>
            <w:noWrap/>
            <w:vAlign w:val="center"/>
          </w:tcPr>
          <w:p w14:paraId="5D3C1642" w14:textId="035B29A1" w:rsidR="003758D4" w:rsidRPr="00131373" w:rsidRDefault="003758D4" w:rsidP="00485C7C">
            <w:pPr>
              <w:jc w:val="center"/>
              <w:rPr>
                <w:color w:val="000000"/>
                <w:sz w:val="15"/>
                <w:szCs w:val="15"/>
              </w:rPr>
            </w:pPr>
            <w:r w:rsidRPr="00AA7D9A">
              <w:rPr>
                <w:color w:val="000000"/>
                <w:sz w:val="15"/>
                <w:szCs w:val="15"/>
              </w:rPr>
              <w:t>prospective multicentric observational</w:t>
            </w:r>
          </w:p>
        </w:tc>
        <w:tc>
          <w:tcPr>
            <w:tcW w:w="992" w:type="dxa"/>
            <w:tcBorders>
              <w:top w:val="single" w:sz="4" w:space="0" w:color="auto"/>
              <w:left w:val="single" w:sz="4" w:space="0" w:color="auto"/>
              <w:bottom w:val="single" w:sz="4" w:space="0" w:color="auto"/>
              <w:right w:val="single" w:sz="4" w:space="0" w:color="auto"/>
            </w:tcBorders>
            <w:noWrap/>
            <w:vAlign w:val="center"/>
          </w:tcPr>
          <w:p w14:paraId="652EDA62" w14:textId="5C523E74"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17CDDD5" w14:textId="5A32D563"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3E57145D" w14:textId="6B310A5C"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DB5016A" w14:textId="67170339"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1403F9E1" w14:textId="78E39DEF"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795F351" w14:textId="4F2EE02C"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4EA46EAC" w14:textId="3B4FA95E"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1536AD41" w14:textId="7A2140FA"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6DA1583F" w14:textId="68C6C21C"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single" w:sz="4" w:space="0" w:color="auto"/>
              <w:left w:val="single" w:sz="4" w:space="0" w:color="auto"/>
              <w:bottom w:val="single" w:sz="4" w:space="0" w:color="auto"/>
              <w:right w:val="single" w:sz="4" w:space="0" w:color="auto"/>
            </w:tcBorders>
            <w:noWrap/>
            <w:vAlign w:val="center"/>
          </w:tcPr>
          <w:p w14:paraId="61C36D95" w14:textId="389BDC8D" w:rsidR="003758D4" w:rsidRPr="00131373" w:rsidRDefault="003758D4" w:rsidP="00485C7C">
            <w:pPr>
              <w:jc w:val="center"/>
              <w:rPr>
                <w:color w:val="000000"/>
                <w:sz w:val="15"/>
                <w:szCs w:val="15"/>
              </w:rPr>
            </w:pPr>
            <w:r>
              <w:rPr>
                <w:color w:val="000000"/>
                <w:sz w:val="15"/>
                <w:szCs w:val="15"/>
              </w:rPr>
              <w:t>8</w:t>
            </w:r>
          </w:p>
        </w:tc>
        <w:tc>
          <w:tcPr>
            <w:tcW w:w="1355" w:type="dxa"/>
            <w:tcBorders>
              <w:top w:val="single" w:sz="4" w:space="0" w:color="auto"/>
              <w:left w:val="single" w:sz="4" w:space="0" w:color="auto"/>
              <w:bottom w:val="single" w:sz="4" w:space="0" w:color="auto"/>
              <w:right w:val="single" w:sz="4" w:space="0" w:color="auto"/>
            </w:tcBorders>
            <w:noWrap/>
            <w:vAlign w:val="center"/>
          </w:tcPr>
          <w:p w14:paraId="214FE158" w14:textId="1461A8DC" w:rsidR="003758D4" w:rsidRPr="00131373" w:rsidDel="00AA7D9A" w:rsidRDefault="003758D4" w:rsidP="00485C7C">
            <w:pPr>
              <w:jc w:val="center"/>
              <w:rPr>
                <w:color w:val="000000"/>
                <w:sz w:val="15"/>
                <w:szCs w:val="15"/>
              </w:rPr>
            </w:pPr>
            <w:r>
              <w:rPr>
                <w:color w:val="000000"/>
                <w:sz w:val="15"/>
                <w:szCs w:val="15"/>
              </w:rPr>
              <w:t>High</w:t>
            </w:r>
          </w:p>
        </w:tc>
      </w:tr>
      <w:tr w:rsidR="003758D4" w:rsidRPr="00131373" w14:paraId="27465FB0" w14:textId="77777777" w:rsidTr="00F72FC0">
        <w:trPr>
          <w:trHeight w:val="300"/>
        </w:trPr>
        <w:tc>
          <w:tcPr>
            <w:tcW w:w="1681" w:type="dxa"/>
            <w:tcBorders>
              <w:top w:val="single" w:sz="4" w:space="0" w:color="auto"/>
              <w:left w:val="single" w:sz="4" w:space="0" w:color="auto"/>
              <w:bottom w:val="single" w:sz="4" w:space="0" w:color="auto"/>
              <w:right w:val="single" w:sz="4" w:space="0" w:color="auto"/>
            </w:tcBorders>
            <w:noWrap/>
            <w:vAlign w:val="center"/>
          </w:tcPr>
          <w:p w14:paraId="22491F5D" w14:textId="1026E474" w:rsidR="003758D4" w:rsidRPr="00131373" w:rsidRDefault="003758D4" w:rsidP="00F72FC0">
            <w:pPr>
              <w:jc w:val="center"/>
              <w:rPr>
                <w:color w:val="000000"/>
                <w:sz w:val="15"/>
                <w:szCs w:val="15"/>
              </w:rPr>
            </w:pPr>
            <w:proofErr w:type="spellStart"/>
            <w:r>
              <w:rPr>
                <w:color w:val="000000"/>
                <w:sz w:val="15"/>
                <w:szCs w:val="15"/>
              </w:rPr>
              <w:t>Dashjamts</w:t>
            </w:r>
            <w:proofErr w:type="spellEnd"/>
            <w:r>
              <w:rPr>
                <w:color w:val="000000"/>
                <w:sz w:val="15"/>
                <w:szCs w:val="15"/>
              </w:rPr>
              <w:t xml:space="preserve"> et al (2025)</w:t>
            </w:r>
            <w:r>
              <w:rPr>
                <w:color w:val="000000"/>
                <w:sz w:val="15"/>
                <w:szCs w:val="15"/>
              </w:rPr>
              <w:fldChar w:fldCharType="begin"/>
            </w:r>
            <w:r w:rsidR="00485C7C">
              <w:rPr>
                <w:color w:val="000000"/>
                <w:sz w:val="15"/>
                <w:szCs w:val="15"/>
              </w:rPr>
              <w:instrText xml:space="preserve"> ADDIN ZOTERO_ITEM CSL_CITATION {"citationID":"zlQOlOCq","properties":{"formattedCitation":"\\super 33\\nosupersub{}","plainCitation":"33","noteIndex":0},"citationItems":[{"id":3812,"uris":["http://zotero.org/users/5317696/items/JXU7XR2A"],"itemData":{"id":3812,"type":"article-journal","abstract":"Background: Hepatitis C virus (HCV) infection accelerates the progression of chronic kidney disease (CKD), increasing the risk of kidney failure and e...","container-title":"Diseases","DOI":"10.3390/diseases13020026","ISSN":"2079-9721","issue":"2","language":"en","license":"http://creativecommons.org/licenses/by/3.0/","publisher":"Multidisciplinary Digital Publishing Institute","source":"www.mdpi.com","title":"Change in Estimated Glomerular Filtration Rate After Direct-Acting Antiviral Treatment in Chronic Hepatitis C Patients","URL":"https://www.mdpi.com/2079-9721/13/2/26","volume":"13","author":[{"family":"Dashjamts","given":"Gantogtokh"},{"family":"Ganzorig","given":"Amin-Erdene"},{"family":"Tsedendorj","given":"Yumchinsuren"},{"family":"Daramjav","given":"Dolgion"},{"family":"Khayankhyarvaa","given":"Enkhmend"},{"family":"Ulziitsogt","given":"Bolor"},{"family":"Nergui","given":"Otgongerel"},{"family":"Dondov","given":"Ganchimeg"},{"family":"Badamjav","given":"Tegshjargal"},{"family":"Lonjid","given":"Tulgaa"},{"family":"Huang","given":"Chung-Feng"},{"family":"Liang","given":"Po-Cheng"},{"family":"Batsaikhan","given":"Batbold"},{"family":"Dai","given":"Chia-Yen"}],"accessed":{"date-parts":[["2026",4,15]]},"issued":{"date-parts":[["2025",1,21]]}}}],"schema":"https://github.com/citation-style-language/schema/raw/master/csl-citation.json"} </w:instrText>
            </w:r>
            <w:r>
              <w:rPr>
                <w:color w:val="000000"/>
                <w:sz w:val="15"/>
                <w:szCs w:val="15"/>
              </w:rPr>
              <w:fldChar w:fldCharType="separate"/>
            </w:r>
            <w:r w:rsidR="00485C7C" w:rsidRPr="00485C7C">
              <w:rPr>
                <w:sz w:val="15"/>
                <w:vertAlign w:val="superscript"/>
              </w:rPr>
              <w:t>33</w:t>
            </w:r>
            <w:r>
              <w:rPr>
                <w:color w:val="000000"/>
                <w:sz w:val="15"/>
                <w:szCs w:val="15"/>
              </w:rPr>
              <w:fldChar w:fldCharType="end"/>
            </w:r>
          </w:p>
        </w:tc>
        <w:tc>
          <w:tcPr>
            <w:tcW w:w="1141" w:type="dxa"/>
            <w:tcBorders>
              <w:top w:val="single" w:sz="4" w:space="0" w:color="auto"/>
              <w:left w:val="single" w:sz="4" w:space="0" w:color="auto"/>
              <w:bottom w:val="single" w:sz="4" w:space="0" w:color="auto"/>
              <w:right w:val="single" w:sz="4" w:space="0" w:color="auto"/>
            </w:tcBorders>
            <w:noWrap/>
            <w:vAlign w:val="center"/>
          </w:tcPr>
          <w:p w14:paraId="6A45068D" w14:textId="23FDCBD9" w:rsidR="003758D4" w:rsidRPr="00131373" w:rsidRDefault="003758D4" w:rsidP="00485C7C">
            <w:pPr>
              <w:jc w:val="center"/>
              <w:rPr>
                <w:color w:val="000000"/>
                <w:sz w:val="15"/>
                <w:szCs w:val="15"/>
              </w:rPr>
            </w:pPr>
            <w:r w:rsidRPr="00AA7D9A">
              <w:rPr>
                <w:color w:val="000000"/>
                <w:sz w:val="15"/>
                <w:szCs w:val="15"/>
              </w:rPr>
              <w:t>Retrospective cohort study</w:t>
            </w:r>
          </w:p>
        </w:tc>
        <w:tc>
          <w:tcPr>
            <w:tcW w:w="992" w:type="dxa"/>
            <w:tcBorders>
              <w:top w:val="single" w:sz="4" w:space="0" w:color="auto"/>
              <w:left w:val="single" w:sz="4" w:space="0" w:color="auto"/>
              <w:bottom w:val="single" w:sz="4" w:space="0" w:color="auto"/>
              <w:right w:val="single" w:sz="4" w:space="0" w:color="auto"/>
            </w:tcBorders>
            <w:noWrap/>
            <w:vAlign w:val="center"/>
          </w:tcPr>
          <w:p w14:paraId="75195245" w14:textId="53674BA1"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6776155A" w14:textId="3CCD4205"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381E1A4D" w14:textId="296A8E30"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5E3D86E" w14:textId="244814DF"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40F2F9B5" w14:textId="7C556A80"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4462776F" w14:textId="73E3B93E"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108CBFA2" w14:textId="517F40D2"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02A06952" w14:textId="19E6A1A4"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5EF51C7E" w14:textId="3FD3D2E4"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single" w:sz="4" w:space="0" w:color="auto"/>
              <w:left w:val="single" w:sz="4" w:space="0" w:color="auto"/>
              <w:bottom w:val="single" w:sz="4" w:space="0" w:color="auto"/>
              <w:right w:val="single" w:sz="4" w:space="0" w:color="auto"/>
            </w:tcBorders>
            <w:noWrap/>
            <w:vAlign w:val="center"/>
          </w:tcPr>
          <w:p w14:paraId="7C530655" w14:textId="2FC2CAC7" w:rsidR="003758D4" w:rsidRPr="00131373" w:rsidRDefault="003758D4" w:rsidP="00485C7C">
            <w:pPr>
              <w:jc w:val="center"/>
              <w:rPr>
                <w:color w:val="000000"/>
                <w:sz w:val="15"/>
                <w:szCs w:val="15"/>
              </w:rPr>
            </w:pPr>
            <w:r>
              <w:rPr>
                <w:color w:val="000000"/>
                <w:sz w:val="15"/>
                <w:szCs w:val="15"/>
              </w:rPr>
              <w:t>8</w:t>
            </w:r>
          </w:p>
        </w:tc>
        <w:tc>
          <w:tcPr>
            <w:tcW w:w="1355" w:type="dxa"/>
            <w:tcBorders>
              <w:top w:val="single" w:sz="4" w:space="0" w:color="auto"/>
              <w:left w:val="single" w:sz="4" w:space="0" w:color="auto"/>
              <w:bottom w:val="single" w:sz="4" w:space="0" w:color="auto"/>
              <w:right w:val="single" w:sz="4" w:space="0" w:color="auto"/>
            </w:tcBorders>
            <w:noWrap/>
            <w:vAlign w:val="center"/>
          </w:tcPr>
          <w:p w14:paraId="1826E5B0" w14:textId="407E57AC" w:rsidR="003758D4" w:rsidRPr="00131373" w:rsidDel="00AA7D9A" w:rsidRDefault="003758D4" w:rsidP="00485C7C">
            <w:pPr>
              <w:jc w:val="center"/>
              <w:rPr>
                <w:color w:val="000000"/>
                <w:sz w:val="15"/>
                <w:szCs w:val="15"/>
              </w:rPr>
            </w:pPr>
            <w:r>
              <w:rPr>
                <w:color w:val="000000"/>
                <w:sz w:val="15"/>
                <w:szCs w:val="15"/>
              </w:rPr>
              <w:t>High</w:t>
            </w:r>
          </w:p>
        </w:tc>
      </w:tr>
      <w:tr w:rsidR="003758D4" w:rsidRPr="00131373" w14:paraId="36CC6EE2" w14:textId="77777777" w:rsidTr="00F72FC0">
        <w:trPr>
          <w:trHeight w:val="300"/>
        </w:trPr>
        <w:tc>
          <w:tcPr>
            <w:tcW w:w="1681" w:type="dxa"/>
            <w:tcBorders>
              <w:top w:val="single" w:sz="4" w:space="0" w:color="auto"/>
              <w:left w:val="single" w:sz="4" w:space="0" w:color="auto"/>
              <w:bottom w:val="single" w:sz="4" w:space="0" w:color="auto"/>
              <w:right w:val="single" w:sz="4" w:space="0" w:color="auto"/>
            </w:tcBorders>
            <w:noWrap/>
            <w:vAlign w:val="center"/>
          </w:tcPr>
          <w:p w14:paraId="344697E0" w14:textId="347CCF90" w:rsidR="003758D4" w:rsidRPr="00131373" w:rsidRDefault="003758D4" w:rsidP="00F72FC0">
            <w:pPr>
              <w:jc w:val="center"/>
              <w:rPr>
                <w:color w:val="000000"/>
                <w:sz w:val="15"/>
                <w:szCs w:val="15"/>
              </w:rPr>
            </w:pPr>
            <w:proofErr w:type="spellStart"/>
            <w:r>
              <w:rPr>
                <w:color w:val="000000"/>
                <w:sz w:val="15"/>
                <w:szCs w:val="15"/>
              </w:rPr>
              <w:t>Huiban</w:t>
            </w:r>
            <w:proofErr w:type="spellEnd"/>
            <w:r>
              <w:rPr>
                <w:color w:val="000000"/>
                <w:sz w:val="15"/>
                <w:szCs w:val="15"/>
              </w:rPr>
              <w:t xml:space="preserve"> et al (2024) </w:t>
            </w:r>
            <w:r>
              <w:rPr>
                <w:color w:val="000000"/>
                <w:sz w:val="15"/>
                <w:szCs w:val="15"/>
              </w:rPr>
              <w:fldChar w:fldCharType="begin"/>
            </w:r>
            <w:r w:rsidR="00485C7C">
              <w:rPr>
                <w:color w:val="000000"/>
                <w:sz w:val="15"/>
                <w:szCs w:val="15"/>
              </w:rPr>
              <w:instrText xml:space="preserve"> ADDIN ZOTERO_ITEM CSL_CITATION {"citationID":"lFsDhc2i","properties":{"formattedCitation":"\\super 34\\nosupersub{}","plainCitation":"34","noteIndex":0},"citationItems":[{"id":3813,"uris":["http://zotero.org/users/5317696/items/387BUJR2"],"itemData":{"id":3813,"type":"article-journal","abstract":"Background and Objectives: Sustained virologic responses (SVRs) lead to a decrease in portal hypertension, the regression of fibrosis, and the improve...","container-title":"Medicina","DOI":"10.3390/medicina60091539","ISSN":"1648-9144","issue":"9","language":"en","license":"http://creativecommons.org/licenses/by/3.0/","publisher":"Multidisciplinary Digital Publishing Institute","source":"www.mdpi.com","title":"Impact of Treatment with Direct Antivirals on Coagulation Parameters in Patients with Hepatitis C Virus-Related Liver Cirrhosis and Sustained Virological Response","URL":"https://www.mdpi.com/1648-9144/60/9/1539","volume":"60","author":[{"family":"Huiban","given":"Laura"},{"family":"Stanciu","given":"Carol"},{"family":"Muzica","given":"Cristina Maria"},{"family":"Girleanu","given":"Irina"},{"family":"Avram","given":"Raluca"},{"family":"Damian","given":"Ioana"},{"family":"Nastasa","given":"Robert"},{"family":"Stratina","given":"Ermina"},{"family":"Zenovia","given":"Sebastian"},{"family":"Minea","given":"Horia"},{"family":"Stafie","given":"Remus"},{"family":"Rotaru","given":"Adrian"},{"family":"Singeap","given":"Ana-Maria"},{"family":"Chiriac","given":"Stefan"},{"family":"Balmus","given":"Ioana-Miruna"},{"family":"Trifan","given":"Anca"}],"accessed":{"date-parts":[["2026",4,15]]},"issued":{"date-parts":[["2024",9,20]]}}}],"schema":"https://github.com/citation-style-language/schema/raw/master/csl-citation.json"} </w:instrText>
            </w:r>
            <w:r>
              <w:rPr>
                <w:color w:val="000000"/>
                <w:sz w:val="15"/>
                <w:szCs w:val="15"/>
              </w:rPr>
              <w:fldChar w:fldCharType="separate"/>
            </w:r>
            <w:r w:rsidR="00485C7C" w:rsidRPr="00485C7C">
              <w:rPr>
                <w:sz w:val="15"/>
                <w:vertAlign w:val="superscript"/>
              </w:rPr>
              <w:t>34</w:t>
            </w:r>
            <w:r>
              <w:rPr>
                <w:color w:val="000000"/>
                <w:sz w:val="15"/>
                <w:szCs w:val="15"/>
              </w:rPr>
              <w:fldChar w:fldCharType="end"/>
            </w:r>
          </w:p>
        </w:tc>
        <w:tc>
          <w:tcPr>
            <w:tcW w:w="1141" w:type="dxa"/>
            <w:tcBorders>
              <w:top w:val="single" w:sz="4" w:space="0" w:color="auto"/>
              <w:left w:val="single" w:sz="4" w:space="0" w:color="auto"/>
              <w:bottom w:val="single" w:sz="4" w:space="0" w:color="auto"/>
              <w:right w:val="single" w:sz="4" w:space="0" w:color="auto"/>
            </w:tcBorders>
            <w:noWrap/>
            <w:vAlign w:val="center"/>
          </w:tcPr>
          <w:p w14:paraId="133D488A" w14:textId="787DF973" w:rsidR="003758D4" w:rsidRPr="00131373" w:rsidRDefault="003758D4" w:rsidP="00485C7C">
            <w:pPr>
              <w:jc w:val="center"/>
              <w:rPr>
                <w:color w:val="000000"/>
                <w:sz w:val="15"/>
                <w:szCs w:val="15"/>
              </w:rPr>
            </w:pPr>
            <w:r w:rsidRPr="00AA7D9A">
              <w:rPr>
                <w:color w:val="000000"/>
                <w:sz w:val="15"/>
                <w:szCs w:val="15"/>
              </w:rPr>
              <w:t>prospective cohort study</w:t>
            </w:r>
          </w:p>
        </w:tc>
        <w:tc>
          <w:tcPr>
            <w:tcW w:w="992" w:type="dxa"/>
            <w:tcBorders>
              <w:top w:val="single" w:sz="4" w:space="0" w:color="auto"/>
              <w:left w:val="single" w:sz="4" w:space="0" w:color="auto"/>
              <w:bottom w:val="single" w:sz="4" w:space="0" w:color="auto"/>
              <w:right w:val="single" w:sz="4" w:space="0" w:color="auto"/>
            </w:tcBorders>
            <w:noWrap/>
            <w:vAlign w:val="center"/>
          </w:tcPr>
          <w:p w14:paraId="311499A5" w14:textId="77DD8F24"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E571BAA" w14:textId="09C951C4"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6ECD48F5" w14:textId="0B527F15"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474D71D" w14:textId="6BC03C2E"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16D53F8" w14:textId="1E149FD0" w:rsidR="003758D4" w:rsidRPr="00131373" w:rsidRDefault="003758D4" w:rsidP="00485C7C">
            <w:pPr>
              <w:jc w:val="center"/>
              <w:rPr>
                <w:rFonts w:ascii="Wingdings" w:hAnsi="Wingdings"/>
                <w:color w:val="000000"/>
                <w:sz w:val="15"/>
                <w:szCs w:val="15"/>
              </w:rPr>
            </w:pPr>
            <w:r w:rsidRPr="0093715F">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7A3B222A" w14:textId="79B41CE0" w:rsidR="003758D4" w:rsidRPr="00131373" w:rsidRDefault="003758D4" w:rsidP="00485C7C">
            <w:pPr>
              <w:jc w:val="center"/>
              <w:rPr>
                <w:rFonts w:ascii="Wingdings" w:hAnsi="Wingdings"/>
                <w:color w:val="000000"/>
                <w:sz w:val="15"/>
                <w:szCs w:val="15"/>
              </w:rPr>
            </w:pPr>
            <w:r w:rsidRPr="0093715F">
              <w:rPr>
                <w:rFonts w:ascii="Wingdings" w:hAnsi="Wingdings"/>
                <w:color w:val="000000"/>
                <w:sz w:val="15"/>
                <w:szCs w:val="15"/>
              </w:rPr>
              <w:t>û</w:t>
            </w:r>
          </w:p>
        </w:tc>
        <w:tc>
          <w:tcPr>
            <w:tcW w:w="993" w:type="dxa"/>
            <w:tcBorders>
              <w:top w:val="single" w:sz="4" w:space="0" w:color="auto"/>
              <w:left w:val="single" w:sz="4" w:space="0" w:color="auto"/>
              <w:bottom w:val="single" w:sz="4" w:space="0" w:color="auto"/>
              <w:right w:val="single" w:sz="4" w:space="0" w:color="auto"/>
            </w:tcBorders>
            <w:noWrap/>
            <w:vAlign w:val="center"/>
          </w:tcPr>
          <w:p w14:paraId="499A93A0" w14:textId="629384EB"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4A1E5065" w14:textId="505F0788"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07FF026B" w14:textId="68B0D647"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single" w:sz="4" w:space="0" w:color="auto"/>
              <w:left w:val="single" w:sz="4" w:space="0" w:color="auto"/>
              <w:bottom w:val="single" w:sz="4" w:space="0" w:color="auto"/>
              <w:right w:val="single" w:sz="4" w:space="0" w:color="auto"/>
            </w:tcBorders>
            <w:noWrap/>
            <w:vAlign w:val="center"/>
          </w:tcPr>
          <w:p w14:paraId="5D0C8089" w14:textId="02394FC7" w:rsidR="003758D4" w:rsidRPr="00131373" w:rsidRDefault="003758D4" w:rsidP="00485C7C">
            <w:pPr>
              <w:jc w:val="center"/>
              <w:rPr>
                <w:color w:val="000000"/>
                <w:sz w:val="15"/>
                <w:szCs w:val="15"/>
              </w:rPr>
            </w:pPr>
            <w:r>
              <w:rPr>
                <w:color w:val="000000"/>
                <w:sz w:val="15"/>
                <w:szCs w:val="15"/>
              </w:rPr>
              <w:t>6</w:t>
            </w:r>
          </w:p>
        </w:tc>
        <w:tc>
          <w:tcPr>
            <w:tcW w:w="1355" w:type="dxa"/>
            <w:tcBorders>
              <w:top w:val="single" w:sz="4" w:space="0" w:color="auto"/>
              <w:left w:val="single" w:sz="4" w:space="0" w:color="auto"/>
              <w:bottom w:val="single" w:sz="4" w:space="0" w:color="auto"/>
              <w:right w:val="single" w:sz="4" w:space="0" w:color="auto"/>
            </w:tcBorders>
            <w:noWrap/>
            <w:vAlign w:val="center"/>
          </w:tcPr>
          <w:p w14:paraId="43ABF46A" w14:textId="1785613E" w:rsidR="003758D4" w:rsidRPr="00131373" w:rsidDel="00AA7D9A" w:rsidRDefault="003758D4" w:rsidP="00485C7C">
            <w:pPr>
              <w:jc w:val="center"/>
              <w:rPr>
                <w:color w:val="000000"/>
                <w:sz w:val="15"/>
                <w:szCs w:val="15"/>
              </w:rPr>
            </w:pPr>
            <w:r>
              <w:rPr>
                <w:color w:val="000000"/>
                <w:sz w:val="15"/>
                <w:szCs w:val="15"/>
              </w:rPr>
              <w:t>Moderate</w:t>
            </w:r>
          </w:p>
        </w:tc>
      </w:tr>
      <w:tr w:rsidR="003758D4" w:rsidRPr="00131373" w14:paraId="23B9E5D6" w14:textId="77777777" w:rsidTr="00F72FC0">
        <w:trPr>
          <w:trHeight w:val="300"/>
        </w:trPr>
        <w:tc>
          <w:tcPr>
            <w:tcW w:w="1681" w:type="dxa"/>
            <w:tcBorders>
              <w:top w:val="single" w:sz="4" w:space="0" w:color="auto"/>
              <w:left w:val="single" w:sz="4" w:space="0" w:color="auto"/>
              <w:bottom w:val="single" w:sz="4" w:space="0" w:color="auto"/>
              <w:right w:val="single" w:sz="4" w:space="0" w:color="auto"/>
            </w:tcBorders>
            <w:noWrap/>
            <w:vAlign w:val="center"/>
          </w:tcPr>
          <w:p w14:paraId="48D6A887" w14:textId="0175A0DE" w:rsidR="003758D4" w:rsidRPr="00131373" w:rsidRDefault="003758D4" w:rsidP="00F72FC0">
            <w:pPr>
              <w:jc w:val="center"/>
              <w:rPr>
                <w:color w:val="000000"/>
                <w:sz w:val="15"/>
                <w:szCs w:val="15"/>
              </w:rPr>
            </w:pPr>
            <w:r>
              <w:rPr>
                <w:color w:val="000000"/>
                <w:sz w:val="15"/>
                <w:szCs w:val="15"/>
              </w:rPr>
              <w:t xml:space="preserve">Lee et al (2025) </w:t>
            </w:r>
            <w:r>
              <w:rPr>
                <w:color w:val="000000"/>
                <w:sz w:val="15"/>
                <w:szCs w:val="15"/>
              </w:rPr>
              <w:fldChar w:fldCharType="begin"/>
            </w:r>
            <w:r w:rsidR="00485C7C">
              <w:rPr>
                <w:color w:val="000000"/>
                <w:sz w:val="15"/>
                <w:szCs w:val="15"/>
              </w:rPr>
              <w:instrText xml:space="preserve"> ADDIN ZOTERO_ITEM CSL_CITATION {"citationID":"beE2P3JV","properties":{"formattedCitation":"\\super 35\\nosupersub{}","plainCitation":"35","noteIndex":0},"citationItems":[{"id":3814,"uris":["http://zotero.org/users/5317696/items/PT9CCL8E"],"itemData":{"id":3814,"type":"article-journal","abstract":"OBJECTIVE: Hepatocellular carcinoma (HCC) can still occur in patients with chronic hepatitis C after achieving a sustained virologic response (SVR) with direct-acting antiviral (DAA) therapy. Therefore, we aimed to identify and validate predictors and HCC risk models using longitudinal data.\nMETHOD: This retrospective cohort study included patients who achieved SVR after DAA therapy. Model performance was assessed using Harrell's C-index and the area under the time-dependent receiver operating characteristic curve (AUROC).\nRESULTS: After excluding patients who developed HCC or died within 1 year after achieving SVR, a total of 2778 patients were finally included in this study. 154 (5.5%) patients developed HCC at a median of 3.3 years. LSM value showed significant improvement after antiviral therapy (all p &lt; 0.05). In the multivariable analysis, LSM at baseline and 1 year after SVR were significantly associated with the occurrence of HCC (all p &lt; 0.05). LSM at 1 year after SVR could better predict HCC risk than baseline LSM (C-index: 0.760, 0.788 at baseline, 1 year after SVR, respectively). Low-risk patients (LSM &lt; 10 kPa) using LSM values at 1 year after SVR (76.4%) showed an incidence risk of 0.482 incidence rate/100 patient-years. In patients with advanced chronic liver disease, LSM at 1 year after SVR demonstrated superior predictive performance for HCC development compared to baseline LSM and other prediction models assessed at various time points (C-index: 0.744, 95% CI: 0.660-0.829; 3-year follow-up AUROC: 0.794, 95% CI: 0.754-0.831).\nCONCLUSIONS: LSM after achieving SVR effectively predicts HCC risk, especially in patients with advanced chronic liver disease.","container-title":"Journal of Gastroenterology and Hepatology","DOI":"10.1111/jgh.70064","ISSN":"1440-1746","issue":"10","journalAbbreviation":"J Gastroenterol Hepatol","language":"eng","page":"2568-2579","PMID":"40922427","PMCID":"PMC12511839","source":"PubMed","title":"Liver Stiffness Measurements After Oral Antivirals Effectively Predict the Risk of HCC in Patients With Chronic Hepatitis C","volume":"40","author":[{"family":"Lee","given":"Yu Rim"},{"family":"Woo","given":"Hyun Young"},{"family":"Kweon","given":"Young Oh"},{"family":"Tak","given":"Won Young"},{"family":"Jang","given":"Se Young"},{"family":"Park","given":"Jung Gil"},{"family":"Kang","given":"Min Kyu"},{"family":"Song","given":"Jeong Eun"},{"family":"Jang","given":"Byoung Kuk"},{"family":"Lee","given":"Changhyeong"},{"family":"Kim","given":"Byung Seok"},{"family":"Hwang","given":"Jae Seok"},{"family":"Chung","given":"Woo Jin"},{"family":"Heo","given":"Jeong"},{"family":"Heo","given":"Nae-Yun"},{"family":"Park","given":"Seung Ha"},{"family":"Yoon","given":"Jun Sik"},{"family":"Jeong","given":"Joonho"},{"family":"Kwak","given":"Sang Gyu"},{"family":"Kang","given":"Yeowool"},{"family":"Baek","given":"Yang Hyun"},{"family":"Park","given":"Soo Young"}],"issued":{"date-parts":[["2025",10]]}}}],"schema":"https://github.com/citation-style-language/schema/raw/master/csl-citation.json"} </w:instrText>
            </w:r>
            <w:r>
              <w:rPr>
                <w:color w:val="000000"/>
                <w:sz w:val="15"/>
                <w:szCs w:val="15"/>
              </w:rPr>
              <w:fldChar w:fldCharType="separate"/>
            </w:r>
            <w:r w:rsidR="00485C7C" w:rsidRPr="00485C7C">
              <w:rPr>
                <w:sz w:val="15"/>
                <w:vertAlign w:val="superscript"/>
              </w:rPr>
              <w:t>35</w:t>
            </w:r>
            <w:r>
              <w:rPr>
                <w:color w:val="000000"/>
                <w:sz w:val="15"/>
                <w:szCs w:val="15"/>
              </w:rPr>
              <w:fldChar w:fldCharType="end"/>
            </w:r>
          </w:p>
        </w:tc>
        <w:tc>
          <w:tcPr>
            <w:tcW w:w="1141" w:type="dxa"/>
            <w:tcBorders>
              <w:top w:val="single" w:sz="4" w:space="0" w:color="auto"/>
              <w:left w:val="single" w:sz="4" w:space="0" w:color="auto"/>
              <w:bottom w:val="single" w:sz="4" w:space="0" w:color="auto"/>
              <w:right w:val="single" w:sz="4" w:space="0" w:color="auto"/>
            </w:tcBorders>
            <w:noWrap/>
            <w:vAlign w:val="center"/>
          </w:tcPr>
          <w:p w14:paraId="6E0C2F3D" w14:textId="79F3CB3E" w:rsidR="003758D4" w:rsidRPr="00131373" w:rsidRDefault="003758D4" w:rsidP="00485C7C">
            <w:pPr>
              <w:jc w:val="center"/>
              <w:rPr>
                <w:color w:val="000000"/>
                <w:sz w:val="15"/>
                <w:szCs w:val="15"/>
              </w:rPr>
            </w:pPr>
            <w:r w:rsidRPr="00AA7D9A">
              <w:rPr>
                <w:color w:val="000000"/>
                <w:sz w:val="15"/>
                <w:szCs w:val="15"/>
              </w:rPr>
              <w:t>retrospective cohort study</w:t>
            </w:r>
          </w:p>
        </w:tc>
        <w:tc>
          <w:tcPr>
            <w:tcW w:w="992" w:type="dxa"/>
            <w:tcBorders>
              <w:top w:val="single" w:sz="4" w:space="0" w:color="auto"/>
              <w:left w:val="single" w:sz="4" w:space="0" w:color="auto"/>
              <w:bottom w:val="single" w:sz="4" w:space="0" w:color="auto"/>
              <w:right w:val="single" w:sz="4" w:space="0" w:color="auto"/>
            </w:tcBorders>
            <w:noWrap/>
            <w:vAlign w:val="center"/>
          </w:tcPr>
          <w:p w14:paraId="647D1C16" w14:textId="76E208EA"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EAB6B9C" w14:textId="587CF35D"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014BFD91" w14:textId="4C912873"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5B4B5880" w14:textId="1D2360E8"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48F0283" w14:textId="714968FD"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2D6042FE" w14:textId="284DA168"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60F6D739" w14:textId="3861340A"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single" w:sz="4" w:space="0" w:color="auto"/>
              <w:left w:val="single" w:sz="4" w:space="0" w:color="auto"/>
              <w:bottom w:val="single" w:sz="4" w:space="0" w:color="auto"/>
              <w:right w:val="single" w:sz="4" w:space="0" w:color="auto"/>
            </w:tcBorders>
            <w:noWrap/>
            <w:vAlign w:val="center"/>
          </w:tcPr>
          <w:p w14:paraId="78AB9473" w14:textId="0416293F"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single" w:sz="4" w:space="0" w:color="auto"/>
              <w:bottom w:val="single" w:sz="4" w:space="0" w:color="auto"/>
              <w:right w:val="single" w:sz="4" w:space="0" w:color="auto"/>
            </w:tcBorders>
            <w:noWrap/>
            <w:vAlign w:val="center"/>
          </w:tcPr>
          <w:p w14:paraId="696AEB72" w14:textId="6138FF8C"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single" w:sz="4" w:space="0" w:color="auto"/>
              <w:left w:val="single" w:sz="4" w:space="0" w:color="auto"/>
              <w:bottom w:val="single" w:sz="4" w:space="0" w:color="auto"/>
              <w:right w:val="single" w:sz="4" w:space="0" w:color="auto"/>
            </w:tcBorders>
            <w:noWrap/>
            <w:vAlign w:val="center"/>
          </w:tcPr>
          <w:p w14:paraId="45D7755E" w14:textId="708C2B7C" w:rsidR="003758D4" w:rsidRPr="00131373" w:rsidRDefault="003758D4" w:rsidP="00485C7C">
            <w:pPr>
              <w:jc w:val="center"/>
              <w:rPr>
                <w:color w:val="000000"/>
                <w:sz w:val="15"/>
                <w:szCs w:val="15"/>
              </w:rPr>
            </w:pPr>
            <w:r>
              <w:rPr>
                <w:color w:val="000000"/>
                <w:sz w:val="15"/>
                <w:szCs w:val="15"/>
              </w:rPr>
              <w:t>8</w:t>
            </w:r>
          </w:p>
        </w:tc>
        <w:tc>
          <w:tcPr>
            <w:tcW w:w="1355" w:type="dxa"/>
            <w:tcBorders>
              <w:top w:val="single" w:sz="4" w:space="0" w:color="auto"/>
              <w:left w:val="single" w:sz="4" w:space="0" w:color="auto"/>
              <w:bottom w:val="single" w:sz="4" w:space="0" w:color="auto"/>
              <w:right w:val="single" w:sz="4" w:space="0" w:color="auto"/>
            </w:tcBorders>
            <w:noWrap/>
            <w:vAlign w:val="center"/>
          </w:tcPr>
          <w:p w14:paraId="75BE61C6" w14:textId="241B333E" w:rsidR="003758D4" w:rsidRPr="00131373" w:rsidDel="00AA7D9A" w:rsidRDefault="003758D4" w:rsidP="00485C7C">
            <w:pPr>
              <w:jc w:val="center"/>
              <w:rPr>
                <w:color w:val="000000"/>
                <w:sz w:val="15"/>
                <w:szCs w:val="15"/>
              </w:rPr>
            </w:pPr>
            <w:r>
              <w:rPr>
                <w:color w:val="000000"/>
                <w:sz w:val="15"/>
                <w:szCs w:val="15"/>
              </w:rPr>
              <w:t>High</w:t>
            </w:r>
          </w:p>
        </w:tc>
      </w:tr>
      <w:tr w:rsidR="003758D4" w:rsidRPr="00131373" w14:paraId="384F04D9" w14:textId="77777777" w:rsidTr="00F72FC0">
        <w:trPr>
          <w:trHeight w:val="300"/>
        </w:trPr>
        <w:tc>
          <w:tcPr>
            <w:tcW w:w="1681" w:type="dxa"/>
            <w:tcBorders>
              <w:top w:val="single" w:sz="4" w:space="0" w:color="auto"/>
              <w:left w:val="single" w:sz="8" w:space="0" w:color="auto"/>
              <w:bottom w:val="single" w:sz="8" w:space="0" w:color="auto"/>
              <w:right w:val="single" w:sz="8" w:space="0" w:color="000000"/>
            </w:tcBorders>
            <w:noWrap/>
            <w:vAlign w:val="center"/>
          </w:tcPr>
          <w:p w14:paraId="6DF7ADF4" w14:textId="742BF75B" w:rsidR="003758D4" w:rsidRPr="00131373" w:rsidRDefault="003758D4" w:rsidP="00F72FC0">
            <w:pPr>
              <w:jc w:val="center"/>
              <w:rPr>
                <w:color w:val="000000"/>
                <w:sz w:val="15"/>
                <w:szCs w:val="15"/>
              </w:rPr>
            </w:pPr>
            <w:r>
              <w:rPr>
                <w:color w:val="000000"/>
                <w:sz w:val="15"/>
                <w:szCs w:val="15"/>
              </w:rPr>
              <w:t xml:space="preserve">Tao et al (2024) </w:t>
            </w:r>
            <w:r>
              <w:rPr>
                <w:color w:val="000000"/>
                <w:sz w:val="15"/>
                <w:szCs w:val="15"/>
              </w:rPr>
              <w:fldChar w:fldCharType="begin"/>
            </w:r>
            <w:r w:rsidR="00485C7C">
              <w:rPr>
                <w:color w:val="000000"/>
                <w:sz w:val="15"/>
                <w:szCs w:val="15"/>
              </w:rPr>
              <w:instrText xml:space="preserve"> ADDIN ZOTERO_ITEM CSL_CITATION {"citationID":"516cLxdv","properties":{"formattedCitation":"\\super 36\\nosupersub{}","plainCitation":"36","noteIndex":0},"citationItems":[{"id":3816,"uris":["http://zotero.org/users/5317696/items/W6VRQFUA"],"itemData":{"id":3816,"type":"article-journal","abstract":"Direct-acting antivirals failed to reduce the incidence of hepatocellular carcinoma occurrence in hepatitis C virus associated cirrhosis: A real-world study","container-title":"World Journal of Hepatology","DOI":"10.4254/wjh.v16.i1.41","issue":"1","language":"en","page":"41-53","publisher":"Baishideng Publishing Group Inc.","source":"www.wjgnet.com","title":"Direct-acting antivirals failed to reduce the incidence of hepatocellular carcinoma occurrence in hepatitis C virus associated cirrhosis: A real-world study","title-short":"Direct-acting antivirals failed to reduce the incidence of hepatocellular carcinoma occurrence in hepatitis C virus associated cirrhosis","URL":"https://www.wjgnet.com/1948-5182/full/v16/i1/41.htm","volume":"16","author":[{"family":"Tao","given":"Xue-Mei"},{"family":"Zeng","given":"Ming-Hui"},{"family":"Zhao","given":"You-Fei"},{"family":"Han","given":"Jia-Xin"},{"family":"Mi","given":"Yu-Qiang"},{"family":"Xu","given":"Liang"}],"accessed":{"date-parts":[["2026",4,15]]},"issued":{"date-parts":[["2024",1,27]]}}}],"schema":"https://github.com/citation-style-language/schema/raw/master/csl-citation.json"} </w:instrText>
            </w:r>
            <w:r>
              <w:rPr>
                <w:color w:val="000000"/>
                <w:sz w:val="15"/>
                <w:szCs w:val="15"/>
              </w:rPr>
              <w:fldChar w:fldCharType="separate"/>
            </w:r>
            <w:r w:rsidR="00485C7C" w:rsidRPr="00485C7C">
              <w:rPr>
                <w:sz w:val="15"/>
                <w:vertAlign w:val="superscript"/>
              </w:rPr>
              <w:t>36</w:t>
            </w:r>
            <w:r>
              <w:rPr>
                <w:color w:val="000000"/>
                <w:sz w:val="15"/>
                <w:szCs w:val="15"/>
              </w:rPr>
              <w:fldChar w:fldCharType="end"/>
            </w:r>
          </w:p>
        </w:tc>
        <w:tc>
          <w:tcPr>
            <w:tcW w:w="1141" w:type="dxa"/>
            <w:tcBorders>
              <w:top w:val="single" w:sz="4" w:space="0" w:color="auto"/>
              <w:left w:val="nil"/>
              <w:bottom w:val="single" w:sz="8" w:space="0" w:color="auto"/>
              <w:right w:val="single" w:sz="8" w:space="0" w:color="000000"/>
            </w:tcBorders>
            <w:noWrap/>
            <w:vAlign w:val="center"/>
          </w:tcPr>
          <w:p w14:paraId="51D9499F" w14:textId="044BCF0F" w:rsidR="003758D4" w:rsidRPr="00131373" w:rsidRDefault="003758D4" w:rsidP="00485C7C">
            <w:pPr>
              <w:jc w:val="center"/>
              <w:rPr>
                <w:color w:val="000000"/>
                <w:sz w:val="15"/>
                <w:szCs w:val="15"/>
              </w:rPr>
            </w:pPr>
            <w:r w:rsidRPr="00AA7D9A">
              <w:rPr>
                <w:color w:val="000000"/>
                <w:sz w:val="15"/>
                <w:szCs w:val="15"/>
              </w:rPr>
              <w:t>Retrospective cohort</w:t>
            </w:r>
          </w:p>
        </w:tc>
        <w:tc>
          <w:tcPr>
            <w:tcW w:w="992" w:type="dxa"/>
            <w:tcBorders>
              <w:top w:val="single" w:sz="4" w:space="0" w:color="auto"/>
              <w:left w:val="nil"/>
              <w:bottom w:val="single" w:sz="8" w:space="0" w:color="auto"/>
              <w:right w:val="single" w:sz="4" w:space="0" w:color="000000"/>
            </w:tcBorders>
            <w:noWrap/>
            <w:vAlign w:val="center"/>
          </w:tcPr>
          <w:p w14:paraId="17EA4CD4" w14:textId="77C9B2AB"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nil"/>
              <w:bottom w:val="single" w:sz="8" w:space="0" w:color="auto"/>
              <w:right w:val="single" w:sz="4" w:space="0" w:color="000000"/>
            </w:tcBorders>
            <w:noWrap/>
            <w:vAlign w:val="center"/>
          </w:tcPr>
          <w:p w14:paraId="1292225B" w14:textId="0FD843BC"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nil"/>
              <w:bottom w:val="single" w:sz="8" w:space="0" w:color="auto"/>
              <w:right w:val="single" w:sz="4" w:space="0" w:color="000000"/>
            </w:tcBorders>
            <w:noWrap/>
            <w:vAlign w:val="center"/>
          </w:tcPr>
          <w:p w14:paraId="0B3CBF86" w14:textId="76AB2F47"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nil"/>
              <w:bottom w:val="single" w:sz="8" w:space="0" w:color="auto"/>
              <w:right w:val="single" w:sz="8" w:space="0" w:color="000000"/>
            </w:tcBorders>
            <w:noWrap/>
            <w:vAlign w:val="center"/>
          </w:tcPr>
          <w:p w14:paraId="348C2F94" w14:textId="64634ED6"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nil"/>
              <w:bottom w:val="single" w:sz="8" w:space="0" w:color="auto"/>
              <w:right w:val="single" w:sz="4" w:space="0" w:color="000000"/>
            </w:tcBorders>
            <w:noWrap/>
            <w:vAlign w:val="center"/>
          </w:tcPr>
          <w:p w14:paraId="010A0794" w14:textId="50D445ED"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nil"/>
              <w:bottom w:val="single" w:sz="8" w:space="0" w:color="auto"/>
              <w:right w:val="single" w:sz="8" w:space="0" w:color="000000"/>
            </w:tcBorders>
            <w:noWrap/>
            <w:vAlign w:val="center"/>
          </w:tcPr>
          <w:p w14:paraId="78D15ED3" w14:textId="7A8B7B4C"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nil"/>
              <w:bottom w:val="single" w:sz="8" w:space="0" w:color="auto"/>
              <w:right w:val="single" w:sz="4" w:space="0" w:color="000000"/>
            </w:tcBorders>
            <w:noWrap/>
            <w:vAlign w:val="center"/>
          </w:tcPr>
          <w:p w14:paraId="132FCF59" w14:textId="390C907D"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275" w:type="dxa"/>
            <w:tcBorders>
              <w:top w:val="single" w:sz="4" w:space="0" w:color="auto"/>
              <w:left w:val="nil"/>
              <w:bottom w:val="single" w:sz="8" w:space="0" w:color="auto"/>
              <w:right w:val="single" w:sz="4" w:space="0" w:color="000000"/>
            </w:tcBorders>
            <w:noWrap/>
            <w:vAlign w:val="center"/>
          </w:tcPr>
          <w:p w14:paraId="2C3250BD" w14:textId="320FDDD5"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3" w:type="dxa"/>
            <w:tcBorders>
              <w:top w:val="single" w:sz="4" w:space="0" w:color="auto"/>
              <w:left w:val="nil"/>
              <w:bottom w:val="single" w:sz="8" w:space="0" w:color="auto"/>
              <w:right w:val="single" w:sz="8" w:space="0" w:color="000000"/>
            </w:tcBorders>
            <w:noWrap/>
            <w:vAlign w:val="center"/>
          </w:tcPr>
          <w:p w14:paraId="21504079" w14:textId="25BE06BA"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85" w:type="dxa"/>
            <w:tcBorders>
              <w:top w:val="single" w:sz="4" w:space="0" w:color="auto"/>
              <w:left w:val="nil"/>
              <w:bottom w:val="single" w:sz="8" w:space="0" w:color="auto"/>
              <w:right w:val="single" w:sz="8" w:space="0" w:color="000000"/>
            </w:tcBorders>
            <w:noWrap/>
            <w:vAlign w:val="center"/>
          </w:tcPr>
          <w:p w14:paraId="1EC62552" w14:textId="1A52BF44" w:rsidR="003758D4" w:rsidRPr="00131373" w:rsidRDefault="003758D4" w:rsidP="00485C7C">
            <w:pPr>
              <w:jc w:val="center"/>
              <w:rPr>
                <w:color w:val="000000"/>
                <w:sz w:val="15"/>
                <w:szCs w:val="15"/>
              </w:rPr>
            </w:pPr>
            <w:r>
              <w:rPr>
                <w:color w:val="000000"/>
                <w:sz w:val="15"/>
                <w:szCs w:val="15"/>
              </w:rPr>
              <w:t>8</w:t>
            </w:r>
          </w:p>
        </w:tc>
        <w:tc>
          <w:tcPr>
            <w:tcW w:w="1355" w:type="dxa"/>
            <w:tcBorders>
              <w:top w:val="single" w:sz="4" w:space="0" w:color="auto"/>
              <w:left w:val="nil"/>
              <w:bottom w:val="single" w:sz="8" w:space="0" w:color="auto"/>
              <w:right w:val="single" w:sz="8" w:space="0" w:color="auto"/>
            </w:tcBorders>
            <w:noWrap/>
            <w:vAlign w:val="center"/>
          </w:tcPr>
          <w:p w14:paraId="32927995" w14:textId="08A346FD" w:rsidR="003758D4" w:rsidRPr="00131373" w:rsidDel="00AA7D9A" w:rsidRDefault="003758D4" w:rsidP="00485C7C">
            <w:pPr>
              <w:jc w:val="center"/>
              <w:rPr>
                <w:color w:val="000000"/>
                <w:sz w:val="15"/>
                <w:szCs w:val="15"/>
              </w:rPr>
            </w:pPr>
            <w:r>
              <w:rPr>
                <w:color w:val="000000"/>
                <w:sz w:val="15"/>
                <w:szCs w:val="15"/>
              </w:rPr>
              <w:t>High</w:t>
            </w:r>
          </w:p>
        </w:tc>
      </w:tr>
    </w:tbl>
    <w:p w14:paraId="20477B7D" w14:textId="03058A60" w:rsidR="00B052FE" w:rsidRPr="00E20B89" w:rsidRDefault="00CD5CE4">
      <w:pPr>
        <w:rPr>
          <w:b/>
          <w:bCs/>
          <w:sz w:val="20"/>
          <w:szCs w:val="20"/>
        </w:rPr>
      </w:pPr>
      <w:r w:rsidRPr="00E20B89">
        <w:rPr>
          <w:rFonts w:ascii="Wingdings" w:hAnsi="Wingdings" w:cs="Calibri"/>
          <w:color w:val="000000"/>
          <w:sz w:val="15"/>
          <w:szCs w:val="15"/>
        </w:rPr>
        <w:t>¶</w:t>
      </w:r>
      <w:r w:rsidRPr="00E20B89">
        <w:rPr>
          <w:color w:val="000000"/>
          <w:sz w:val="15"/>
          <w:szCs w:val="15"/>
        </w:rPr>
        <w:t xml:space="preserve">= 1 point, </w:t>
      </w:r>
      <w:r w:rsidRPr="00E20B89">
        <w:rPr>
          <w:rFonts w:ascii="Wingdings" w:hAnsi="Wingdings" w:cs="Calibri"/>
          <w:color w:val="000000"/>
          <w:sz w:val="15"/>
          <w:szCs w:val="15"/>
        </w:rPr>
        <w:t>û</w:t>
      </w:r>
      <w:r w:rsidRPr="00E20B89">
        <w:rPr>
          <w:color w:val="000000"/>
          <w:sz w:val="15"/>
          <w:szCs w:val="15"/>
        </w:rPr>
        <w:t>= 0 point</w:t>
      </w:r>
    </w:p>
    <w:p w14:paraId="71593543" w14:textId="77777777" w:rsidR="00B052FE" w:rsidRDefault="00B052FE">
      <w:pPr>
        <w:rPr>
          <w:b/>
          <w:bCs/>
          <w:sz w:val="20"/>
          <w:szCs w:val="20"/>
        </w:rPr>
      </w:pPr>
    </w:p>
    <w:p w14:paraId="7499C7E9" w14:textId="77777777" w:rsidR="00131373" w:rsidRDefault="00131373">
      <w:pPr>
        <w:rPr>
          <w:b/>
          <w:bCs/>
          <w:sz w:val="20"/>
          <w:szCs w:val="20"/>
        </w:rPr>
      </w:pPr>
    </w:p>
    <w:p w14:paraId="26EB0CB8" w14:textId="77777777" w:rsidR="00131373" w:rsidRDefault="00131373">
      <w:pPr>
        <w:rPr>
          <w:b/>
          <w:bCs/>
          <w:sz w:val="20"/>
          <w:szCs w:val="20"/>
        </w:rPr>
      </w:pPr>
    </w:p>
    <w:p w14:paraId="7E5E8BC2" w14:textId="77777777" w:rsidR="00131373" w:rsidRDefault="00131373">
      <w:pPr>
        <w:rPr>
          <w:b/>
          <w:bCs/>
          <w:sz w:val="20"/>
          <w:szCs w:val="20"/>
        </w:rPr>
      </w:pPr>
    </w:p>
    <w:p w14:paraId="01DEB76F" w14:textId="77777777" w:rsidR="00570FB6" w:rsidRDefault="00570FB6">
      <w:pPr>
        <w:rPr>
          <w:b/>
          <w:bCs/>
          <w:sz w:val="20"/>
          <w:szCs w:val="20"/>
        </w:rPr>
      </w:pPr>
    </w:p>
    <w:p w14:paraId="6C1462C5" w14:textId="77777777" w:rsidR="00B052FE" w:rsidRPr="00E20B89" w:rsidRDefault="00CB73A9">
      <w:pPr>
        <w:pStyle w:val="ListParagraph"/>
        <w:numPr>
          <w:ilvl w:val="0"/>
          <w:numId w:val="1"/>
        </w:numPr>
        <w:rPr>
          <w:b/>
          <w:bCs/>
          <w:sz w:val="20"/>
          <w:szCs w:val="20"/>
        </w:rPr>
      </w:pPr>
      <w:r w:rsidRPr="00E20B89">
        <w:rPr>
          <w:b/>
          <w:bCs/>
          <w:sz w:val="20"/>
          <w:szCs w:val="20"/>
        </w:rPr>
        <w:t>NOS grading of liver stiffness measurement by transient elastography at long term Follow-Ups</w:t>
      </w:r>
    </w:p>
    <w:p w14:paraId="651E1799" w14:textId="77777777" w:rsidR="00B052FE" w:rsidRPr="00E20B89" w:rsidRDefault="00B052FE">
      <w:pPr>
        <w:pStyle w:val="ListParagraph"/>
        <w:rPr>
          <w:b/>
          <w:bCs/>
          <w:sz w:val="20"/>
          <w:szCs w:val="20"/>
        </w:rPr>
      </w:pPr>
    </w:p>
    <w:tbl>
      <w:tblPr>
        <w:tblW w:w="15091" w:type="dxa"/>
        <w:tblInd w:w="10" w:type="dxa"/>
        <w:tblLayout w:type="fixed"/>
        <w:tblLook w:val="04A0" w:firstRow="1" w:lastRow="0" w:firstColumn="1" w:lastColumn="0" w:noHBand="0" w:noVBand="1"/>
      </w:tblPr>
      <w:tblGrid>
        <w:gridCol w:w="1681"/>
        <w:gridCol w:w="1134"/>
        <w:gridCol w:w="993"/>
        <w:gridCol w:w="1134"/>
        <w:gridCol w:w="1134"/>
        <w:gridCol w:w="1134"/>
        <w:gridCol w:w="1134"/>
        <w:gridCol w:w="1134"/>
        <w:gridCol w:w="936"/>
        <w:gridCol w:w="1332"/>
        <w:gridCol w:w="992"/>
        <w:gridCol w:w="992"/>
        <w:gridCol w:w="1361"/>
      </w:tblGrid>
      <w:tr w:rsidR="00116234" w:rsidRPr="00131373" w14:paraId="47985F6D" w14:textId="77777777" w:rsidTr="00105E0D">
        <w:trPr>
          <w:trHeight w:val="300"/>
        </w:trPr>
        <w:tc>
          <w:tcPr>
            <w:tcW w:w="1681" w:type="dxa"/>
            <w:tcBorders>
              <w:top w:val="single" w:sz="8" w:space="0" w:color="auto"/>
              <w:left w:val="single" w:sz="8" w:space="0" w:color="auto"/>
              <w:bottom w:val="single" w:sz="8" w:space="0" w:color="auto"/>
              <w:right w:val="single" w:sz="8" w:space="0" w:color="auto"/>
            </w:tcBorders>
            <w:noWrap/>
            <w:vAlign w:val="bottom"/>
          </w:tcPr>
          <w:p w14:paraId="10F59936" w14:textId="77777777" w:rsidR="00116234" w:rsidRPr="00131373" w:rsidRDefault="00116234">
            <w:pPr>
              <w:jc w:val="center"/>
              <w:rPr>
                <w:b/>
                <w:bCs/>
                <w:color w:val="000000"/>
                <w:sz w:val="15"/>
                <w:szCs w:val="15"/>
              </w:rPr>
            </w:pPr>
            <w:r w:rsidRPr="00131373">
              <w:rPr>
                <w:b/>
                <w:bCs/>
                <w:color w:val="000000"/>
                <w:sz w:val="15"/>
                <w:szCs w:val="15"/>
              </w:rPr>
              <w:lastRenderedPageBreak/>
              <w:t>Study</w:t>
            </w:r>
          </w:p>
        </w:tc>
        <w:tc>
          <w:tcPr>
            <w:tcW w:w="1134" w:type="dxa"/>
            <w:tcBorders>
              <w:top w:val="single" w:sz="8" w:space="0" w:color="000000"/>
              <w:left w:val="single" w:sz="8" w:space="0" w:color="auto"/>
              <w:bottom w:val="single" w:sz="8" w:space="0" w:color="000000"/>
              <w:right w:val="single" w:sz="8" w:space="0" w:color="000000"/>
            </w:tcBorders>
            <w:noWrap/>
            <w:vAlign w:val="bottom"/>
          </w:tcPr>
          <w:p w14:paraId="39037021" w14:textId="77777777" w:rsidR="00116234" w:rsidRPr="00131373" w:rsidRDefault="00116234">
            <w:pPr>
              <w:jc w:val="center"/>
              <w:rPr>
                <w:b/>
                <w:bCs/>
                <w:color w:val="000000"/>
                <w:sz w:val="15"/>
                <w:szCs w:val="15"/>
              </w:rPr>
            </w:pPr>
            <w:r w:rsidRPr="00131373">
              <w:rPr>
                <w:b/>
                <w:bCs/>
                <w:color w:val="000000"/>
                <w:sz w:val="15"/>
                <w:szCs w:val="15"/>
              </w:rPr>
              <w:t>Design</w:t>
            </w:r>
          </w:p>
        </w:tc>
        <w:tc>
          <w:tcPr>
            <w:tcW w:w="4395" w:type="dxa"/>
            <w:gridSpan w:val="4"/>
            <w:tcBorders>
              <w:top w:val="single" w:sz="8" w:space="0" w:color="000000"/>
              <w:left w:val="nil"/>
              <w:bottom w:val="single" w:sz="8" w:space="0" w:color="000000"/>
              <w:right w:val="single" w:sz="8" w:space="0" w:color="000000"/>
            </w:tcBorders>
            <w:noWrap/>
            <w:vAlign w:val="bottom"/>
          </w:tcPr>
          <w:p w14:paraId="53F16EB7" w14:textId="77777777" w:rsidR="00116234" w:rsidRPr="00131373" w:rsidRDefault="00116234">
            <w:pPr>
              <w:jc w:val="center"/>
              <w:rPr>
                <w:b/>
                <w:bCs/>
                <w:color w:val="000000"/>
                <w:sz w:val="15"/>
                <w:szCs w:val="15"/>
              </w:rPr>
            </w:pPr>
            <w:r w:rsidRPr="00131373">
              <w:rPr>
                <w:b/>
                <w:bCs/>
                <w:color w:val="000000"/>
                <w:sz w:val="15"/>
                <w:szCs w:val="15"/>
              </w:rPr>
              <w:t>Selection</w:t>
            </w:r>
          </w:p>
        </w:tc>
        <w:tc>
          <w:tcPr>
            <w:tcW w:w="2268" w:type="dxa"/>
            <w:gridSpan w:val="2"/>
            <w:tcBorders>
              <w:top w:val="single" w:sz="8" w:space="0" w:color="000000"/>
              <w:left w:val="nil"/>
              <w:bottom w:val="single" w:sz="8" w:space="0" w:color="000000"/>
              <w:right w:val="single" w:sz="8" w:space="0" w:color="000000"/>
            </w:tcBorders>
            <w:noWrap/>
            <w:vAlign w:val="bottom"/>
          </w:tcPr>
          <w:p w14:paraId="70313C51" w14:textId="77777777" w:rsidR="00116234" w:rsidRPr="00131373" w:rsidRDefault="00116234">
            <w:pPr>
              <w:jc w:val="center"/>
              <w:rPr>
                <w:b/>
                <w:bCs/>
                <w:color w:val="000000"/>
                <w:sz w:val="15"/>
                <w:szCs w:val="15"/>
              </w:rPr>
            </w:pPr>
            <w:r w:rsidRPr="00131373">
              <w:rPr>
                <w:b/>
                <w:bCs/>
                <w:color w:val="000000"/>
                <w:sz w:val="15"/>
                <w:szCs w:val="15"/>
              </w:rPr>
              <w:t>Comparability</w:t>
            </w:r>
          </w:p>
        </w:tc>
        <w:tc>
          <w:tcPr>
            <w:tcW w:w="3260" w:type="dxa"/>
            <w:gridSpan w:val="3"/>
            <w:tcBorders>
              <w:top w:val="single" w:sz="8" w:space="0" w:color="000000"/>
              <w:left w:val="nil"/>
              <w:bottom w:val="single" w:sz="8" w:space="0" w:color="000000"/>
              <w:right w:val="single" w:sz="8" w:space="0" w:color="000000"/>
            </w:tcBorders>
            <w:noWrap/>
            <w:vAlign w:val="bottom"/>
          </w:tcPr>
          <w:p w14:paraId="2BE3E776" w14:textId="77777777" w:rsidR="00116234" w:rsidRPr="00131373" w:rsidRDefault="00116234">
            <w:pPr>
              <w:jc w:val="center"/>
              <w:rPr>
                <w:b/>
                <w:bCs/>
                <w:color w:val="000000"/>
                <w:sz w:val="15"/>
                <w:szCs w:val="15"/>
              </w:rPr>
            </w:pPr>
            <w:r w:rsidRPr="00131373">
              <w:rPr>
                <w:b/>
                <w:bCs/>
                <w:color w:val="000000"/>
                <w:sz w:val="15"/>
                <w:szCs w:val="15"/>
              </w:rPr>
              <w:t>Outcome</w:t>
            </w:r>
          </w:p>
        </w:tc>
        <w:tc>
          <w:tcPr>
            <w:tcW w:w="992" w:type="dxa"/>
            <w:tcBorders>
              <w:top w:val="single" w:sz="8" w:space="0" w:color="000000"/>
              <w:left w:val="nil"/>
              <w:bottom w:val="single" w:sz="8" w:space="0" w:color="000000"/>
              <w:right w:val="single" w:sz="4" w:space="0" w:color="000000"/>
            </w:tcBorders>
            <w:noWrap/>
            <w:vAlign w:val="bottom"/>
          </w:tcPr>
          <w:p w14:paraId="61337368" w14:textId="77777777" w:rsidR="00116234" w:rsidRPr="00131373" w:rsidRDefault="00116234">
            <w:pPr>
              <w:jc w:val="center"/>
              <w:rPr>
                <w:b/>
                <w:bCs/>
                <w:color w:val="000000"/>
                <w:sz w:val="15"/>
                <w:szCs w:val="15"/>
              </w:rPr>
            </w:pPr>
            <w:r w:rsidRPr="00131373">
              <w:rPr>
                <w:b/>
                <w:bCs/>
                <w:color w:val="000000"/>
                <w:sz w:val="15"/>
                <w:szCs w:val="15"/>
              </w:rPr>
              <w:t> </w:t>
            </w:r>
          </w:p>
        </w:tc>
        <w:tc>
          <w:tcPr>
            <w:tcW w:w="1361" w:type="dxa"/>
            <w:tcBorders>
              <w:top w:val="single" w:sz="8" w:space="0" w:color="000000"/>
              <w:left w:val="nil"/>
              <w:bottom w:val="single" w:sz="8" w:space="0" w:color="000000"/>
              <w:right w:val="single" w:sz="8" w:space="0" w:color="000000"/>
            </w:tcBorders>
            <w:noWrap/>
            <w:vAlign w:val="bottom"/>
          </w:tcPr>
          <w:p w14:paraId="0DDF38F2" w14:textId="77777777" w:rsidR="00116234" w:rsidRPr="00131373" w:rsidRDefault="00116234">
            <w:pPr>
              <w:jc w:val="center"/>
              <w:rPr>
                <w:b/>
                <w:bCs/>
                <w:color w:val="000000"/>
                <w:sz w:val="15"/>
                <w:szCs w:val="15"/>
              </w:rPr>
            </w:pPr>
            <w:r w:rsidRPr="00131373">
              <w:rPr>
                <w:b/>
                <w:bCs/>
                <w:color w:val="000000"/>
                <w:sz w:val="15"/>
                <w:szCs w:val="15"/>
              </w:rPr>
              <w:t> </w:t>
            </w:r>
          </w:p>
        </w:tc>
      </w:tr>
      <w:tr w:rsidR="00105E0D" w:rsidRPr="00131373" w14:paraId="06D23E58" w14:textId="77777777" w:rsidTr="00105E0D">
        <w:trPr>
          <w:trHeight w:val="300"/>
        </w:trPr>
        <w:tc>
          <w:tcPr>
            <w:tcW w:w="1681" w:type="dxa"/>
            <w:tcBorders>
              <w:top w:val="single" w:sz="8" w:space="0" w:color="auto"/>
              <w:left w:val="single" w:sz="8" w:space="0" w:color="auto"/>
              <w:bottom w:val="single" w:sz="4" w:space="0" w:color="000000"/>
              <w:right w:val="single" w:sz="8" w:space="0" w:color="auto"/>
            </w:tcBorders>
            <w:vAlign w:val="bottom"/>
          </w:tcPr>
          <w:p w14:paraId="5D803AFD" w14:textId="77777777" w:rsidR="00105E0D" w:rsidRPr="00131373" w:rsidRDefault="00105E0D" w:rsidP="00105E0D">
            <w:pPr>
              <w:jc w:val="center"/>
              <w:rPr>
                <w:b/>
                <w:bCs/>
                <w:color w:val="000000"/>
                <w:sz w:val="15"/>
                <w:szCs w:val="15"/>
              </w:rPr>
            </w:pPr>
            <w:r w:rsidRPr="00131373">
              <w:rPr>
                <w:b/>
                <w:bCs/>
                <w:color w:val="000000"/>
                <w:sz w:val="15"/>
                <w:szCs w:val="15"/>
              </w:rPr>
              <w:t> </w:t>
            </w:r>
          </w:p>
        </w:tc>
        <w:tc>
          <w:tcPr>
            <w:tcW w:w="1134" w:type="dxa"/>
            <w:tcBorders>
              <w:top w:val="nil"/>
              <w:left w:val="single" w:sz="8" w:space="0" w:color="auto"/>
              <w:bottom w:val="single" w:sz="4" w:space="0" w:color="000000"/>
              <w:right w:val="single" w:sz="8" w:space="0" w:color="000000"/>
            </w:tcBorders>
            <w:vAlign w:val="bottom"/>
          </w:tcPr>
          <w:p w14:paraId="1B63F3F3" w14:textId="77777777" w:rsidR="00105E0D" w:rsidRPr="00131373" w:rsidRDefault="00105E0D" w:rsidP="00105E0D">
            <w:pPr>
              <w:jc w:val="center"/>
              <w:rPr>
                <w:b/>
                <w:bCs/>
                <w:color w:val="000000"/>
                <w:sz w:val="15"/>
                <w:szCs w:val="15"/>
              </w:rPr>
            </w:pPr>
            <w:r w:rsidRPr="00131373">
              <w:rPr>
                <w:b/>
                <w:bCs/>
                <w:color w:val="000000"/>
                <w:sz w:val="15"/>
                <w:szCs w:val="15"/>
              </w:rPr>
              <w:t> </w:t>
            </w:r>
          </w:p>
        </w:tc>
        <w:tc>
          <w:tcPr>
            <w:tcW w:w="993" w:type="dxa"/>
            <w:tcBorders>
              <w:top w:val="nil"/>
              <w:left w:val="nil"/>
              <w:bottom w:val="single" w:sz="4" w:space="0" w:color="000000"/>
              <w:right w:val="single" w:sz="4" w:space="0" w:color="000000"/>
            </w:tcBorders>
            <w:vAlign w:val="bottom"/>
          </w:tcPr>
          <w:p w14:paraId="6492644D" w14:textId="77777777" w:rsidR="00105E0D" w:rsidRPr="00131373" w:rsidRDefault="00105E0D" w:rsidP="00105E0D">
            <w:pPr>
              <w:jc w:val="center"/>
              <w:rPr>
                <w:b/>
                <w:bCs/>
                <w:color w:val="000000"/>
                <w:sz w:val="15"/>
                <w:szCs w:val="15"/>
              </w:rPr>
            </w:pPr>
            <w:r w:rsidRPr="00131373">
              <w:rPr>
                <w:b/>
                <w:bCs/>
                <w:color w:val="000000"/>
                <w:sz w:val="15"/>
                <w:szCs w:val="15"/>
              </w:rPr>
              <w:t>1</w:t>
            </w:r>
          </w:p>
        </w:tc>
        <w:tc>
          <w:tcPr>
            <w:tcW w:w="1134" w:type="dxa"/>
            <w:tcBorders>
              <w:top w:val="nil"/>
              <w:left w:val="nil"/>
              <w:bottom w:val="single" w:sz="4" w:space="0" w:color="000000"/>
              <w:right w:val="single" w:sz="4" w:space="0" w:color="000000"/>
            </w:tcBorders>
            <w:vAlign w:val="bottom"/>
          </w:tcPr>
          <w:p w14:paraId="5F1ED28F" w14:textId="77777777" w:rsidR="00105E0D" w:rsidRPr="00131373" w:rsidRDefault="00105E0D" w:rsidP="00105E0D">
            <w:pPr>
              <w:jc w:val="center"/>
              <w:rPr>
                <w:b/>
                <w:bCs/>
                <w:color w:val="000000"/>
                <w:sz w:val="15"/>
                <w:szCs w:val="15"/>
              </w:rPr>
            </w:pPr>
            <w:r w:rsidRPr="00131373">
              <w:rPr>
                <w:b/>
                <w:bCs/>
                <w:color w:val="000000"/>
                <w:sz w:val="15"/>
                <w:szCs w:val="15"/>
              </w:rPr>
              <w:t>2</w:t>
            </w:r>
          </w:p>
        </w:tc>
        <w:tc>
          <w:tcPr>
            <w:tcW w:w="1134" w:type="dxa"/>
            <w:tcBorders>
              <w:top w:val="nil"/>
              <w:left w:val="nil"/>
              <w:bottom w:val="single" w:sz="4" w:space="0" w:color="000000"/>
              <w:right w:val="single" w:sz="4" w:space="0" w:color="000000"/>
            </w:tcBorders>
            <w:vAlign w:val="bottom"/>
          </w:tcPr>
          <w:p w14:paraId="3C80AA11" w14:textId="77777777" w:rsidR="00105E0D" w:rsidRPr="00131373" w:rsidRDefault="00105E0D" w:rsidP="00105E0D">
            <w:pPr>
              <w:jc w:val="center"/>
              <w:rPr>
                <w:b/>
                <w:bCs/>
                <w:color w:val="000000"/>
                <w:sz w:val="15"/>
                <w:szCs w:val="15"/>
              </w:rPr>
            </w:pPr>
            <w:r w:rsidRPr="00131373">
              <w:rPr>
                <w:b/>
                <w:bCs/>
                <w:color w:val="000000"/>
                <w:sz w:val="15"/>
                <w:szCs w:val="15"/>
              </w:rPr>
              <w:t>3</w:t>
            </w:r>
          </w:p>
        </w:tc>
        <w:tc>
          <w:tcPr>
            <w:tcW w:w="1134" w:type="dxa"/>
            <w:tcBorders>
              <w:top w:val="nil"/>
              <w:left w:val="nil"/>
              <w:bottom w:val="single" w:sz="4" w:space="0" w:color="000000"/>
              <w:right w:val="single" w:sz="8" w:space="0" w:color="000000"/>
            </w:tcBorders>
            <w:vAlign w:val="bottom"/>
          </w:tcPr>
          <w:p w14:paraId="2F091A28" w14:textId="77777777" w:rsidR="00105E0D" w:rsidRPr="00131373" w:rsidRDefault="00105E0D" w:rsidP="00105E0D">
            <w:pPr>
              <w:jc w:val="center"/>
              <w:rPr>
                <w:b/>
                <w:bCs/>
                <w:color w:val="000000"/>
                <w:sz w:val="15"/>
                <w:szCs w:val="15"/>
              </w:rPr>
            </w:pPr>
            <w:r w:rsidRPr="00131373">
              <w:rPr>
                <w:b/>
                <w:bCs/>
                <w:color w:val="000000"/>
                <w:sz w:val="15"/>
                <w:szCs w:val="15"/>
              </w:rPr>
              <w:t>4</w:t>
            </w:r>
          </w:p>
        </w:tc>
        <w:tc>
          <w:tcPr>
            <w:tcW w:w="1134" w:type="dxa"/>
            <w:tcBorders>
              <w:top w:val="nil"/>
              <w:left w:val="nil"/>
              <w:bottom w:val="single" w:sz="4" w:space="0" w:color="000000"/>
              <w:right w:val="single" w:sz="4" w:space="0" w:color="000000"/>
            </w:tcBorders>
            <w:vAlign w:val="bottom"/>
          </w:tcPr>
          <w:p w14:paraId="0B3D2B0E" w14:textId="77777777" w:rsidR="00105E0D" w:rsidRPr="00131373" w:rsidRDefault="00105E0D" w:rsidP="00105E0D">
            <w:pPr>
              <w:jc w:val="center"/>
              <w:rPr>
                <w:b/>
                <w:bCs/>
                <w:color w:val="000000"/>
                <w:sz w:val="15"/>
                <w:szCs w:val="15"/>
              </w:rPr>
            </w:pPr>
            <w:r w:rsidRPr="00131373">
              <w:rPr>
                <w:b/>
                <w:bCs/>
                <w:color w:val="000000"/>
                <w:sz w:val="15"/>
                <w:szCs w:val="15"/>
              </w:rPr>
              <w:t>5</w:t>
            </w:r>
          </w:p>
        </w:tc>
        <w:tc>
          <w:tcPr>
            <w:tcW w:w="1134" w:type="dxa"/>
            <w:tcBorders>
              <w:top w:val="nil"/>
              <w:left w:val="nil"/>
              <w:bottom w:val="single" w:sz="4" w:space="0" w:color="000000"/>
              <w:right w:val="single" w:sz="8" w:space="0" w:color="000000"/>
            </w:tcBorders>
            <w:vAlign w:val="bottom"/>
          </w:tcPr>
          <w:p w14:paraId="44A9663E" w14:textId="4F347421" w:rsidR="00105E0D" w:rsidRPr="00131373" w:rsidRDefault="00105E0D" w:rsidP="00105E0D">
            <w:pPr>
              <w:jc w:val="center"/>
              <w:rPr>
                <w:b/>
                <w:bCs/>
                <w:color w:val="000000"/>
                <w:sz w:val="15"/>
                <w:szCs w:val="15"/>
              </w:rPr>
            </w:pPr>
            <w:r w:rsidRPr="00131373">
              <w:rPr>
                <w:b/>
                <w:bCs/>
                <w:color w:val="000000"/>
                <w:sz w:val="15"/>
                <w:szCs w:val="15"/>
              </w:rPr>
              <w:t>6</w:t>
            </w:r>
          </w:p>
        </w:tc>
        <w:tc>
          <w:tcPr>
            <w:tcW w:w="936" w:type="dxa"/>
            <w:tcBorders>
              <w:top w:val="nil"/>
              <w:left w:val="nil"/>
              <w:bottom w:val="single" w:sz="4" w:space="0" w:color="000000"/>
              <w:right w:val="single" w:sz="4" w:space="0" w:color="000000"/>
            </w:tcBorders>
            <w:vAlign w:val="bottom"/>
          </w:tcPr>
          <w:p w14:paraId="31C42E2B" w14:textId="2A57FD64" w:rsidR="00105E0D" w:rsidRPr="00131373" w:rsidRDefault="00105E0D" w:rsidP="00105E0D">
            <w:pPr>
              <w:jc w:val="center"/>
              <w:rPr>
                <w:b/>
                <w:bCs/>
                <w:color w:val="000000"/>
                <w:sz w:val="15"/>
                <w:szCs w:val="15"/>
              </w:rPr>
            </w:pPr>
            <w:r w:rsidRPr="00131373">
              <w:rPr>
                <w:b/>
                <w:bCs/>
                <w:color w:val="000000"/>
                <w:sz w:val="15"/>
                <w:szCs w:val="15"/>
              </w:rPr>
              <w:t>7</w:t>
            </w:r>
          </w:p>
        </w:tc>
        <w:tc>
          <w:tcPr>
            <w:tcW w:w="1332" w:type="dxa"/>
            <w:tcBorders>
              <w:top w:val="nil"/>
              <w:left w:val="nil"/>
              <w:bottom w:val="single" w:sz="4" w:space="0" w:color="000000"/>
              <w:right w:val="single" w:sz="4" w:space="0" w:color="000000"/>
            </w:tcBorders>
            <w:vAlign w:val="bottom"/>
          </w:tcPr>
          <w:p w14:paraId="4E2BF2B3" w14:textId="0CA0B248" w:rsidR="00105E0D" w:rsidRPr="00131373" w:rsidRDefault="00105E0D" w:rsidP="00105E0D">
            <w:pPr>
              <w:jc w:val="center"/>
              <w:rPr>
                <w:b/>
                <w:bCs/>
                <w:color w:val="000000"/>
                <w:sz w:val="15"/>
                <w:szCs w:val="15"/>
              </w:rPr>
            </w:pPr>
            <w:r w:rsidRPr="00131373">
              <w:rPr>
                <w:b/>
                <w:bCs/>
                <w:color w:val="000000"/>
                <w:sz w:val="15"/>
                <w:szCs w:val="15"/>
              </w:rPr>
              <w:t>8</w:t>
            </w:r>
          </w:p>
        </w:tc>
        <w:tc>
          <w:tcPr>
            <w:tcW w:w="992" w:type="dxa"/>
            <w:tcBorders>
              <w:top w:val="nil"/>
              <w:left w:val="nil"/>
              <w:bottom w:val="single" w:sz="4" w:space="0" w:color="000000"/>
              <w:right w:val="single" w:sz="8" w:space="0" w:color="000000"/>
            </w:tcBorders>
            <w:vAlign w:val="bottom"/>
          </w:tcPr>
          <w:p w14:paraId="070A9705" w14:textId="0BE43C8A" w:rsidR="00105E0D" w:rsidRPr="00131373" w:rsidRDefault="00105E0D" w:rsidP="00105E0D">
            <w:pPr>
              <w:jc w:val="center"/>
              <w:rPr>
                <w:b/>
                <w:bCs/>
                <w:color w:val="000000"/>
                <w:sz w:val="15"/>
                <w:szCs w:val="15"/>
              </w:rPr>
            </w:pPr>
            <w:r w:rsidRPr="00131373">
              <w:rPr>
                <w:b/>
                <w:bCs/>
                <w:color w:val="000000"/>
                <w:sz w:val="15"/>
                <w:szCs w:val="15"/>
              </w:rPr>
              <w:t>9</w:t>
            </w:r>
          </w:p>
        </w:tc>
        <w:tc>
          <w:tcPr>
            <w:tcW w:w="992" w:type="dxa"/>
            <w:tcBorders>
              <w:top w:val="nil"/>
              <w:left w:val="nil"/>
              <w:bottom w:val="single" w:sz="4" w:space="0" w:color="000000"/>
              <w:right w:val="single" w:sz="4" w:space="0" w:color="000000"/>
            </w:tcBorders>
            <w:vAlign w:val="bottom"/>
          </w:tcPr>
          <w:p w14:paraId="3C505410" w14:textId="77777777" w:rsidR="00105E0D" w:rsidRPr="00131373" w:rsidRDefault="00105E0D" w:rsidP="00105E0D">
            <w:pPr>
              <w:jc w:val="center"/>
              <w:rPr>
                <w:b/>
                <w:bCs/>
                <w:color w:val="000000"/>
                <w:sz w:val="15"/>
                <w:szCs w:val="15"/>
              </w:rPr>
            </w:pPr>
            <w:r w:rsidRPr="00131373">
              <w:rPr>
                <w:b/>
                <w:bCs/>
                <w:color w:val="000000"/>
                <w:sz w:val="15"/>
                <w:szCs w:val="15"/>
              </w:rPr>
              <w:t> </w:t>
            </w:r>
          </w:p>
        </w:tc>
        <w:tc>
          <w:tcPr>
            <w:tcW w:w="1361" w:type="dxa"/>
            <w:tcBorders>
              <w:top w:val="nil"/>
              <w:left w:val="nil"/>
              <w:bottom w:val="single" w:sz="4" w:space="0" w:color="000000"/>
              <w:right w:val="single" w:sz="8" w:space="0" w:color="000000"/>
            </w:tcBorders>
            <w:vAlign w:val="bottom"/>
          </w:tcPr>
          <w:p w14:paraId="70B5BAF5" w14:textId="77777777" w:rsidR="00105E0D" w:rsidRPr="00131373" w:rsidRDefault="00105E0D" w:rsidP="00105E0D">
            <w:pPr>
              <w:jc w:val="center"/>
              <w:rPr>
                <w:b/>
                <w:bCs/>
                <w:color w:val="000000"/>
                <w:sz w:val="15"/>
                <w:szCs w:val="15"/>
              </w:rPr>
            </w:pPr>
            <w:r w:rsidRPr="00131373">
              <w:rPr>
                <w:b/>
                <w:bCs/>
                <w:color w:val="000000"/>
                <w:sz w:val="15"/>
                <w:szCs w:val="15"/>
              </w:rPr>
              <w:t> </w:t>
            </w:r>
          </w:p>
        </w:tc>
      </w:tr>
      <w:tr w:rsidR="00105E0D" w:rsidRPr="00131373" w14:paraId="155B8D2A" w14:textId="77777777" w:rsidTr="00105E0D">
        <w:trPr>
          <w:trHeight w:val="960"/>
        </w:trPr>
        <w:tc>
          <w:tcPr>
            <w:tcW w:w="1681" w:type="dxa"/>
            <w:tcBorders>
              <w:top w:val="nil"/>
              <w:left w:val="single" w:sz="8" w:space="0" w:color="auto"/>
              <w:bottom w:val="single" w:sz="4" w:space="0" w:color="000000"/>
              <w:right w:val="single" w:sz="8" w:space="0" w:color="auto"/>
            </w:tcBorders>
            <w:vAlign w:val="center"/>
          </w:tcPr>
          <w:p w14:paraId="22AAEE16" w14:textId="77777777" w:rsidR="00105E0D" w:rsidRPr="00131373" w:rsidRDefault="00105E0D" w:rsidP="00105E0D">
            <w:pPr>
              <w:jc w:val="center"/>
              <w:rPr>
                <w:color w:val="000000"/>
                <w:sz w:val="15"/>
                <w:szCs w:val="15"/>
              </w:rPr>
            </w:pPr>
            <w:r w:rsidRPr="00131373">
              <w:rPr>
                <w:color w:val="000000"/>
                <w:sz w:val="15"/>
                <w:szCs w:val="15"/>
              </w:rPr>
              <w:t> </w:t>
            </w:r>
          </w:p>
        </w:tc>
        <w:tc>
          <w:tcPr>
            <w:tcW w:w="1134" w:type="dxa"/>
            <w:tcBorders>
              <w:top w:val="nil"/>
              <w:left w:val="single" w:sz="8" w:space="0" w:color="auto"/>
              <w:bottom w:val="single" w:sz="4" w:space="0" w:color="000000"/>
              <w:right w:val="single" w:sz="8" w:space="0" w:color="000000"/>
            </w:tcBorders>
            <w:vAlign w:val="center"/>
          </w:tcPr>
          <w:p w14:paraId="127C7805" w14:textId="77777777" w:rsidR="00105E0D" w:rsidRPr="00131373" w:rsidRDefault="00105E0D" w:rsidP="00105E0D">
            <w:pPr>
              <w:jc w:val="center"/>
              <w:rPr>
                <w:color w:val="000000"/>
                <w:sz w:val="15"/>
                <w:szCs w:val="15"/>
              </w:rPr>
            </w:pPr>
            <w:r w:rsidRPr="00131373">
              <w:rPr>
                <w:color w:val="000000"/>
                <w:sz w:val="15"/>
                <w:szCs w:val="15"/>
              </w:rPr>
              <w:t> </w:t>
            </w:r>
          </w:p>
        </w:tc>
        <w:tc>
          <w:tcPr>
            <w:tcW w:w="993" w:type="dxa"/>
            <w:tcBorders>
              <w:top w:val="nil"/>
              <w:left w:val="nil"/>
              <w:bottom w:val="single" w:sz="4" w:space="0" w:color="000000"/>
              <w:right w:val="single" w:sz="4" w:space="0" w:color="000000"/>
            </w:tcBorders>
            <w:vAlign w:val="center"/>
          </w:tcPr>
          <w:p w14:paraId="4C1509DE" w14:textId="77777777" w:rsidR="00105E0D" w:rsidRPr="00131373" w:rsidRDefault="00105E0D" w:rsidP="00105E0D">
            <w:pPr>
              <w:jc w:val="center"/>
              <w:rPr>
                <w:color w:val="000000"/>
                <w:sz w:val="15"/>
                <w:szCs w:val="15"/>
              </w:rPr>
            </w:pPr>
            <w:r w:rsidRPr="00131373">
              <w:rPr>
                <w:color w:val="000000"/>
                <w:sz w:val="15"/>
                <w:szCs w:val="15"/>
              </w:rPr>
              <w:t>Representativeness of the exposed cohort</w:t>
            </w:r>
          </w:p>
        </w:tc>
        <w:tc>
          <w:tcPr>
            <w:tcW w:w="1134" w:type="dxa"/>
            <w:tcBorders>
              <w:top w:val="nil"/>
              <w:left w:val="nil"/>
              <w:bottom w:val="single" w:sz="4" w:space="0" w:color="000000"/>
              <w:right w:val="single" w:sz="4" w:space="0" w:color="000000"/>
            </w:tcBorders>
            <w:vAlign w:val="center"/>
          </w:tcPr>
          <w:p w14:paraId="5E287060" w14:textId="647B08A3" w:rsidR="00105E0D" w:rsidRPr="00131373" w:rsidRDefault="00105E0D" w:rsidP="00105E0D">
            <w:pPr>
              <w:jc w:val="center"/>
              <w:rPr>
                <w:color w:val="000000"/>
                <w:sz w:val="15"/>
                <w:szCs w:val="15"/>
              </w:rPr>
            </w:pPr>
            <w:r w:rsidRPr="00131373">
              <w:rPr>
                <w:color w:val="000000"/>
                <w:sz w:val="15"/>
                <w:szCs w:val="15"/>
              </w:rPr>
              <w:t xml:space="preserve">Selection of the </w:t>
            </w:r>
            <w:r w:rsidR="00131373" w:rsidRPr="00131373">
              <w:rPr>
                <w:color w:val="000000"/>
                <w:sz w:val="15"/>
                <w:szCs w:val="15"/>
              </w:rPr>
              <w:t>non-exposed</w:t>
            </w:r>
            <w:r w:rsidRPr="00131373">
              <w:rPr>
                <w:color w:val="000000"/>
                <w:sz w:val="15"/>
                <w:szCs w:val="15"/>
              </w:rPr>
              <w:t xml:space="preserve"> cohort</w:t>
            </w:r>
          </w:p>
        </w:tc>
        <w:tc>
          <w:tcPr>
            <w:tcW w:w="1134" w:type="dxa"/>
            <w:tcBorders>
              <w:top w:val="nil"/>
              <w:left w:val="nil"/>
              <w:bottom w:val="single" w:sz="4" w:space="0" w:color="000000"/>
              <w:right w:val="single" w:sz="4" w:space="0" w:color="000000"/>
            </w:tcBorders>
            <w:vAlign w:val="center"/>
          </w:tcPr>
          <w:p w14:paraId="506BEDD6" w14:textId="77777777" w:rsidR="00105E0D" w:rsidRPr="00131373" w:rsidRDefault="00105E0D" w:rsidP="00105E0D">
            <w:pPr>
              <w:jc w:val="center"/>
              <w:rPr>
                <w:color w:val="000000"/>
                <w:sz w:val="15"/>
                <w:szCs w:val="15"/>
              </w:rPr>
            </w:pPr>
            <w:r w:rsidRPr="00131373">
              <w:rPr>
                <w:color w:val="000000"/>
                <w:sz w:val="15"/>
                <w:szCs w:val="15"/>
              </w:rPr>
              <w:t>Ascertainment of exposure</w:t>
            </w:r>
          </w:p>
        </w:tc>
        <w:tc>
          <w:tcPr>
            <w:tcW w:w="1134" w:type="dxa"/>
            <w:tcBorders>
              <w:top w:val="nil"/>
              <w:left w:val="nil"/>
              <w:bottom w:val="single" w:sz="4" w:space="0" w:color="000000"/>
              <w:right w:val="single" w:sz="8" w:space="0" w:color="000000"/>
            </w:tcBorders>
            <w:vAlign w:val="center"/>
          </w:tcPr>
          <w:p w14:paraId="57901836" w14:textId="77777777" w:rsidR="00105E0D" w:rsidRPr="00131373" w:rsidRDefault="00105E0D" w:rsidP="00105E0D">
            <w:pPr>
              <w:jc w:val="center"/>
              <w:rPr>
                <w:color w:val="000000"/>
                <w:sz w:val="15"/>
                <w:szCs w:val="15"/>
              </w:rPr>
            </w:pPr>
            <w:r w:rsidRPr="00131373">
              <w:rPr>
                <w:color w:val="000000"/>
                <w:sz w:val="15"/>
                <w:szCs w:val="15"/>
              </w:rPr>
              <w:t>Demonstration that outcome of interest was not present at start of study</w:t>
            </w:r>
          </w:p>
        </w:tc>
        <w:tc>
          <w:tcPr>
            <w:tcW w:w="1134" w:type="dxa"/>
            <w:tcBorders>
              <w:top w:val="nil"/>
              <w:left w:val="nil"/>
              <w:bottom w:val="single" w:sz="4" w:space="0" w:color="000000"/>
              <w:right w:val="single" w:sz="4" w:space="0" w:color="000000"/>
            </w:tcBorders>
            <w:vAlign w:val="center"/>
          </w:tcPr>
          <w:p w14:paraId="4DFDB7EB" w14:textId="77777777" w:rsidR="00105E0D" w:rsidRPr="00131373" w:rsidRDefault="00105E0D" w:rsidP="00105E0D">
            <w:pPr>
              <w:jc w:val="center"/>
              <w:rPr>
                <w:color w:val="000000"/>
                <w:sz w:val="15"/>
                <w:szCs w:val="15"/>
              </w:rPr>
            </w:pPr>
            <w:r w:rsidRPr="00131373">
              <w:rPr>
                <w:color w:val="000000"/>
                <w:sz w:val="15"/>
                <w:szCs w:val="15"/>
              </w:rPr>
              <w:t>Study controls for (Comparability on Design)</w:t>
            </w:r>
          </w:p>
        </w:tc>
        <w:tc>
          <w:tcPr>
            <w:tcW w:w="1134" w:type="dxa"/>
            <w:tcBorders>
              <w:top w:val="nil"/>
              <w:left w:val="nil"/>
              <w:bottom w:val="single" w:sz="4" w:space="0" w:color="000000"/>
              <w:right w:val="single" w:sz="8" w:space="0" w:color="000000"/>
            </w:tcBorders>
            <w:vAlign w:val="center"/>
          </w:tcPr>
          <w:p w14:paraId="19858638" w14:textId="77777777" w:rsidR="00105E0D" w:rsidRPr="00131373" w:rsidRDefault="00105E0D" w:rsidP="00105E0D">
            <w:pPr>
              <w:jc w:val="center"/>
              <w:rPr>
                <w:color w:val="000000"/>
                <w:sz w:val="15"/>
                <w:szCs w:val="15"/>
              </w:rPr>
            </w:pPr>
            <w:r w:rsidRPr="00131373">
              <w:rPr>
                <w:color w:val="000000"/>
                <w:sz w:val="15"/>
                <w:szCs w:val="15"/>
              </w:rPr>
              <w:t>Study controls for any additional factor (Additional Confounders)</w:t>
            </w:r>
          </w:p>
        </w:tc>
        <w:tc>
          <w:tcPr>
            <w:tcW w:w="936" w:type="dxa"/>
            <w:tcBorders>
              <w:top w:val="nil"/>
              <w:left w:val="nil"/>
              <w:bottom w:val="single" w:sz="4" w:space="0" w:color="000000"/>
              <w:right w:val="single" w:sz="4" w:space="0" w:color="000000"/>
            </w:tcBorders>
            <w:vAlign w:val="center"/>
          </w:tcPr>
          <w:p w14:paraId="327ACFA3" w14:textId="77777777" w:rsidR="00105E0D" w:rsidRPr="00131373" w:rsidRDefault="00105E0D" w:rsidP="00105E0D">
            <w:pPr>
              <w:jc w:val="center"/>
              <w:rPr>
                <w:color w:val="000000"/>
                <w:sz w:val="15"/>
                <w:szCs w:val="15"/>
              </w:rPr>
            </w:pPr>
            <w:r w:rsidRPr="00131373">
              <w:rPr>
                <w:color w:val="000000"/>
                <w:sz w:val="15"/>
                <w:szCs w:val="15"/>
              </w:rPr>
              <w:t>Assessment of outcome</w:t>
            </w:r>
          </w:p>
        </w:tc>
        <w:tc>
          <w:tcPr>
            <w:tcW w:w="1332" w:type="dxa"/>
            <w:tcBorders>
              <w:top w:val="nil"/>
              <w:left w:val="nil"/>
              <w:bottom w:val="single" w:sz="4" w:space="0" w:color="000000"/>
              <w:right w:val="single" w:sz="4" w:space="0" w:color="000000"/>
            </w:tcBorders>
            <w:vAlign w:val="center"/>
          </w:tcPr>
          <w:p w14:paraId="2C7C6A05" w14:textId="77777777" w:rsidR="00105E0D" w:rsidRPr="00131373" w:rsidRDefault="00105E0D" w:rsidP="00105E0D">
            <w:pPr>
              <w:jc w:val="center"/>
              <w:rPr>
                <w:color w:val="000000"/>
                <w:sz w:val="15"/>
                <w:szCs w:val="15"/>
              </w:rPr>
            </w:pPr>
            <w:r w:rsidRPr="00131373">
              <w:rPr>
                <w:color w:val="000000"/>
                <w:sz w:val="15"/>
                <w:szCs w:val="15"/>
              </w:rPr>
              <w:t>Was follow-up long enough for outcomes to occur</w:t>
            </w:r>
          </w:p>
        </w:tc>
        <w:tc>
          <w:tcPr>
            <w:tcW w:w="992" w:type="dxa"/>
            <w:tcBorders>
              <w:top w:val="nil"/>
              <w:left w:val="nil"/>
              <w:bottom w:val="single" w:sz="4" w:space="0" w:color="000000"/>
              <w:right w:val="single" w:sz="8" w:space="0" w:color="000000"/>
            </w:tcBorders>
            <w:vAlign w:val="center"/>
          </w:tcPr>
          <w:p w14:paraId="3BFC186F" w14:textId="77777777" w:rsidR="00105E0D" w:rsidRPr="00131373" w:rsidRDefault="00105E0D" w:rsidP="00105E0D">
            <w:pPr>
              <w:jc w:val="center"/>
              <w:rPr>
                <w:color w:val="000000"/>
                <w:sz w:val="15"/>
                <w:szCs w:val="15"/>
              </w:rPr>
            </w:pPr>
            <w:r w:rsidRPr="00131373">
              <w:rPr>
                <w:color w:val="000000"/>
                <w:sz w:val="15"/>
                <w:szCs w:val="15"/>
              </w:rPr>
              <w:t>Adequacy of follow up of cohorts</w:t>
            </w:r>
          </w:p>
        </w:tc>
        <w:tc>
          <w:tcPr>
            <w:tcW w:w="992" w:type="dxa"/>
            <w:tcBorders>
              <w:top w:val="nil"/>
              <w:left w:val="nil"/>
              <w:bottom w:val="single" w:sz="4" w:space="0" w:color="000000"/>
              <w:right w:val="single" w:sz="4" w:space="0" w:color="000000"/>
            </w:tcBorders>
            <w:vAlign w:val="center"/>
          </w:tcPr>
          <w:p w14:paraId="51423343" w14:textId="77777777" w:rsidR="00105E0D" w:rsidRPr="00131373" w:rsidRDefault="00105E0D" w:rsidP="00105E0D">
            <w:pPr>
              <w:jc w:val="center"/>
              <w:rPr>
                <w:color w:val="000000"/>
                <w:sz w:val="15"/>
                <w:szCs w:val="15"/>
              </w:rPr>
            </w:pPr>
            <w:r w:rsidRPr="00131373">
              <w:rPr>
                <w:color w:val="000000"/>
                <w:sz w:val="15"/>
                <w:szCs w:val="15"/>
              </w:rPr>
              <w:t>Total NOS Score (Maximum = 9)</w:t>
            </w:r>
          </w:p>
        </w:tc>
        <w:tc>
          <w:tcPr>
            <w:tcW w:w="1361" w:type="dxa"/>
            <w:tcBorders>
              <w:top w:val="nil"/>
              <w:left w:val="nil"/>
              <w:bottom w:val="single" w:sz="4" w:space="0" w:color="000000"/>
              <w:right w:val="single" w:sz="8" w:space="0" w:color="000000"/>
            </w:tcBorders>
            <w:vAlign w:val="center"/>
          </w:tcPr>
          <w:p w14:paraId="73B5827B" w14:textId="77777777" w:rsidR="00105E0D" w:rsidRPr="00131373" w:rsidRDefault="00105E0D" w:rsidP="00105E0D">
            <w:pPr>
              <w:jc w:val="center"/>
              <w:rPr>
                <w:color w:val="000000"/>
                <w:sz w:val="15"/>
                <w:szCs w:val="15"/>
              </w:rPr>
            </w:pPr>
            <w:r w:rsidRPr="00131373">
              <w:rPr>
                <w:color w:val="000000"/>
                <w:sz w:val="15"/>
                <w:szCs w:val="15"/>
              </w:rPr>
              <w:t>Quality Rating</w:t>
            </w:r>
          </w:p>
        </w:tc>
      </w:tr>
      <w:tr w:rsidR="00105E0D" w:rsidRPr="00131373" w14:paraId="05397A6B"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5516926E" w14:textId="1E3EC4AE" w:rsidR="00105E0D" w:rsidRPr="00131373" w:rsidRDefault="00105E0D" w:rsidP="00F72FC0">
            <w:pPr>
              <w:jc w:val="center"/>
              <w:rPr>
                <w:color w:val="000000"/>
                <w:sz w:val="15"/>
                <w:szCs w:val="15"/>
              </w:rPr>
            </w:pPr>
            <w:r w:rsidRPr="00131373">
              <w:rPr>
                <w:color w:val="000000"/>
                <w:sz w:val="15"/>
                <w:szCs w:val="15"/>
              </w:rPr>
              <w:t>Ou et al. (2017)</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{"citationID":"XQonDeyI","properties":{"formattedCitation":"\\super 37\\nosupersub{}","plainCitation":"37","noteIndex":0},"citationItems":[{"id":1546,"uris":["http://zotero.org/users/5317696/items/PYJ22ZDW"],"itemData":{"id":1546,"type":"article-journal","container-title":"Gastroenterology","DOI":"10.1016/S0016-5085(17)33684-3","ISSN":"00165085","issue":"5","journalAbbreviation":"Gastroenterology","language":"en","page":"S1093","source":"DOI.org (Crossref)","title":"Sustained Virological Response at 12 Weeks Following Direct-Acting Antiviral for Hepatitis C Infection is Associated with Reduction in Transient Elastography Scores","URL":"https://linkinghub.elsevier.com/retrieve/pii/S0016508517336843","volume":"152","author":[{"family":"Ou","given":"George"},{"family":"Ko","given":"Hin Hin"},{"family":"Wong","given":"Amy"},{"family":"Feizi","given":"Jeanette"},{"family":"Ramji","given":"Alnoor"}],"accessed":{"date-parts":[["2025",5,15]]},"issued":{"date-parts":[["2017",4]]}}}],"schema":"https://github.com/citation-style-language/schema/raw/master/csl-citation.json"} </w:instrText>
            </w:r>
            <w:r w:rsidR="003350B6">
              <w:rPr>
                <w:color w:val="000000"/>
                <w:sz w:val="15"/>
                <w:szCs w:val="15"/>
              </w:rPr>
              <w:fldChar w:fldCharType="separate"/>
            </w:r>
            <w:r w:rsidR="00485C7C" w:rsidRPr="00485C7C">
              <w:rPr>
                <w:sz w:val="15"/>
                <w:vertAlign w:val="superscript"/>
              </w:rPr>
              <w:t>37</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5DFC5EE6" w14:textId="65F68BBA" w:rsidR="00105E0D" w:rsidRPr="00131373" w:rsidRDefault="00105E0D" w:rsidP="00F72FC0">
            <w:pPr>
              <w:jc w:val="center"/>
              <w:rPr>
                <w:color w:val="000000"/>
                <w:sz w:val="15"/>
                <w:szCs w:val="15"/>
              </w:rPr>
            </w:pPr>
            <w:r w:rsidRPr="00131373">
              <w:rPr>
                <w:color w:val="000000"/>
                <w:sz w:val="15"/>
                <w:szCs w:val="15"/>
              </w:rPr>
              <w:t>Retrospective</w:t>
            </w:r>
          </w:p>
        </w:tc>
        <w:tc>
          <w:tcPr>
            <w:tcW w:w="993" w:type="dxa"/>
            <w:tcBorders>
              <w:top w:val="nil"/>
              <w:left w:val="nil"/>
              <w:bottom w:val="single" w:sz="4" w:space="0" w:color="000000"/>
              <w:right w:val="single" w:sz="4" w:space="0" w:color="000000"/>
            </w:tcBorders>
            <w:noWrap/>
            <w:vAlign w:val="center"/>
          </w:tcPr>
          <w:p w14:paraId="35D18EB3"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435C272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4156802C"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2E7FE7A2"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BE60EE9"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43D6F169"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27F83139"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778516A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47C2A7F6"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11B25120" w14:textId="77777777" w:rsidR="00105E0D" w:rsidRPr="00131373" w:rsidRDefault="00105E0D" w:rsidP="00485C7C">
            <w:pPr>
              <w:jc w:val="center"/>
              <w:rPr>
                <w:color w:val="000000"/>
                <w:sz w:val="15"/>
                <w:szCs w:val="15"/>
              </w:rPr>
            </w:pPr>
            <w:r w:rsidRPr="00131373">
              <w:rPr>
                <w:color w:val="000000"/>
                <w:sz w:val="15"/>
                <w:szCs w:val="15"/>
              </w:rPr>
              <w:t>6</w:t>
            </w:r>
          </w:p>
        </w:tc>
        <w:tc>
          <w:tcPr>
            <w:tcW w:w="1361" w:type="dxa"/>
            <w:tcBorders>
              <w:top w:val="nil"/>
              <w:left w:val="nil"/>
              <w:bottom w:val="single" w:sz="4" w:space="0" w:color="000000"/>
              <w:right w:val="single" w:sz="8" w:space="0" w:color="000000"/>
            </w:tcBorders>
            <w:noWrap/>
            <w:vAlign w:val="center"/>
          </w:tcPr>
          <w:p w14:paraId="00DEFA6B" w14:textId="2D87E14E" w:rsidR="00105E0D" w:rsidRPr="00131373" w:rsidRDefault="00AA7D9A" w:rsidP="00485C7C">
            <w:pPr>
              <w:jc w:val="center"/>
              <w:rPr>
                <w:color w:val="000000"/>
                <w:sz w:val="15"/>
                <w:szCs w:val="15"/>
              </w:rPr>
            </w:pPr>
            <w:r>
              <w:rPr>
                <w:color w:val="000000"/>
                <w:sz w:val="15"/>
                <w:szCs w:val="15"/>
              </w:rPr>
              <w:t>Moderate</w:t>
            </w:r>
          </w:p>
        </w:tc>
      </w:tr>
      <w:tr w:rsidR="00105E0D" w:rsidRPr="00131373" w14:paraId="1C272E00"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4A5A0A55" w14:textId="17279A1D" w:rsidR="00105E0D" w:rsidRPr="00131373" w:rsidRDefault="00105E0D" w:rsidP="00F72FC0">
            <w:pPr>
              <w:jc w:val="center"/>
              <w:rPr>
                <w:color w:val="000000"/>
                <w:sz w:val="15"/>
                <w:szCs w:val="15"/>
              </w:rPr>
            </w:pPr>
            <w:proofErr w:type="spellStart"/>
            <w:r w:rsidRPr="00131373">
              <w:rPr>
                <w:color w:val="000000"/>
                <w:sz w:val="15"/>
                <w:szCs w:val="15"/>
              </w:rPr>
              <w:t>Abdelsameea</w:t>
            </w:r>
            <w:proofErr w:type="spellEnd"/>
            <w:r w:rsidRPr="00131373">
              <w:rPr>
                <w:color w:val="000000"/>
                <w:sz w:val="15"/>
                <w:szCs w:val="15"/>
              </w:rPr>
              <w:t xml:space="preserve"> et al. (2020)</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{"citationID":"0pPCJcbr","properties":{"formattedCitation":"\\super 38\\nosupersub{}","plainCitation":"38","noteIndex":0},"citationItems":[{"id":1562,"uris":["http://zotero.org/users/5317696/items/VD486LW5"],"itemData":{"id":1562,"type":"article-journal","abstract":"Objectives: The extent of post-treatment fibrosis change in patients with different stages of fibrosis is not fully known. The authors aimed to study changes in liver fibrosis in chronic hepatitis C patients who were treated with pegylated interferon/ribavirin (PEG/RBV) or direct acting antivirals (DAAs).\nMethods: Retrospective evaluation of results of transient elastography (TE) was done before and one year after end of treatment for patients treated with PEG/RBV (n=268) and DAAs (n=245).\nResults: The average age was 45.54 ±10.64 years; mainly males. All patients in the DAAs group achieved sustained virological response (SVR), unlike 56.3% of patients in the PEG/RBV group. F3F4 fibrosis was predominant in the PEG/RBV nonresponder patients (51.3%) and DAAs responders (57.1%). TE decreased 1 year after end of treatment (p=0.001) in the viral responders of the PEG/RBV group (7.44 ±4.02 vs. 10.24 ±7.29 kPa) and DAAs group (12.12 ±9.21 vs. 16.81 ±12.84 kPa) respectively. The delta TE change in the DAAs responders was higher than the PEG/RBV responders (p=0.001) and PEG/RBV nonresponders (p=0.001). The percentage of patients with liver fibrosis regression was higher in DAAs responders (52.5%) than in PEG/RBV responders (23.3%).\nConclusion: Treatment with DAAs is associated with fibrosis improvement more than treatment with PEG/RBV in chronic hepatitis C patients.","container-title":"Expert Review of Anti-infective Therapy","DOI":"10.1080/14787210.2021.1864326","ISSN":"1478-7210, 1744-8336","issue":"8","journalAbbreviation":"Expert Review of Anti-infective Therapy","language":"en","page":"1053-1059","source":"DOI.org (Crossref)","title":"Direct acting antivirals are associated with more liver stiffness regression than pegylated interferon therapy in chronic hepatitis C patients","URL":"https://www.tandfonline.com/doi/full/10.1080/14787210.2021.1864326","volume":"19","author":[{"family":"Abdelsameea","given":"Eman"},{"family":"Alsebaey","given":"Ayman"},{"family":"Abdel-Samiee","given":"Mohamed"},{"family":"Abdel-Razek","given":"Wael"},{"family":"Salama","given":"Mohsen"},{"family":"Waked","given":"Imam"}],"accessed":{"date-parts":[["2025",5,15]]},"issued":{"date-parts":[["2021",8,3]]}}}],"schema":"https://github.com/citation-style-language/schema/raw/master/csl-citation.json"} </w:instrText>
            </w:r>
            <w:r w:rsidR="003350B6">
              <w:rPr>
                <w:color w:val="000000"/>
                <w:sz w:val="15"/>
                <w:szCs w:val="15"/>
              </w:rPr>
              <w:fldChar w:fldCharType="separate"/>
            </w:r>
            <w:r w:rsidR="00485C7C" w:rsidRPr="00485C7C">
              <w:rPr>
                <w:sz w:val="15"/>
                <w:vertAlign w:val="superscript"/>
              </w:rPr>
              <w:t>38</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7B4B438F" w14:textId="585BFE01" w:rsidR="00105E0D" w:rsidRPr="00131373" w:rsidRDefault="00105E0D" w:rsidP="00F72FC0">
            <w:pPr>
              <w:jc w:val="center"/>
              <w:rPr>
                <w:color w:val="000000"/>
                <w:sz w:val="15"/>
                <w:szCs w:val="15"/>
              </w:rPr>
            </w:pPr>
            <w:r w:rsidRPr="00131373">
              <w:rPr>
                <w:color w:val="000000"/>
                <w:sz w:val="15"/>
                <w:szCs w:val="15"/>
              </w:rPr>
              <w:t>Retrospective</w:t>
            </w:r>
          </w:p>
        </w:tc>
        <w:tc>
          <w:tcPr>
            <w:tcW w:w="993" w:type="dxa"/>
            <w:tcBorders>
              <w:top w:val="nil"/>
              <w:left w:val="nil"/>
              <w:bottom w:val="single" w:sz="4" w:space="0" w:color="000000"/>
              <w:right w:val="single" w:sz="4" w:space="0" w:color="000000"/>
            </w:tcBorders>
            <w:noWrap/>
            <w:vAlign w:val="center"/>
          </w:tcPr>
          <w:p w14:paraId="116BD1D1"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05D04FB"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3B950B0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5FD47FC7"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636E1A3"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327B1D1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381773A4"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76BC1937"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29204D7D"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57498DA6" w14:textId="77777777" w:rsidR="00105E0D" w:rsidRPr="00131373" w:rsidRDefault="00105E0D" w:rsidP="00485C7C">
            <w:pPr>
              <w:jc w:val="center"/>
              <w:rPr>
                <w:color w:val="000000"/>
                <w:sz w:val="15"/>
                <w:szCs w:val="15"/>
              </w:rPr>
            </w:pPr>
            <w:r w:rsidRPr="00131373">
              <w:rPr>
                <w:color w:val="000000"/>
                <w:sz w:val="15"/>
                <w:szCs w:val="15"/>
              </w:rPr>
              <w:t>6</w:t>
            </w:r>
          </w:p>
        </w:tc>
        <w:tc>
          <w:tcPr>
            <w:tcW w:w="1361" w:type="dxa"/>
            <w:tcBorders>
              <w:top w:val="nil"/>
              <w:left w:val="nil"/>
              <w:bottom w:val="single" w:sz="4" w:space="0" w:color="000000"/>
              <w:right w:val="single" w:sz="8" w:space="0" w:color="000000"/>
            </w:tcBorders>
            <w:noWrap/>
            <w:vAlign w:val="center"/>
          </w:tcPr>
          <w:p w14:paraId="3BCBFFF5" w14:textId="50DB32CB" w:rsidR="00105E0D" w:rsidRPr="00131373" w:rsidRDefault="00AA7D9A" w:rsidP="00485C7C">
            <w:pPr>
              <w:jc w:val="center"/>
              <w:rPr>
                <w:color w:val="000000"/>
                <w:sz w:val="15"/>
                <w:szCs w:val="15"/>
              </w:rPr>
            </w:pPr>
            <w:r>
              <w:rPr>
                <w:color w:val="000000"/>
                <w:sz w:val="15"/>
                <w:szCs w:val="15"/>
              </w:rPr>
              <w:t>Moderate</w:t>
            </w:r>
          </w:p>
        </w:tc>
      </w:tr>
      <w:tr w:rsidR="00105E0D" w:rsidRPr="00131373" w14:paraId="0F4D419C"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2E9675FF" w14:textId="4914373D" w:rsidR="00105E0D" w:rsidRPr="00131373" w:rsidRDefault="00105E0D" w:rsidP="00F72FC0">
            <w:pPr>
              <w:jc w:val="center"/>
              <w:rPr>
                <w:color w:val="000000"/>
                <w:sz w:val="15"/>
                <w:szCs w:val="15"/>
              </w:rPr>
            </w:pPr>
            <w:proofErr w:type="spellStart"/>
            <w:r w:rsidRPr="00131373">
              <w:rPr>
                <w:color w:val="000000"/>
                <w:sz w:val="15"/>
                <w:szCs w:val="15"/>
              </w:rPr>
              <w:t>Sriphoosanaphan</w:t>
            </w:r>
            <w:proofErr w:type="spellEnd"/>
            <w:r w:rsidRPr="00131373">
              <w:rPr>
                <w:color w:val="000000"/>
                <w:sz w:val="15"/>
                <w:szCs w:val="15"/>
              </w:rPr>
              <w:t xml:space="preserve"> et al. (2020)</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{"citationID":"PTzlHhh7","properties":{"formattedCitation":"\\super 39\\nosupersub{}","plainCitation":"39","noteIndex":0},"citationItems":[{"id":1561,"uris":["http://zotero.org/users/5317696/items/JKWNT9BL"],"itemData":{"id":1561,"type":"article-journal","abstract":"Background: Vitamin D (VD) is important in hepatic fibrogenesis in animal models and human studies. VD deficiency is associated with liver fibrosis progression. Metabolic dysfunction of the liver, as an intermediate organ for VD metabolism, contributes partly to this deficiency. We hypothesized that improving hepatic fibrosis and inflammation in chronic hepatitis C (CHC) patients after eradication with direct-acting antivirals (DAA) would increase 25-hydroxyVD [25(OH)VD] levels.\nMethods: Eighty CHC patients (17 chronic hepatitis, and 63 cirrhosis) were enrolled. Baseline characteristics, hepatitis C viral load (VL), genotypes, liver enzymes and liver stiffness measurements (LSM) were assessed at baseline. Blood samples for 25(OH)VD and the procollagen type III N-terminal peptide (P3NP) were collected at baseline, 24 and 48 weeks. LSMs were re-evaluated at 48 weeks. Serum 25(OH)VD levels &lt; 30 ng/mL were defined as VD insufficiency/ deficiency. Paired t-tests were used for statistical analyses.\nResults: Among 80 patients, the mean age was 57.7 ± 10.5 years, and 52.5% were men. The mean VL was 6.1 ± 0.7 logIU/mL with genotype 1 predominance (55%). All patients achieved sustained virological response. The alanine aminotransferase levels decreased from 79.9 ± 53.3 U/L at baseline to 25.7 ± 17.2 and 22.3 ± 11.0 U/L at 24 and 48 weeks, respectively (p &lt; 0.001). The mean LSM decreased from 19.2 ± 15.3 to 11.7 ± 8.0 kPa at 48 weeks (p &lt; 0.001). The P3NP levels decreased from 43.6 ± 22.0 ng/mL before treatment to 35.7 ± 21.1 and 29.4 ± 15.0 ng/mL at 24 and 48 weeks, respectively (p &lt; 0.001). The proportions of VD insufficiency/deficiency were 72.5%, 91.3%, and 86.5% at baseline, 24 and 48 weeks, respectively. The 25(OH)VD levels decreased from 26.3 ± 10.7 ng/mL at baseline to 20.8 ± 8.1 and 20.8 ± 8.5 ng/mL at 24 and 48 weeks, respectively (p &lt; 0.001).\nConclusions: Curative treatment with DAA attenuated the liver stiffness and inflammation but did not improve VD levels. Over 80% of patients remained VD insufficient/deficient. Whether VD replacement during and after DAA therapy can improve hepatic fibrosis remains unclear.","container-title":"BMC Gastroenterology","DOI":"10.1186/s12876-020-01485-8","ISSN":"1471-230X","issue":"1","journalAbbreviation":"BMC Gastroenterol","language":"en","page":"346","source":"DOI.org (Crossref)","title":"Changes in hepatic fibrosis and vitamin D levels after viral hepatitis C eradication using direct-acting antiviral therapy","URL":"https://bmcgastroenterol.biomedcentral.com/articles/10.1186/s12876-020-01485-8","volume":"20","author":[{"family":"Sriphoosanaphan","given":"Supachaya"},{"family":"Thanapirom","given":"Kessarin"},{"family":"Suksawatamnuay","given":"Sirinporn"},{"family":"Thaimai","given":"Panarat"},{"family":"Sittisomwong","given":"Sukanya"},{"family":"Sonsiri","given":"Kanokwan"},{"family":"Srisoonthorn","given":"Nunthiya"},{"family":"Teeratorn","given":"Nicha"},{"family":"Tanpowpong","given":"Nattaporn"},{"family":"Chaopathomkul","given":"Bundit"},{"family":"Treeprasertsuk","given":"Sombat"},{"family":"Poovorawan","given":"Yong"},{"family":"Komolmit","given":"Piyawat"}],"accessed":{"date-parts":[["2025",5,15]]},"issued":{"date-parts":[["2020",12]]}}}],"schema":"https://github.com/citation-style-language/schema/raw/master/csl-citation.json"} </w:instrText>
            </w:r>
            <w:r w:rsidR="003350B6">
              <w:rPr>
                <w:color w:val="000000"/>
                <w:sz w:val="15"/>
                <w:szCs w:val="15"/>
              </w:rPr>
              <w:fldChar w:fldCharType="separate"/>
            </w:r>
            <w:r w:rsidR="00485C7C" w:rsidRPr="00485C7C">
              <w:rPr>
                <w:sz w:val="15"/>
                <w:vertAlign w:val="superscript"/>
              </w:rPr>
              <w:t>39</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5D398F00" w14:textId="45539313" w:rsidR="00105E0D" w:rsidRPr="00131373" w:rsidRDefault="00105E0D" w:rsidP="00F72FC0">
            <w:pPr>
              <w:jc w:val="center"/>
              <w:rPr>
                <w:color w:val="000000"/>
                <w:sz w:val="15"/>
                <w:szCs w:val="15"/>
              </w:rPr>
            </w:pPr>
            <w:r w:rsidRPr="00131373">
              <w:rPr>
                <w:color w:val="000000"/>
                <w:sz w:val="15"/>
                <w:szCs w:val="15"/>
              </w:rPr>
              <w:t>Retrospective</w:t>
            </w:r>
          </w:p>
        </w:tc>
        <w:tc>
          <w:tcPr>
            <w:tcW w:w="993" w:type="dxa"/>
            <w:tcBorders>
              <w:top w:val="nil"/>
              <w:left w:val="nil"/>
              <w:bottom w:val="single" w:sz="4" w:space="0" w:color="000000"/>
              <w:right w:val="single" w:sz="4" w:space="0" w:color="000000"/>
            </w:tcBorders>
            <w:noWrap/>
            <w:vAlign w:val="center"/>
          </w:tcPr>
          <w:p w14:paraId="042FEB44"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D613146"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54AC0C4A"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760661F"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83A9B09"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7B5A980F"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5D8877F3"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576E92E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4806516E"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356EB491" w14:textId="77777777" w:rsidR="00105E0D" w:rsidRPr="00131373" w:rsidRDefault="00105E0D" w:rsidP="00485C7C">
            <w:pPr>
              <w:jc w:val="center"/>
              <w:rPr>
                <w:color w:val="000000"/>
                <w:sz w:val="15"/>
                <w:szCs w:val="15"/>
              </w:rPr>
            </w:pPr>
            <w:r w:rsidRPr="00131373">
              <w:rPr>
                <w:color w:val="000000"/>
                <w:sz w:val="15"/>
                <w:szCs w:val="15"/>
              </w:rPr>
              <w:t>6</w:t>
            </w:r>
          </w:p>
        </w:tc>
        <w:tc>
          <w:tcPr>
            <w:tcW w:w="1361" w:type="dxa"/>
            <w:tcBorders>
              <w:top w:val="nil"/>
              <w:left w:val="nil"/>
              <w:bottom w:val="single" w:sz="4" w:space="0" w:color="000000"/>
              <w:right w:val="single" w:sz="8" w:space="0" w:color="000000"/>
            </w:tcBorders>
            <w:noWrap/>
            <w:vAlign w:val="center"/>
          </w:tcPr>
          <w:p w14:paraId="7311DCB7" w14:textId="04387E33" w:rsidR="00105E0D" w:rsidRPr="00131373" w:rsidRDefault="00AA7D9A" w:rsidP="00485C7C">
            <w:pPr>
              <w:jc w:val="center"/>
              <w:rPr>
                <w:color w:val="000000"/>
                <w:sz w:val="15"/>
                <w:szCs w:val="15"/>
              </w:rPr>
            </w:pPr>
            <w:r w:rsidRPr="00AA7D9A">
              <w:rPr>
                <w:color w:val="000000"/>
                <w:sz w:val="15"/>
                <w:szCs w:val="15"/>
              </w:rPr>
              <w:t>Moderate</w:t>
            </w:r>
          </w:p>
        </w:tc>
      </w:tr>
      <w:tr w:rsidR="00105E0D" w:rsidRPr="00131373" w14:paraId="347842CE"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5CE4DAD2" w14:textId="7B140901" w:rsidR="00105E0D" w:rsidRPr="00131373" w:rsidRDefault="00105E0D" w:rsidP="00F72FC0">
            <w:pPr>
              <w:jc w:val="center"/>
              <w:rPr>
                <w:color w:val="000000"/>
                <w:sz w:val="15"/>
                <w:szCs w:val="15"/>
              </w:rPr>
            </w:pPr>
            <w:r w:rsidRPr="00131373">
              <w:rPr>
                <w:color w:val="000000"/>
                <w:sz w:val="15"/>
                <w:szCs w:val="15"/>
              </w:rPr>
              <w:t>Nada et al. (2022)</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{"citationID":"3LKPTqPs","properties":{"formattedCitation":"\\super 40\\nosupersub{}","plainCitation":"40","noteIndex":0},"citationItems":[{"id":1586,"uris":["http://zotero.org/users/5317696/items/RC5NIL5X"],"itemData":{"id":1586,"type":"article-journal","abstract":"Background: Hepatitis C virus (HCV) treatment aims to halt the progression of fibrosis and reducing its complications. HCV-treatment has been enhanced by the development of all-oral DAAs with good efficacy and a reasonable side effect. Aims: The goal of this study is to see how long-term eradication of HCV affect liver fibrosis following DAAs therapy.","container-title":"Medical Journal of Viral Hepatitis","DOI":"10.21608/mjvh.2022.279334","ISSN":"2314-8756","issue":"1","journalAbbreviation":"Medical Journal of Viral Hepatitis","language":"en","page":"21-32","source":"DOI.org (Crossref)","title":"Impact of long-term eradication of chronic Hepatitis C infection using the direct-acting antiviral treatment on liver fibrosis parameters in Egyptian patients","URL":"https://mjvh.journals.ekb.eg/article_279334.html","volume":"7.1","author":[{"family":"Nada","given":"Ali"},{"family":"Ata","given":"Lmyaa"},{"family":"Amer","given":"Amany"},{"family":"Elabd","given":"Naglaa"}],"accessed":{"date-parts":[["2025",5,15]]},"issued":{"date-parts":[["2022",12,1]]}}}],"schema":"https://github.com/citation-style-language/schema/raw/master/csl-citation.json"} </w:instrText>
            </w:r>
            <w:r w:rsidR="003350B6">
              <w:rPr>
                <w:color w:val="000000"/>
                <w:sz w:val="15"/>
                <w:szCs w:val="15"/>
              </w:rPr>
              <w:fldChar w:fldCharType="separate"/>
            </w:r>
            <w:r w:rsidR="00485C7C" w:rsidRPr="00485C7C">
              <w:rPr>
                <w:sz w:val="15"/>
                <w:vertAlign w:val="superscript"/>
              </w:rPr>
              <w:t>40</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52AB9A75" w14:textId="1EF9CD99" w:rsidR="00105E0D" w:rsidRPr="00131373" w:rsidRDefault="00105E0D" w:rsidP="00F72FC0">
            <w:pPr>
              <w:jc w:val="center"/>
              <w:rPr>
                <w:color w:val="000000"/>
                <w:sz w:val="15"/>
                <w:szCs w:val="15"/>
              </w:rPr>
            </w:pPr>
            <w:r w:rsidRPr="00131373">
              <w:rPr>
                <w:color w:val="000000"/>
                <w:sz w:val="15"/>
                <w:szCs w:val="15"/>
              </w:rPr>
              <w:t>Prospective</w:t>
            </w:r>
          </w:p>
        </w:tc>
        <w:tc>
          <w:tcPr>
            <w:tcW w:w="993" w:type="dxa"/>
            <w:tcBorders>
              <w:top w:val="nil"/>
              <w:left w:val="nil"/>
              <w:bottom w:val="single" w:sz="4" w:space="0" w:color="000000"/>
              <w:right w:val="single" w:sz="4" w:space="0" w:color="000000"/>
            </w:tcBorders>
            <w:noWrap/>
            <w:vAlign w:val="center"/>
          </w:tcPr>
          <w:p w14:paraId="1C515120"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6A1EB33"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3CC8F4AB"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45F28C1"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51AB256A"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2DC74147"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50201E9A"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7B42E3AA"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5024FC46"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35EEEBA9" w14:textId="77777777" w:rsidR="00105E0D" w:rsidRPr="00131373" w:rsidRDefault="00105E0D" w:rsidP="00485C7C">
            <w:pPr>
              <w:jc w:val="center"/>
              <w:rPr>
                <w:color w:val="000000"/>
                <w:sz w:val="15"/>
                <w:szCs w:val="15"/>
              </w:rPr>
            </w:pPr>
            <w:r w:rsidRPr="00131373">
              <w:rPr>
                <w:color w:val="000000"/>
                <w:sz w:val="15"/>
                <w:szCs w:val="15"/>
              </w:rPr>
              <w:t>6</w:t>
            </w:r>
          </w:p>
        </w:tc>
        <w:tc>
          <w:tcPr>
            <w:tcW w:w="1361" w:type="dxa"/>
            <w:tcBorders>
              <w:top w:val="nil"/>
              <w:left w:val="nil"/>
              <w:bottom w:val="single" w:sz="4" w:space="0" w:color="000000"/>
              <w:right w:val="single" w:sz="8" w:space="0" w:color="000000"/>
            </w:tcBorders>
            <w:noWrap/>
            <w:vAlign w:val="center"/>
          </w:tcPr>
          <w:p w14:paraId="29D39141" w14:textId="064E25F3" w:rsidR="00105E0D" w:rsidRPr="00131373" w:rsidRDefault="00AA7D9A" w:rsidP="00485C7C">
            <w:pPr>
              <w:jc w:val="center"/>
              <w:rPr>
                <w:color w:val="000000"/>
                <w:sz w:val="15"/>
                <w:szCs w:val="15"/>
              </w:rPr>
            </w:pPr>
            <w:r w:rsidRPr="00AA7D9A">
              <w:rPr>
                <w:color w:val="000000"/>
                <w:sz w:val="15"/>
                <w:szCs w:val="15"/>
              </w:rPr>
              <w:t>Moderate</w:t>
            </w:r>
          </w:p>
        </w:tc>
      </w:tr>
      <w:tr w:rsidR="00105E0D" w:rsidRPr="00131373" w14:paraId="52972D61"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1C475659" w14:textId="7881C21C" w:rsidR="00105E0D" w:rsidRPr="00131373" w:rsidRDefault="00105E0D" w:rsidP="00F72FC0">
            <w:pPr>
              <w:jc w:val="center"/>
              <w:rPr>
                <w:color w:val="000000"/>
                <w:sz w:val="15"/>
                <w:szCs w:val="15"/>
              </w:rPr>
            </w:pPr>
            <w:r w:rsidRPr="00131373">
              <w:rPr>
                <w:color w:val="000000"/>
                <w:sz w:val="15"/>
                <w:szCs w:val="15"/>
              </w:rPr>
              <w:t>Losurdo et al. (2020)</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{"citationID":"XclAqZqT","properties":{"formattedCitation":"\\super 41\\nosupersub{}","plainCitation":"41","noteIndex":0},"citationItems":[{"id":1560,"uris":["http://zotero.org/users/5317696/items/L8GNRTZH"],"itemData":{"id":1560,"type":"article-journal","abstract":"Concomitant inﬂammatory bowel disease (IBD) and hepatitis C virus (HCV) infection is a relevant comorbidity since IBD itself exposes to a high risk of liver damage. We aimed to evaluate liver stiﬀness (LS) in IBD-HCV after antiviral treatment. We enrolled IBD patients with HCV. All patients at baseline underwent LS measurement by elastography. Patients who were eligible for antiviral therapy received direct antiviral agents (DAAs) and sustained viral response was evaluated at the 12th week. A control group was selected within IBD patients without HCV. One year later, all IBD-HCV patients and controls repeated LS measurement. Twenty-four IBD-HCV patients and 24 IBD controls entered the study. Only twelve out of 24 received DAAs and all achieved sustained viral response (SVR). All IBD subjects were in remission at enrollment and maintained remission for one year. After one year, IBD patients who eradicated HCV passed from a liver stiﬀness of 8.5 ± 6.2 kPa to 7.1 ± 3.9, p = 0.13. IBD patients who did not eradicate HCV worsened liver stiﬀness: from 7.6 ± 4.4 to 8.6 ± 4.6, p = 0.01. In the IBD control group, stiﬀness decreased from 7.8 ± 4.4 to 6.0 ± 3.1, p &lt; 0.001. In conclusion, HCV eradication is able to stop the evolution of liver ﬁbrosis in IBD, while failure to treat may lead to its progression. A stable IBD remission may improve LS even in non-infected subjects.","container-title":"Diagnostics","DOI":"10.3390/diagnostics10121037","ISSN":"2075-4418","issue":"12","journalAbbreviation":"Diagnostics","language":"en","license":"https://creativecommons.org/licenses/by/4.0/","page":"1037","source":"DOI.org (Crossref)","title":"Trends of Liver Stiffness in Inflammatory Bowel Disease with Chronic Hepatitis C","URL":"https://www.mdpi.com/2075-4418/10/12/1037","volume":"10","author":[{"family":"Losurdo","given":"Giuseppe"},{"family":"Iannone","given":"Andrea"},{"family":"Contaldo","given":"Antonella"},{"family":"Barone","given":"Michele"},{"family":"Ierardi","given":"Enzo"},{"family":"Di Leo","given":"Alfredo"},{"family":"Principi","given":"Mariabeatrice"}],"accessed":{"date-parts":[["2025",5,15]]},"issued":{"date-parts":[["2020",12,2]]}}}],"schema":"https://github.com/citation-style-language/schema/raw/master/csl-citation.json"} </w:instrText>
            </w:r>
            <w:r w:rsidR="003350B6">
              <w:rPr>
                <w:color w:val="000000"/>
                <w:sz w:val="15"/>
                <w:szCs w:val="15"/>
              </w:rPr>
              <w:fldChar w:fldCharType="separate"/>
            </w:r>
            <w:r w:rsidR="00485C7C" w:rsidRPr="00485C7C">
              <w:rPr>
                <w:sz w:val="15"/>
                <w:vertAlign w:val="superscript"/>
              </w:rPr>
              <w:t>41</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77C85CA2" w14:textId="5C7F0E77" w:rsidR="00105E0D" w:rsidRPr="00131373" w:rsidRDefault="00105E0D" w:rsidP="00F72FC0">
            <w:pPr>
              <w:jc w:val="center"/>
              <w:rPr>
                <w:color w:val="000000"/>
                <w:sz w:val="15"/>
                <w:szCs w:val="15"/>
              </w:rPr>
            </w:pPr>
            <w:r w:rsidRPr="00131373">
              <w:rPr>
                <w:color w:val="000000"/>
                <w:sz w:val="15"/>
                <w:szCs w:val="15"/>
              </w:rPr>
              <w:t>Prospective</w:t>
            </w:r>
          </w:p>
        </w:tc>
        <w:tc>
          <w:tcPr>
            <w:tcW w:w="993" w:type="dxa"/>
            <w:tcBorders>
              <w:top w:val="nil"/>
              <w:left w:val="nil"/>
              <w:bottom w:val="single" w:sz="4" w:space="0" w:color="000000"/>
              <w:right w:val="single" w:sz="4" w:space="0" w:color="000000"/>
            </w:tcBorders>
            <w:noWrap/>
            <w:vAlign w:val="center"/>
          </w:tcPr>
          <w:p w14:paraId="5C96BDEB"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E00BF02"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DAC7304"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7BC5184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53411BA2"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03CDE667"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0D0CBB03"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3C6F2168"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0E6158EB"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479CE372" w14:textId="77777777" w:rsidR="00105E0D" w:rsidRPr="00131373" w:rsidRDefault="00105E0D" w:rsidP="00485C7C">
            <w:pPr>
              <w:jc w:val="center"/>
              <w:rPr>
                <w:color w:val="000000"/>
                <w:sz w:val="15"/>
                <w:szCs w:val="15"/>
              </w:rPr>
            </w:pPr>
            <w:r w:rsidRPr="00131373">
              <w:rPr>
                <w:color w:val="000000"/>
                <w:sz w:val="15"/>
                <w:szCs w:val="15"/>
              </w:rPr>
              <w:t>7</w:t>
            </w:r>
          </w:p>
        </w:tc>
        <w:tc>
          <w:tcPr>
            <w:tcW w:w="1361" w:type="dxa"/>
            <w:tcBorders>
              <w:top w:val="nil"/>
              <w:left w:val="nil"/>
              <w:bottom w:val="single" w:sz="4" w:space="0" w:color="000000"/>
              <w:right w:val="single" w:sz="8" w:space="0" w:color="000000"/>
            </w:tcBorders>
            <w:noWrap/>
            <w:vAlign w:val="center"/>
          </w:tcPr>
          <w:p w14:paraId="68CE6F78" w14:textId="7F129053" w:rsidR="00105E0D" w:rsidRPr="00131373" w:rsidRDefault="00AA7D9A" w:rsidP="00485C7C">
            <w:pPr>
              <w:jc w:val="center"/>
              <w:rPr>
                <w:color w:val="000000"/>
                <w:sz w:val="15"/>
                <w:szCs w:val="15"/>
              </w:rPr>
            </w:pPr>
            <w:r>
              <w:rPr>
                <w:color w:val="000000"/>
                <w:sz w:val="15"/>
                <w:szCs w:val="15"/>
              </w:rPr>
              <w:t>High</w:t>
            </w:r>
          </w:p>
        </w:tc>
      </w:tr>
      <w:tr w:rsidR="00105E0D" w:rsidRPr="00131373" w14:paraId="30F72293"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0B558BD0" w14:textId="75185F52" w:rsidR="00105E0D" w:rsidRPr="00131373" w:rsidRDefault="00105E0D" w:rsidP="00F72FC0">
            <w:pPr>
              <w:jc w:val="center"/>
              <w:rPr>
                <w:color w:val="000000"/>
                <w:sz w:val="15"/>
                <w:szCs w:val="15"/>
              </w:rPr>
            </w:pPr>
            <w:r w:rsidRPr="00131373">
              <w:rPr>
                <w:color w:val="000000"/>
                <w:sz w:val="15"/>
                <w:szCs w:val="15"/>
              </w:rPr>
              <w:t>Noureddin et al. (2018)</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{"citationID":"7NbY6bkl","properties":{"formattedCitation":"\\super 42\\nosupersub{}","plainCitation":"42","noteIndex":0},"citationItems":[{"id":1555,"uris":["http://zotero.org/users/5317696/items/G7D8G84G"],"itemData":{"id":1555,"type":"article-journal","container-title":"World Journal of Gastroenterology","DOI":"10.3748/wjg.v24.i11.1269","ISSN":"1007-9327","issue":"11","journalAbbreviation":"WJG","language":"en","page":"1269-1277","source":"DOI.org (Crossref)","title":"Fatty liver in hepatitis C patients post-sustained virological response with direct-acting antivirals","URL":"http://www.wjgnet.com/1007-9327/full/v24/i11/1269.htm","volume":"24","author":[{"family":"Noureddin","given":"Mazen"},{"family":"Wong","given":"Micaela M"},{"family":"Todo","given":"Tsuyoshi"},{"family":"Lu","given":"Shelly C"},{"family":"Sanyal","given":"Arun J"},{"family":"Mena","given":"Edward A"}],"accessed":{"date-parts":[["2025",5,15]]},"issued":{"date-parts":[["2018",3,21]]}}}],"schema":"https://github.com/citation-style-language/schema/raw/master/csl-citation.json"} </w:instrText>
            </w:r>
            <w:r w:rsidR="003350B6">
              <w:rPr>
                <w:color w:val="000000"/>
                <w:sz w:val="15"/>
                <w:szCs w:val="15"/>
              </w:rPr>
              <w:fldChar w:fldCharType="separate"/>
            </w:r>
            <w:r w:rsidR="00485C7C" w:rsidRPr="00485C7C">
              <w:rPr>
                <w:sz w:val="15"/>
                <w:vertAlign w:val="superscript"/>
              </w:rPr>
              <w:t>42</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6BE16B26" w14:textId="320050A1" w:rsidR="00105E0D" w:rsidRPr="00131373" w:rsidRDefault="00105E0D" w:rsidP="00F72FC0">
            <w:pPr>
              <w:jc w:val="center"/>
              <w:rPr>
                <w:color w:val="000000"/>
                <w:sz w:val="15"/>
                <w:szCs w:val="15"/>
              </w:rPr>
            </w:pPr>
            <w:r w:rsidRPr="00131373">
              <w:rPr>
                <w:color w:val="000000"/>
                <w:sz w:val="15"/>
                <w:szCs w:val="15"/>
              </w:rPr>
              <w:t>Prospective</w:t>
            </w:r>
          </w:p>
        </w:tc>
        <w:tc>
          <w:tcPr>
            <w:tcW w:w="993" w:type="dxa"/>
            <w:tcBorders>
              <w:top w:val="nil"/>
              <w:left w:val="nil"/>
              <w:bottom w:val="single" w:sz="4" w:space="0" w:color="000000"/>
              <w:right w:val="single" w:sz="4" w:space="0" w:color="000000"/>
            </w:tcBorders>
            <w:noWrap/>
            <w:vAlign w:val="center"/>
          </w:tcPr>
          <w:p w14:paraId="41D880AC"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9CD27AB"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3E779527"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CA1BE5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40F6918"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4E3F899F"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768F72AC"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782F2F7C"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453DA3C1"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68BFF8C1" w14:textId="77777777" w:rsidR="00105E0D" w:rsidRPr="00131373" w:rsidRDefault="00105E0D" w:rsidP="00485C7C">
            <w:pPr>
              <w:jc w:val="center"/>
              <w:rPr>
                <w:color w:val="000000"/>
                <w:sz w:val="15"/>
                <w:szCs w:val="15"/>
              </w:rPr>
            </w:pPr>
            <w:r w:rsidRPr="00131373">
              <w:rPr>
                <w:color w:val="000000"/>
                <w:sz w:val="15"/>
                <w:szCs w:val="15"/>
              </w:rPr>
              <w:t>6</w:t>
            </w:r>
          </w:p>
        </w:tc>
        <w:tc>
          <w:tcPr>
            <w:tcW w:w="1361" w:type="dxa"/>
            <w:tcBorders>
              <w:top w:val="nil"/>
              <w:left w:val="nil"/>
              <w:bottom w:val="single" w:sz="4" w:space="0" w:color="000000"/>
              <w:right w:val="single" w:sz="8" w:space="0" w:color="000000"/>
            </w:tcBorders>
            <w:noWrap/>
            <w:vAlign w:val="center"/>
          </w:tcPr>
          <w:p w14:paraId="27B6F58E" w14:textId="0637B113" w:rsidR="00105E0D" w:rsidRPr="00131373" w:rsidRDefault="00AA7D9A" w:rsidP="00485C7C">
            <w:pPr>
              <w:jc w:val="center"/>
              <w:rPr>
                <w:color w:val="000000"/>
                <w:sz w:val="15"/>
                <w:szCs w:val="15"/>
              </w:rPr>
            </w:pPr>
            <w:r w:rsidRPr="00AA7D9A">
              <w:rPr>
                <w:color w:val="000000"/>
                <w:sz w:val="15"/>
                <w:szCs w:val="15"/>
              </w:rPr>
              <w:t>Moderate</w:t>
            </w:r>
          </w:p>
        </w:tc>
      </w:tr>
      <w:tr w:rsidR="00105E0D" w:rsidRPr="00131373" w14:paraId="2F5E0041"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6928E13C" w14:textId="757D6E8C" w:rsidR="00105E0D" w:rsidRPr="00131373" w:rsidRDefault="00105E0D" w:rsidP="00F72FC0">
            <w:pPr>
              <w:jc w:val="center"/>
              <w:rPr>
                <w:color w:val="000000"/>
                <w:sz w:val="15"/>
                <w:szCs w:val="15"/>
              </w:rPr>
            </w:pPr>
            <w:r w:rsidRPr="00131373">
              <w:rPr>
                <w:color w:val="000000"/>
                <w:sz w:val="15"/>
                <w:szCs w:val="15"/>
              </w:rPr>
              <w:t>Mogahed et al. (2021)</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{"citationID":"ZfqeusOX","properties":{"formattedCitation":"\\super 43\\nosupersub{}","plainCitation":"43","noteIndex":0},"citationItems":[{"id":1549,"uris":["http://zotero.org/users/5317696/items/W9XKHGB6"],"itemData":{"id":1549,"type":"article-journal","container-title":"The Journal of Pediatrics","DOI":"10.1016/j.jpeds.2021.02.012","ISSN":"00223476","journalAbbreviation":"The Journal of Pediatrics","language":"en","page":"126-131","source":"DOI.org (Crossref)","title":"Improvement in Liver Stiffness in Pediatric Patients with Hepatitis C Virus after Treatment with Direct Acting Antivirals","URL":"https://linkinghub.elsevier.com/retrieve/pii/S0022347621001219","volume":"233","author":[{"family":"Mogahed","given":"Engy A."},{"family":"El-Karaksy","given":"Hanaa"},{"family":"Abdullatif","given":"Hala"},{"family":"Yasin","given":"Noha A."},{"family":"Nagy","given":"Ahmed"},{"family":"Alem","given":"Shereen Abdel"},{"family":"Eldeen","given":"Hadeel Gamal"},{"family":"El-Raziky","given":"Mona S."}],"accessed":{"date-parts":[["2025",5,15]]},"issued":{"date-parts":[["2021",6]]}}}],"schema":"https://github.com/citation-style-language/schema/raw/master/csl-citation.json"} </w:instrText>
            </w:r>
            <w:r w:rsidR="003350B6">
              <w:rPr>
                <w:color w:val="000000"/>
                <w:sz w:val="15"/>
                <w:szCs w:val="15"/>
              </w:rPr>
              <w:fldChar w:fldCharType="separate"/>
            </w:r>
            <w:r w:rsidR="00485C7C" w:rsidRPr="00485C7C">
              <w:rPr>
                <w:sz w:val="15"/>
                <w:vertAlign w:val="superscript"/>
              </w:rPr>
              <w:t>43</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6055B022" w14:textId="22EED1FE" w:rsidR="00105E0D" w:rsidRPr="00131373" w:rsidRDefault="00105E0D" w:rsidP="00F72FC0">
            <w:pPr>
              <w:jc w:val="center"/>
              <w:rPr>
                <w:color w:val="000000"/>
                <w:sz w:val="15"/>
                <w:szCs w:val="15"/>
              </w:rPr>
            </w:pPr>
            <w:r w:rsidRPr="00131373">
              <w:rPr>
                <w:color w:val="000000"/>
                <w:sz w:val="15"/>
                <w:szCs w:val="15"/>
              </w:rPr>
              <w:t>Prospective</w:t>
            </w:r>
          </w:p>
        </w:tc>
        <w:tc>
          <w:tcPr>
            <w:tcW w:w="993" w:type="dxa"/>
            <w:tcBorders>
              <w:top w:val="nil"/>
              <w:left w:val="nil"/>
              <w:bottom w:val="single" w:sz="4" w:space="0" w:color="000000"/>
              <w:right w:val="single" w:sz="4" w:space="0" w:color="000000"/>
            </w:tcBorders>
            <w:noWrap/>
            <w:vAlign w:val="center"/>
          </w:tcPr>
          <w:p w14:paraId="5252F36C"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535165BA"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74B87532"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374FD31"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A222EB9"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8" w:space="0" w:color="000000"/>
            </w:tcBorders>
            <w:noWrap/>
            <w:vAlign w:val="center"/>
          </w:tcPr>
          <w:p w14:paraId="2C673498"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0E596657"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16B7D726"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25C5817B"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250519C3" w14:textId="77777777" w:rsidR="00105E0D" w:rsidRPr="00131373" w:rsidRDefault="00105E0D" w:rsidP="00485C7C">
            <w:pPr>
              <w:jc w:val="center"/>
              <w:rPr>
                <w:color w:val="000000"/>
                <w:sz w:val="15"/>
                <w:szCs w:val="15"/>
              </w:rPr>
            </w:pPr>
            <w:r w:rsidRPr="00131373">
              <w:rPr>
                <w:color w:val="000000"/>
                <w:sz w:val="15"/>
                <w:szCs w:val="15"/>
              </w:rPr>
              <w:t>6</w:t>
            </w:r>
          </w:p>
        </w:tc>
        <w:tc>
          <w:tcPr>
            <w:tcW w:w="1361" w:type="dxa"/>
            <w:tcBorders>
              <w:top w:val="nil"/>
              <w:left w:val="nil"/>
              <w:bottom w:val="single" w:sz="4" w:space="0" w:color="000000"/>
              <w:right w:val="single" w:sz="8" w:space="0" w:color="000000"/>
            </w:tcBorders>
            <w:noWrap/>
            <w:vAlign w:val="center"/>
          </w:tcPr>
          <w:p w14:paraId="4FBA0BA8" w14:textId="2190CF31" w:rsidR="00105E0D" w:rsidRPr="00131373" w:rsidRDefault="00AA7D9A" w:rsidP="00485C7C">
            <w:pPr>
              <w:jc w:val="center"/>
              <w:rPr>
                <w:color w:val="000000"/>
                <w:sz w:val="15"/>
                <w:szCs w:val="15"/>
              </w:rPr>
            </w:pPr>
            <w:r w:rsidRPr="00AA7D9A">
              <w:rPr>
                <w:color w:val="000000"/>
                <w:sz w:val="15"/>
                <w:szCs w:val="15"/>
              </w:rPr>
              <w:t>Moderate</w:t>
            </w:r>
          </w:p>
        </w:tc>
      </w:tr>
      <w:tr w:rsidR="00105E0D" w:rsidRPr="00131373" w14:paraId="658C5F49"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5EBCC62A" w14:textId="4009E977" w:rsidR="00105E0D" w:rsidRPr="00131373" w:rsidRDefault="00105E0D" w:rsidP="00F72FC0">
            <w:pPr>
              <w:jc w:val="center"/>
              <w:rPr>
                <w:color w:val="000000"/>
                <w:sz w:val="15"/>
                <w:szCs w:val="15"/>
              </w:rPr>
            </w:pPr>
            <w:proofErr w:type="spellStart"/>
            <w:r w:rsidRPr="00131373">
              <w:rPr>
                <w:color w:val="000000"/>
                <w:sz w:val="15"/>
                <w:szCs w:val="15"/>
              </w:rPr>
              <w:t>Alswat</w:t>
            </w:r>
            <w:proofErr w:type="spellEnd"/>
            <w:r w:rsidRPr="00131373">
              <w:rPr>
                <w:color w:val="000000"/>
                <w:sz w:val="15"/>
                <w:szCs w:val="15"/>
              </w:rPr>
              <w:t xml:space="preserve"> et al. (2022)</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{"citationID":"qHrMOZSQ","properties":{"formattedCitation":"\\super 44\\nosupersub{}","plainCitation":"44","noteIndex":0},"citationItems":[{"id":1552,"uris":["http://zotero.org/users/5317696/items/FL646W7X"],"itemData":{"id":1552,"type":"article-journal","abstract":"BACKGROUND: Clearance of hepatitis C virus (HCV) can potentially slow or reverse liver fibrosis and cirrhosis. Studies of fibrosis changes after treatment with direct-acting antivirals (DAAs) are limited.\nOBJECTIVES: We aimed to assess the impact of DAAs on fibrosis in HCV treatment responders. DESIGN: Retrospective cohort study. SETTING: Tertiary care centers. PATIENTS AND METHODS: This study included adult patients who received DAA treatment for HCV (naïve and experienced) from June 2015 to January 2019 who were treatment responders. Biochemical and hematological data and noninvasive fibrosis markers were recorded at baseline and follow-up. MAIN OUTCOME MEASURES: Aspartate aminotransferase/platelet ratio index (APRI), fibrosis-4 score (FIB-4) and liver stiffness measurements (LSM) at baseline and follow-up. SAMPLE SIZE AND CHARACTERISTICS: 172 HCV treatment responders, mean (SD) age 54.1 (14.1) and body mass index 28.8 (6.5) kg/m2 at baseline; 96 (55.8%) were females.\nRESULTS: Fifty-eight (33.7%) patients were HCV treatment-experienced. Most patients were genotype 4 (n=125, 73%) and the mean follow-up was 141 (57.9) weeks. Compared with baseline, changes in alanine aminotransferase (P&lt;.001), aspartate aminotransferase (P&lt;.001), and albumin (P=.01) were statistically significant. Changes in LSM (15.09 kPa [11.4] vs. 10.19 kPa [7.4], P&lt;.001), APRI (0.81 [0.7] vs. 0.34 [0.2], P&lt;.001), and FIB-4 (1.99 [1.4) vs.1.35 [0.9], P&lt;.001), and AST/ALT ratio (0.86 [0.32] vs. 0.95 [0.41], P=.015) were statistically significant. Differences in many of the same parameters were statistically significant between patients with low fibrosis (F0-F1) (n=59, 34.3%) and significant fibrosis (≥F2) (n=113, 65.7%).\nCONCLUSIONS: Our findings confirm that clearance of HCV with DAAs is associated with significant improvement in fibrosis as assessed by noninvasive liver fibrosis measures, which supports the concept of post-treatment fibrosis regression. Long follow-up studies are needed to assess the impact on morbidity and mortality.","container-title":"Annals of Saudi Medicine","DOI":"10.5144/0256-4947.2022.89","ISSN":"0256-4947, 0975-4466","issue":"2","journalAbbreviation":"Ann Saudi Med","language":"en","page":"89-95","source":"DOI.org (Crossref)","title":"Hepatic fibrosis changes in patients with chronic hepatitis C infection who respond to direct-acting antivirals","URL":"http://www.annsaudimed.net/doi/10.5144/0256-4947.2022.89","volume":"42","author":[{"family":"Alswat","given":"Khalid"},{"family":"Al-Sohaibani","given":"Fahad"},{"family":"Khathlan","given":"Abdullah"},{"family":"Bashmail","given":"Ahmad"},{"family":"Alanazi","given":"Mohammed"},{"family":"Kurdi","given":"Amr"},{"family":"Almakadma","given":"Abdul Hakim"},{"family":"Al-hamoudi","given":"Waleed"}],"accessed":{"date-parts":[["2025",5,15]]},"issued":{"date-parts":[["2022",3]]}}}],"schema":"https://github.com/citation-style-language/schema/raw/master/csl-citation.json"} </w:instrText>
            </w:r>
            <w:r w:rsidR="003350B6">
              <w:rPr>
                <w:color w:val="000000"/>
                <w:sz w:val="15"/>
                <w:szCs w:val="15"/>
              </w:rPr>
              <w:fldChar w:fldCharType="separate"/>
            </w:r>
            <w:r w:rsidR="00485C7C" w:rsidRPr="00485C7C">
              <w:rPr>
                <w:sz w:val="15"/>
                <w:vertAlign w:val="superscript"/>
              </w:rPr>
              <w:t>44</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0B0B11C0" w14:textId="0A1B6946" w:rsidR="00105E0D" w:rsidRPr="00131373" w:rsidRDefault="00105E0D" w:rsidP="00F72FC0">
            <w:pPr>
              <w:jc w:val="center"/>
              <w:rPr>
                <w:color w:val="000000"/>
                <w:sz w:val="15"/>
                <w:szCs w:val="15"/>
              </w:rPr>
            </w:pPr>
            <w:r w:rsidRPr="00131373">
              <w:rPr>
                <w:color w:val="000000"/>
                <w:sz w:val="15"/>
                <w:szCs w:val="15"/>
              </w:rPr>
              <w:t>Retrospective Cohort</w:t>
            </w:r>
          </w:p>
        </w:tc>
        <w:tc>
          <w:tcPr>
            <w:tcW w:w="993" w:type="dxa"/>
            <w:tcBorders>
              <w:top w:val="nil"/>
              <w:left w:val="nil"/>
              <w:bottom w:val="single" w:sz="4" w:space="0" w:color="000000"/>
              <w:right w:val="single" w:sz="4" w:space="0" w:color="000000"/>
            </w:tcBorders>
            <w:noWrap/>
            <w:vAlign w:val="center"/>
          </w:tcPr>
          <w:p w14:paraId="42B4BA1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A538E79"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28D7F70"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95ED077"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75704AD5"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FF3B2E7"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73234CEA"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2C4A96BC"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44856929"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4D2032F2" w14:textId="77777777" w:rsidR="00105E0D" w:rsidRPr="00131373" w:rsidRDefault="00105E0D" w:rsidP="00485C7C">
            <w:pPr>
              <w:jc w:val="center"/>
              <w:rPr>
                <w:color w:val="000000"/>
                <w:sz w:val="15"/>
                <w:szCs w:val="15"/>
              </w:rPr>
            </w:pPr>
            <w:r w:rsidRPr="00131373">
              <w:rPr>
                <w:color w:val="000000"/>
                <w:sz w:val="15"/>
                <w:szCs w:val="15"/>
              </w:rPr>
              <w:t>7</w:t>
            </w:r>
          </w:p>
        </w:tc>
        <w:tc>
          <w:tcPr>
            <w:tcW w:w="1361" w:type="dxa"/>
            <w:tcBorders>
              <w:top w:val="nil"/>
              <w:left w:val="nil"/>
              <w:bottom w:val="single" w:sz="4" w:space="0" w:color="000000"/>
              <w:right w:val="single" w:sz="8" w:space="0" w:color="000000"/>
            </w:tcBorders>
            <w:noWrap/>
            <w:vAlign w:val="center"/>
          </w:tcPr>
          <w:p w14:paraId="674F3AB7" w14:textId="4B694180" w:rsidR="00105E0D" w:rsidRPr="00131373" w:rsidRDefault="00AA7D9A" w:rsidP="00485C7C">
            <w:pPr>
              <w:jc w:val="center"/>
              <w:rPr>
                <w:color w:val="000000"/>
                <w:sz w:val="15"/>
                <w:szCs w:val="15"/>
              </w:rPr>
            </w:pPr>
            <w:r>
              <w:rPr>
                <w:color w:val="000000"/>
                <w:sz w:val="15"/>
                <w:szCs w:val="15"/>
              </w:rPr>
              <w:t>High</w:t>
            </w:r>
          </w:p>
        </w:tc>
      </w:tr>
      <w:tr w:rsidR="00105E0D" w:rsidRPr="00131373" w14:paraId="21CDD198" w14:textId="77777777" w:rsidTr="00F72FC0">
        <w:trPr>
          <w:trHeight w:val="300"/>
        </w:trPr>
        <w:tc>
          <w:tcPr>
            <w:tcW w:w="1681" w:type="dxa"/>
            <w:tcBorders>
              <w:top w:val="nil"/>
              <w:left w:val="single" w:sz="8" w:space="0" w:color="auto"/>
              <w:bottom w:val="single" w:sz="4" w:space="0" w:color="000000"/>
              <w:right w:val="single" w:sz="8" w:space="0" w:color="auto"/>
            </w:tcBorders>
            <w:noWrap/>
            <w:vAlign w:val="center"/>
          </w:tcPr>
          <w:p w14:paraId="3CFCE717" w14:textId="78709A8D" w:rsidR="00105E0D" w:rsidRPr="00131373" w:rsidRDefault="00105E0D" w:rsidP="00F72FC0">
            <w:pPr>
              <w:jc w:val="center"/>
              <w:rPr>
                <w:color w:val="000000"/>
                <w:sz w:val="15"/>
                <w:szCs w:val="15"/>
              </w:rPr>
            </w:pPr>
            <w:r w:rsidRPr="00131373">
              <w:rPr>
                <w:color w:val="000000"/>
                <w:sz w:val="15"/>
                <w:szCs w:val="15"/>
              </w:rPr>
              <w:t>Abdelkader et al. (2021)</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{"citationID":"WJb00gbe","properties":{"formattedCitation":"\\super 45\\nosupersub{}","plainCitation":"45","noteIndex":0},"citationItems":[{"id":1658,"uris":["http://zotero.org/users/5317696/items/UWB4RU66","http://zotero.org/users/5317696/items/QJR655GN"],"itemData":{"id":1658,"type":"article-journal","abstract":"A large number of chronic hepatitis C patients had been successfully treated by directly acting antivirals; therefore, strategies for the long-term follow-up of these patients have to be planned based on the post-treatment fibrosis stage—the main determinant of prognosis. In this study, we aim to evaluate changes in aspartate-platelet ratio index, FIB4, and liver stiffness in chronic hepatitis C patients who achieved SVR and ended treatment more than 1 year by DAAs.","container-title":"Egyptian Liver Journal","DOI":"10.1186/s43066-021-00141-4","ISSN":"2090-6226","issue":"1","journalAbbreviation":"Egyptian Liver Journal","language":"en","page":"71","source":"BioMed Central","title":"Evaluation of long-term changes of aspartate—platelet ratio index, FIB4, and liver stiffness in chronic hepatitis C patients successfully treated by direct-acting antivirals","URL":"https://doi.org/10.1186/s43066-021-00141-4","volume":"11","author":[{"family":"Abdelkader","given":"Nadia Abdel Ataay"},{"family":"Ahmed","given":"Osama Ashraf"},{"family":"Sherief","given":"Ahmed Fouad"},{"family":"Kandil","given":"Doaa Mahmoud"},{"family":"Gado","given":"Mohammed Soliman"},{"family":"Al Balakosy","given":"Amira Mahmoud"}],"accessed":{"date-parts":[["2025",8,21]]},"issued":{"date-parts":[["2021",8,28]]}}}],"schema":"https://github.com/citation-style-language/schema/raw/master/csl-citation.json"} </w:instrText>
            </w:r>
            <w:r w:rsidR="003350B6">
              <w:rPr>
                <w:color w:val="000000"/>
                <w:sz w:val="15"/>
                <w:szCs w:val="15"/>
              </w:rPr>
              <w:fldChar w:fldCharType="separate"/>
            </w:r>
            <w:r w:rsidR="00485C7C" w:rsidRPr="00485C7C">
              <w:rPr>
                <w:sz w:val="15"/>
                <w:vertAlign w:val="superscript"/>
              </w:rPr>
              <w:t>45</w:t>
            </w:r>
            <w:r w:rsidR="003350B6">
              <w:rPr>
                <w:color w:val="000000"/>
                <w:sz w:val="15"/>
                <w:szCs w:val="15"/>
              </w:rPr>
              <w:fldChar w:fldCharType="end"/>
            </w:r>
          </w:p>
        </w:tc>
        <w:tc>
          <w:tcPr>
            <w:tcW w:w="1134" w:type="dxa"/>
            <w:tcBorders>
              <w:top w:val="nil"/>
              <w:left w:val="single" w:sz="8" w:space="0" w:color="auto"/>
              <w:bottom w:val="single" w:sz="4" w:space="0" w:color="000000"/>
              <w:right w:val="single" w:sz="8" w:space="0" w:color="000000"/>
            </w:tcBorders>
            <w:noWrap/>
            <w:vAlign w:val="center"/>
          </w:tcPr>
          <w:p w14:paraId="4D3A280F" w14:textId="21BA0BE5" w:rsidR="00105E0D" w:rsidRPr="00131373" w:rsidRDefault="00105E0D" w:rsidP="00F72FC0">
            <w:pPr>
              <w:jc w:val="center"/>
              <w:rPr>
                <w:color w:val="000000"/>
                <w:sz w:val="15"/>
                <w:szCs w:val="15"/>
              </w:rPr>
            </w:pPr>
            <w:r w:rsidRPr="00131373">
              <w:rPr>
                <w:color w:val="000000"/>
                <w:sz w:val="15"/>
                <w:szCs w:val="15"/>
              </w:rPr>
              <w:t>Single-</w:t>
            </w:r>
            <w:proofErr w:type="spellStart"/>
            <w:r w:rsidRPr="00131373">
              <w:rPr>
                <w:color w:val="000000"/>
                <w:sz w:val="15"/>
                <w:szCs w:val="15"/>
              </w:rPr>
              <w:t>center</w:t>
            </w:r>
            <w:proofErr w:type="spellEnd"/>
            <w:r w:rsidRPr="00131373">
              <w:rPr>
                <w:color w:val="000000"/>
                <w:sz w:val="15"/>
                <w:szCs w:val="15"/>
              </w:rPr>
              <w:t xml:space="preserve"> Retrospective and Prospective Cohort</w:t>
            </w:r>
          </w:p>
        </w:tc>
        <w:tc>
          <w:tcPr>
            <w:tcW w:w="993" w:type="dxa"/>
            <w:tcBorders>
              <w:top w:val="nil"/>
              <w:left w:val="nil"/>
              <w:bottom w:val="single" w:sz="4" w:space="0" w:color="000000"/>
              <w:right w:val="single" w:sz="4" w:space="0" w:color="000000"/>
            </w:tcBorders>
            <w:noWrap/>
            <w:vAlign w:val="center"/>
          </w:tcPr>
          <w:p w14:paraId="4B1FA4F6"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8083F38"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0F6E169F"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0D668BFC"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214FB32"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8" w:space="0" w:color="000000"/>
            </w:tcBorders>
            <w:noWrap/>
            <w:vAlign w:val="center"/>
          </w:tcPr>
          <w:p w14:paraId="69F56CED"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4" w:space="0" w:color="000000"/>
              <w:right w:val="single" w:sz="4" w:space="0" w:color="000000"/>
            </w:tcBorders>
            <w:noWrap/>
            <w:vAlign w:val="center"/>
          </w:tcPr>
          <w:p w14:paraId="0760B00B"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4" w:space="0" w:color="000000"/>
              <w:right w:val="single" w:sz="4" w:space="0" w:color="000000"/>
            </w:tcBorders>
            <w:noWrap/>
            <w:vAlign w:val="center"/>
          </w:tcPr>
          <w:p w14:paraId="234E57B6"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0F87A00F"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4" w:space="0" w:color="000000"/>
            </w:tcBorders>
            <w:noWrap/>
            <w:vAlign w:val="center"/>
          </w:tcPr>
          <w:p w14:paraId="6114291A" w14:textId="77777777" w:rsidR="00105E0D" w:rsidRPr="00131373" w:rsidRDefault="00105E0D" w:rsidP="00485C7C">
            <w:pPr>
              <w:jc w:val="center"/>
              <w:rPr>
                <w:color w:val="000000"/>
                <w:sz w:val="15"/>
                <w:szCs w:val="15"/>
              </w:rPr>
            </w:pPr>
            <w:r w:rsidRPr="00131373">
              <w:rPr>
                <w:color w:val="000000"/>
                <w:sz w:val="15"/>
                <w:szCs w:val="15"/>
              </w:rPr>
              <w:t>7</w:t>
            </w:r>
          </w:p>
        </w:tc>
        <w:tc>
          <w:tcPr>
            <w:tcW w:w="1361" w:type="dxa"/>
            <w:tcBorders>
              <w:top w:val="nil"/>
              <w:left w:val="nil"/>
              <w:bottom w:val="single" w:sz="4" w:space="0" w:color="000000"/>
              <w:right w:val="single" w:sz="8" w:space="0" w:color="000000"/>
            </w:tcBorders>
            <w:noWrap/>
            <w:vAlign w:val="center"/>
          </w:tcPr>
          <w:p w14:paraId="5D79B97D" w14:textId="200295E8" w:rsidR="00105E0D" w:rsidRPr="00131373" w:rsidRDefault="00AA7D9A" w:rsidP="00485C7C">
            <w:pPr>
              <w:jc w:val="center"/>
              <w:rPr>
                <w:color w:val="000000"/>
                <w:sz w:val="15"/>
                <w:szCs w:val="15"/>
              </w:rPr>
            </w:pPr>
            <w:r>
              <w:rPr>
                <w:color w:val="000000"/>
                <w:sz w:val="15"/>
                <w:szCs w:val="15"/>
              </w:rPr>
              <w:t>High</w:t>
            </w:r>
          </w:p>
        </w:tc>
      </w:tr>
      <w:tr w:rsidR="00105E0D" w:rsidRPr="00131373" w14:paraId="0D179042" w14:textId="77777777" w:rsidTr="00F72FC0">
        <w:trPr>
          <w:trHeight w:val="300"/>
        </w:trPr>
        <w:tc>
          <w:tcPr>
            <w:tcW w:w="1681" w:type="dxa"/>
            <w:tcBorders>
              <w:top w:val="nil"/>
              <w:left w:val="single" w:sz="8" w:space="0" w:color="auto"/>
              <w:bottom w:val="single" w:sz="8" w:space="0" w:color="auto"/>
              <w:right w:val="single" w:sz="8" w:space="0" w:color="auto"/>
            </w:tcBorders>
            <w:noWrap/>
            <w:vAlign w:val="center"/>
          </w:tcPr>
          <w:p w14:paraId="2B6E2269" w14:textId="228646CC" w:rsidR="00105E0D" w:rsidRPr="00131373" w:rsidRDefault="00105E0D" w:rsidP="00F72FC0">
            <w:pPr>
              <w:jc w:val="center"/>
              <w:rPr>
                <w:color w:val="000000"/>
                <w:sz w:val="15"/>
                <w:szCs w:val="15"/>
              </w:rPr>
            </w:pPr>
            <w:r w:rsidRPr="00131373">
              <w:rPr>
                <w:color w:val="000000"/>
                <w:sz w:val="15"/>
                <w:szCs w:val="15"/>
              </w:rPr>
              <w:t>Stasi et al. (2020)</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{"citationID":"voOl1oxH","properties":{"formattedCitation":"\\super 46\\nosupersub{}","plainCitation":"46","noteIndex":0},"citationItems":[{"id":1558,"uris":["http://zotero.org/users/5317696/items/F6W8QQPY"],"itemData":{"id":1558,"type":"article-journal","abstract":"BACKGROUND. New direct-acting antiviral drugs can eradicate hepatitis C virus (HCV) infection in over 90% of patients and can even reduce the risk of complications in advanced fibrosis/cirrhosis. The aims of this study were to evaluate 1) changes in fibrosis during and after antiviral treatment and 2) incidence of hepatocarcinoma and mortality in various fibrosis stages.\nMETHODS. This is a longitudinal monocentric prospective study. Blood and instrumental examinations were evaluated at baseline, at the end of therapy, and 1 and 2 years following treatment.\nRESULTS. Two hundred and ninety-six patients with chronic HCV were evaluated, of whom 115 were experienced, 181 were treatment-naïve, and 2 had previous hepatocellular carcinoma (HCC) and were therefore excluded from the study. At baseline, stiffness values were 13.46 ± 9.97 kPa. Out of the 294 HCV patients enrolled, 100 had lymphoproliferative disorders and were evaluated separately. This group of patients showed stiffness values pertaining to the F0-F2 group (mean stiffness values were 6.07 ± 1.68 kPa). All other patients showed stiffness values pertaining to the F3-F4 group (mean stiffness values were 17.93 ± 10.23). No statistically significant difference was found between stiffness at baseline compared to the end of treatment (EOT), while significant differences were found between the baseline, 1 year (p = 0.05), and 2year follow-ups (p &lt; 0.01). Significant differences were found between baseline and EOT, as well as 1 and 2 years after the end of treatment (p &lt; 0.001) in the F3-F4 group. Four out of 140 patients with baseline cirrhosis developed HCC during the post-treatment follow-up, 1 of whom died.\nCONCLUSIONS. Non-invasive methods provide important prognostic information, particularly concerning the observed regression of fibrosis and could be extremely useful for monitoring patients with long life expectancies after direct-acting antiviral treatment.","container-title":"Current Medical Research and Opinion","DOI":"10.1080/03007995.2019.1691517","ISSN":"0300-7995, 1473-4877","issue":"2","journalAbbreviation":"Current Medical Research and Opinion","language":"en","page":"245-249","source":"DOI.org (Crossref)","title":"Longitudinal evaluation of liver stiffness and outcomes in patients with chronic hepatitis C before and after short- and long-term IFN-free antiviral treatment","URL":"https://www.tandfonline.com/doi/full/10.1080/03007995.2019.1691517","volume":"36","author":[{"family":"Stasi","given":"Cristina"},{"family":"Sadalla","given":"Sinan"},{"family":"Carradori","given":"Eleonora"},{"family":"Monti","given":"Monica"},{"family":"Petraccia","given":"Luisa"},{"family":"Madia","given":"Francesco"},{"family":"Gragnani","given":"Laura"},{"family":"Zignego","given":"Anna Linda"}],"accessed":{"date-parts":[["2025",5,15]]},"issued":{"date-parts":[["2020",2,1]]}}}],"schema":"https://github.com/citation-style-language/schema/raw/master/csl-citation.json"} </w:instrText>
            </w:r>
            <w:r w:rsidR="003350B6">
              <w:rPr>
                <w:color w:val="000000"/>
                <w:sz w:val="15"/>
                <w:szCs w:val="15"/>
              </w:rPr>
              <w:fldChar w:fldCharType="separate"/>
            </w:r>
            <w:r w:rsidR="00485C7C" w:rsidRPr="00485C7C">
              <w:rPr>
                <w:sz w:val="15"/>
                <w:vertAlign w:val="superscript"/>
              </w:rPr>
              <w:t>46</w:t>
            </w:r>
            <w:r w:rsidR="003350B6">
              <w:rPr>
                <w:color w:val="000000"/>
                <w:sz w:val="15"/>
                <w:szCs w:val="15"/>
              </w:rPr>
              <w:fldChar w:fldCharType="end"/>
            </w:r>
          </w:p>
        </w:tc>
        <w:tc>
          <w:tcPr>
            <w:tcW w:w="1134" w:type="dxa"/>
            <w:tcBorders>
              <w:top w:val="nil"/>
              <w:left w:val="single" w:sz="8" w:space="0" w:color="auto"/>
              <w:bottom w:val="single" w:sz="8" w:space="0" w:color="000000"/>
              <w:right w:val="single" w:sz="8" w:space="0" w:color="000000"/>
            </w:tcBorders>
            <w:noWrap/>
            <w:vAlign w:val="center"/>
          </w:tcPr>
          <w:p w14:paraId="3B2AE2CC" w14:textId="5535B558" w:rsidR="00105E0D" w:rsidRPr="00131373" w:rsidRDefault="00105E0D" w:rsidP="00F72FC0">
            <w:pPr>
              <w:jc w:val="center"/>
              <w:rPr>
                <w:color w:val="000000"/>
                <w:sz w:val="15"/>
                <w:szCs w:val="15"/>
              </w:rPr>
            </w:pPr>
            <w:r w:rsidRPr="00131373">
              <w:rPr>
                <w:color w:val="000000"/>
                <w:sz w:val="15"/>
                <w:szCs w:val="15"/>
              </w:rPr>
              <w:t xml:space="preserve">Longitudinal Monocentric </w:t>
            </w:r>
            <w:proofErr w:type="spellStart"/>
            <w:r w:rsidRPr="00131373">
              <w:rPr>
                <w:color w:val="000000"/>
                <w:sz w:val="15"/>
                <w:szCs w:val="15"/>
              </w:rPr>
              <w:t>Prospectiv</w:t>
            </w:r>
            <w:proofErr w:type="spellEnd"/>
          </w:p>
        </w:tc>
        <w:tc>
          <w:tcPr>
            <w:tcW w:w="993" w:type="dxa"/>
            <w:tcBorders>
              <w:top w:val="nil"/>
              <w:left w:val="nil"/>
              <w:bottom w:val="single" w:sz="8" w:space="0" w:color="000000"/>
              <w:right w:val="single" w:sz="4" w:space="0" w:color="000000"/>
            </w:tcBorders>
            <w:noWrap/>
            <w:vAlign w:val="center"/>
          </w:tcPr>
          <w:p w14:paraId="774B7EFA"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8" w:space="0" w:color="000000"/>
              <w:right w:val="single" w:sz="4" w:space="0" w:color="000000"/>
            </w:tcBorders>
            <w:noWrap/>
            <w:vAlign w:val="center"/>
          </w:tcPr>
          <w:p w14:paraId="265338FA"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8" w:space="0" w:color="000000"/>
              <w:right w:val="single" w:sz="4" w:space="0" w:color="000000"/>
            </w:tcBorders>
            <w:noWrap/>
            <w:vAlign w:val="center"/>
          </w:tcPr>
          <w:p w14:paraId="61BDA7E9"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8" w:space="0" w:color="000000"/>
              <w:right w:val="single" w:sz="8" w:space="0" w:color="000000"/>
            </w:tcBorders>
            <w:noWrap/>
            <w:vAlign w:val="center"/>
          </w:tcPr>
          <w:p w14:paraId="43DF6E5C"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8" w:space="0" w:color="000000"/>
              <w:right w:val="single" w:sz="4" w:space="0" w:color="000000"/>
            </w:tcBorders>
            <w:noWrap/>
            <w:vAlign w:val="center"/>
          </w:tcPr>
          <w:p w14:paraId="6D999BA8"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8" w:space="0" w:color="000000"/>
              <w:right w:val="single" w:sz="8" w:space="0" w:color="000000"/>
            </w:tcBorders>
            <w:noWrap/>
            <w:vAlign w:val="center"/>
          </w:tcPr>
          <w:p w14:paraId="38F56CE0"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6" w:type="dxa"/>
            <w:tcBorders>
              <w:top w:val="nil"/>
              <w:left w:val="nil"/>
              <w:bottom w:val="single" w:sz="8" w:space="0" w:color="000000"/>
              <w:right w:val="single" w:sz="4" w:space="0" w:color="000000"/>
            </w:tcBorders>
            <w:noWrap/>
            <w:vAlign w:val="center"/>
          </w:tcPr>
          <w:p w14:paraId="3A5E9622"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2" w:type="dxa"/>
            <w:tcBorders>
              <w:top w:val="nil"/>
              <w:left w:val="nil"/>
              <w:bottom w:val="single" w:sz="8" w:space="0" w:color="000000"/>
              <w:right w:val="single" w:sz="4" w:space="0" w:color="000000"/>
            </w:tcBorders>
            <w:noWrap/>
            <w:vAlign w:val="center"/>
          </w:tcPr>
          <w:p w14:paraId="59B25823"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8" w:space="0" w:color="000000"/>
              <w:right w:val="single" w:sz="8" w:space="0" w:color="000000"/>
            </w:tcBorders>
            <w:noWrap/>
            <w:vAlign w:val="center"/>
          </w:tcPr>
          <w:p w14:paraId="29EC22FD" w14:textId="77777777" w:rsidR="00105E0D" w:rsidRPr="00131373" w:rsidRDefault="00105E0D"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8" w:space="0" w:color="000000"/>
              <w:right w:val="single" w:sz="4" w:space="0" w:color="000000"/>
            </w:tcBorders>
            <w:noWrap/>
            <w:vAlign w:val="center"/>
          </w:tcPr>
          <w:p w14:paraId="63070971" w14:textId="77777777" w:rsidR="00105E0D" w:rsidRPr="00131373" w:rsidRDefault="00105E0D" w:rsidP="00485C7C">
            <w:pPr>
              <w:jc w:val="center"/>
              <w:rPr>
                <w:color w:val="000000"/>
                <w:sz w:val="15"/>
                <w:szCs w:val="15"/>
              </w:rPr>
            </w:pPr>
            <w:r w:rsidRPr="00131373">
              <w:rPr>
                <w:color w:val="000000"/>
                <w:sz w:val="15"/>
                <w:szCs w:val="15"/>
              </w:rPr>
              <w:t>6</w:t>
            </w:r>
          </w:p>
        </w:tc>
        <w:tc>
          <w:tcPr>
            <w:tcW w:w="1361" w:type="dxa"/>
            <w:tcBorders>
              <w:top w:val="nil"/>
              <w:left w:val="nil"/>
              <w:bottom w:val="single" w:sz="8" w:space="0" w:color="000000"/>
              <w:right w:val="single" w:sz="8" w:space="0" w:color="000000"/>
            </w:tcBorders>
            <w:noWrap/>
            <w:vAlign w:val="center"/>
          </w:tcPr>
          <w:p w14:paraId="20022379" w14:textId="1E3DA6EC" w:rsidR="00105E0D" w:rsidRPr="00131373" w:rsidRDefault="00AA7D9A" w:rsidP="00485C7C">
            <w:pPr>
              <w:jc w:val="center"/>
              <w:rPr>
                <w:color w:val="000000"/>
                <w:sz w:val="15"/>
                <w:szCs w:val="15"/>
              </w:rPr>
            </w:pPr>
            <w:r w:rsidRPr="00AA7D9A">
              <w:rPr>
                <w:color w:val="000000"/>
                <w:sz w:val="15"/>
                <w:szCs w:val="15"/>
              </w:rPr>
              <w:t>Moderate</w:t>
            </w:r>
          </w:p>
        </w:tc>
      </w:tr>
    </w:tbl>
    <w:p w14:paraId="092969BA" w14:textId="77777777" w:rsidR="00116234" w:rsidRPr="00E20B89" w:rsidRDefault="00116234" w:rsidP="00116234">
      <w:pPr>
        <w:rPr>
          <w:b/>
          <w:bCs/>
          <w:sz w:val="20"/>
          <w:szCs w:val="20"/>
        </w:rPr>
      </w:pPr>
      <w:r w:rsidRPr="00E20B89">
        <w:rPr>
          <w:rFonts w:ascii="Wingdings" w:hAnsi="Wingdings" w:cs="Calibri"/>
          <w:color w:val="000000"/>
          <w:sz w:val="15"/>
          <w:szCs w:val="15"/>
        </w:rPr>
        <w:t>¶</w:t>
      </w:r>
      <w:r w:rsidRPr="00E20B89">
        <w:rPr>
          <w:color w:val="000000"/>
          <w:sz w:val="15"/>
          <w:szCs w:val="15"/>
        </w:rPr>
        <w:t xml:space="preserve">= 1 point, </w:t>
      </w:r>
      <w:r w:rsidRPr="00E20B89">
        <w:rPr>
          <w:rFonts w:ascii="Wingdings" w:hAnsi="Wingdings" w:cs="Calibri"/>
          <w:color w:val="000000"/>
          <w:sz w:val="15"/>
          <w:szCs w:val="15"/>
        </w:rPr>
        <w:t>û</w:t>
      </w:r>
      <w:r w:rsidRPr="00E20B89">
        <w:rPr>
          <w:color w:val="000000"/>
          <w:sz w:val="15"/>
          <w:szCs w:val="15"/>
        </w:rPr>
        <w:t>= 0 point</w:t>
      </w:r>
    </w:p>
    <w:p w14:paraId="5C05E966" w14:textId="77777777" w:rsidR="00B052FE" w:rsidRDefault="00B052FE">
      <w:pPr>
        <w:rPr>
          <w:b/>
          <w:bCs/>
          <w:sz w:val="20"/>
          <w:szCs w:val="20"/>
        </w:rPr>
      </w:pPr>
    </w:p>
    <w:p w14:paraId="5FDB3F58" w14:textId="77777777" w:rsidR="00105E0D" w:rsidRDefault="00105E0D">
      <w:pPr>
        <w:rPr>
          <w:b/>
          <w:bCs/>
          <w:sz w:val="20"/>
          <w:szCs w:val="20"/>
        </w:rPr>
      </w:pPr>
    </w:p>
    <w:p w14:paraId="2F03FA2A" w14:textId="77777777" w:rsidR="00485C7C" w:rsidRDefault="00485C7C">
      <w:pPr>
        <w:rPr>
          <w:b/>
          <w:bCs/>
          <w:sz w:val="20"/>
          <w:szCs w:val="20"/>
        </w:rPr>
      </w:pPr>
    </w:p>
    <w:p w14:paraId="1C2297FC" w14:textId="77777777" w:rsidR="00485C7C" w:rsidRDefault="00485C7C">
      <w:pPr>
        <w:rPr>
          <w:b/>
          <w:bCs/>
          <w:sz w:val="20"/>
          <w:szCs w:val="20"/>
        </w:rPr>
      </w:pPr>
    </w:p>
    <w:p w14:paraId="369F4943" w14:textId="77777777" w:rsidR="00310A1B" w:rsidRDefault="00310A1B">
      <w:pPr>
        <w:rPr>
          <w:b/>
          <w:bCs/>
          <w:sz w:val="20"/>
          <w:szCs w:val="20"/>
        </w:rPr>
      </w:pPr>
    </w:p>
    <w:p w14:paraId="0EA78759" w14:textId="77777777" w:rsidR="00AA7D9A" w:rsidRDefault="00AA7D9A">
      <w:pPr>
        <w:rPr>
          <w:b/>
          <w:bCs/>
          <w:sz w:val="20"/>
          <w:szCs w:val="20"/>
        </w:rPr>
      </w:pPr>
    </w:p>
    <w:p w14:paraId="7542147A" w14:textId="77777777" w:rsidR="00105E0D" w:rsidRDefault="00105E0D">
      <w:pPr>
        <w:rPr>
          <w:b/>
          <w:bCs/>
          <w:sz w:val="20"/>
          <w:szCs w:val="20"/>
        </w:rPr>
      </w:pPr>
    </w:p>
    <w:p w14:paraId="5E5E133D" w14:textId="77777777" w:rsidR="00105E0D" w:rsidRDefault="00105E0D">
      <w:pPr>
        <w:rPr>
          <w:b/>
          <w:bCs/>
          <w:sz w:val="20"/>
          <w:szCs w:val="20"/>
        </w:rPr>
      </w:pPr>
    </w:p>
    <w:p w14:paraId="24C25189" w14:textId="77777777" w:rsidR="00131373" w:rsidRDefault="00131373">
      <w:pPr>
        <w:rPr>
          <w:b/>
          <w:bCs/>
          <w:sz w:val="20"/>
          <w:szCs w:val="20"/>
        </w:rPr>
      </w:pPr>
    </w:p>
    <w:p w14:paraId="6F6870C0" w14:textId="77777777" w:rsidR="00105E0D" w:rsidRDefault="00105E0D">
      <w:pPr>
        <w:rPr>
          <w:b/>
          <w:bCs/>
          <w:sz w:val="20"/>
          <w:szCs w:val="20"/>
        </w:rPr>
      </w:pPr>
    </w:p>
    <w:p w14:paraId="3289EA03" w14:textId="77777777" w:rsidR="00485C7C" w:rsidRDefault="00485C7C">
      <w:pPr>
        <w:rPr>
          <w:b/>
          <w:bCs/>
          <w:sz w:val="20"/>
          <w:szCs w:val="20"/>
        </w:rPr>
      </w:pPr>
    </w:p>
    <w:p w14:paraId="6E718F33" w14:textId="77777777" w:rsidR="00485C7C" w:rsidRDefault="00485C7C">
      <w:pPr>
        <w:rPr>
          <w:b/>
          <w:bCs/>
          <w:sz w:val="20"/>
          <w:szCs w:val="20"/>
        </w:rPr>
      </w:pPr>
    </w:p>
    <w:p w14:paraId="4C804F19" w14:textId="77777777" w:rsidR="00105E0D" w:rsidRDefault="00105E0D">
      <w:pPr>
        <w:rPr>
          <w:b/>
          <w:bCs/>
          <w:sz w:val="20"/>
          <w:szCs w:val="20"/>
        </w:rPr>
      </w:pPr>
    </w:p>
    <w:p w14:paraId="7334655D" w14:textId="77777777" w:rsidR="00B052FE" w:rsidRPr="00E20B89" w:rsidRDefault="00CB73A9">
      <w:pPr>
        <w:pStyle w:val="ListParagraph"/>
        <w:numPr>
          <w:ilvl w:val="0"/>
          <w:numId w:val="1"/>
        </w:numPr>
        <w:rPr>
          <w:b/>
          <w:bCs/>
          <w:sz w:val="20"/>
          <w:szCs w:val="20"/>
        </w:rPr>
      </w:pPr>
      <w:r w:rsidRPr="00E20B89">
        <w:rPr>
          <w:b/>
          <w:bCs/>
          <w:sz w:val="20"/>
          <w:szCs w:val="20"/>
        </w:rPr>
        <w:lastRenderedPageBreak/>
        <w:t>NOS grading of liver stiffness measurement by Shear wave elastography at SVR 12 and 24 weeks</w:t>
      </w:r>
    </w:p>
    <w:p w14:paraId="3C218E42" w14:textId="77777777" w:rsidR="00B052FE" w:rsidRPr="00E20B89" w:rsidRDefault="00B052FE">
      <w:pPr>
        <w:pStyle w:val="ListParagraph"/>
        <w:rPr>
          <w:b/>
          <w:bCs/>
          <w:sz w:val="20"/>
          <w:szCs w:val="20"/>
        </w:rPr>
      </w:pPr>
    </w:p>
    <w:tbl>
      <w:tblPr>
        <w:tblW w:w="15148" w:type="dxa"/>
        <w:tblInd w:w="10" w:type="dxa"/>
        <w:tblLayout w:type="fixed"/>
        <w:tblLook w:val="04A0" w:firstRow="1" w:lastRow="0" w:firstColumn="1" w:lastColumn="0" w:noHBand="0" w:noVBand="1"/>
      </w:tblPr>
      <w:tblGrid>
        <w:gridCol w:w="1823"/>
        <w:gridCol w:w="1276"/>
        <w:gridCol w:w="709"/>
        <w:gridCol w:w="1134"/>
        <w:gridCol w:w="1134"/>
        <w:gridCol w:w="1139"/>
        <w:gridCol w:w="1131"/>
        <w:gridCol w:w="1132"/>
        <w:gridCol w:w="937"/>
        <w:gridCol w:w="1331"/>
        <w:gridCol w:w="992"/>
        <w:gridCol w:w="992"/>
        <w:gridCol w:w="1418"/>
      </w:tblGrid>
      <w:tr w:rsidR="00116234" w:rsidRPr="00131373" w14:paraId="13765F29" w14:textId="77777777" w:rsidTr="003350B6">
        <w:trPr>
          <w:trHeight w:val="300"/>
        </w:trPr>
        <w:tc>
          <w:tcPr>
            <w:tcW w:w="1823" w:type="dxa"/>
            <w:tcBorders>
              <w:top w:val="single" w:sz="8" w:space="0" w:color="auto"/>
              <w:left w:val="single" w:sz="8" w:space="0" w:color="auto"/>
              <w:bottom w:val="single" w:sz="8" w:space="0" w:color="000000"/>
              <w:right w:val="single" w:sz="8" w:space="0" w:color="auto"/>
            </w:tcBorders>
            <w:noWrap/>
            <w:vAlign w:val="bottom"/>
          </w:tcPr>
          <w:p w14:paraId="3D1933B9" w14:textId="77777777" w:rsidR="00116234" w:rsidRPr="00131373" w:rsidRDefault="00116234">
            <w:pPr>
              <w:jc w:val="center"/>
              <w:rPr>
                <w:b/>
                <w:bCs/>
                <w:color w:val="000000"/>
                <w:sz w:val="15"/>
                <w:szCs w:val="15"/>
              </w:rPr>
            </w:pPr>
            <w:r w:rsidRPr="00131373">
              <w:rPr>
                <w:b/>
                <w:bCs/>
                <w:color w:val="000000"/>
                <w:sz w:val="15"/>
                <w:szCs w:val="15"/>
              </w:rPr>
              <w:t>Study</w:t>
            </w:r>
          </w:p>
        </w:tc>
        <w:tc>
          <w:tcPr>
            <w:tcW w:w="1276" w:type="dxa"/>
            <w:tcBorders>
              <w:top w:val="single" w:sz="8" w:space="0" w:color="000000"/>
              <w:left w:val="single" w:sz="8" w:space="0" w:color="auto"/>
              <w:bottom w:val="single" w:sz="8" w:space="0" w:color="000000"/>
              <w:right w:val="single" w:sz="8" w:space="0" w:color="000000"/>
            </w:tcBorders>
            <w:noWrap/>
            <w:vAlign w:val="bottom"/>
          </w:tcPr>
          <w:p w14:paraId="0AE21FBF" w14:textId="77777777" w:rsidR="00116234" w:rsidRPr="00131373" w:rsidRDefault="00116234">
            <w:pPr>
              <w:jc w:val="center"/>
              <w:rPr>
                <w:b/>
                <w:bCs/>
                <w:color w:val="000000"/>
                <w:sz w:val="15"/>
                <w:szCs w:val="15"/>
              </w:rPr>
            </w:pPr>
            <w:r w:rsidRPr="00131373">
              <w:rPr>
                <w:b/>
                <w:bCs/>
                <w:color w:val="000000"/>
                <w:sz w:val="15"/>
                <w:szCs w:val="15"/>
              </w:rPr>
              <w:t>Design</w:t>
            </w:r>
          </w:p>
        </w:tc>
        <w:tc>
          <w:tcPr>
            <w:tcW w:w="4116" w:type="dxa"/>
            <w:gridSpan w:val="4"/>
            <w:tcBorders>
              <w:top w:val="single" w:sz="8" w:space="0" w:color="000000"/>
              <w:left w:val="nil"/>
              <w:bottom w:val="single" w:sz="8" w:space="0" w:color="000000"/>
              <w:right w:val="single" w:sz="8" w:space="0" w:color="000000"/>
            </w:tcBorders>
            <w:noWrap/>
            <w:vAlign w:val="bottom"/>
          </w:tcPr>
          <w:p w14:paraId="1FE88634" w14:textId="77777777" w:rsidR="00116234" w:rsidRPr="00131373" w:rsidRDefault="00116234">
            <w:pPr>
              <w:jc w:val="center"/>
              <w:rPr>
                <w:b/>
                <w:bCs/>
                <w:color w:val="000000"/>
                <w:sz w:val="15"/>
                <w:szCs w:val="15"/>
              </w:rPr>
            </w:pPr>
            <w:r w:rsidRPr="00131373">
              <w:rPr>
                <w:b/>
                <w:bCs/>
                <w:color w:val="000000"/>
                <w:sz w:val="15"/>
                <w:szCs w:val="15"/>
              </w:rPr>
              <w:t>Selection</w:t>
            </w:r>
          </w:p>
        </w:tc>
        <w:tc>
          <w:tcPr>
            <w:tcW w:w="2263" w:type="dxa"/>
            <w:gridSpan w:val="2"/>
            <w:tcBorders>
              <w:top w:val="single" w:sz="8" w:space="0" w:color="000000"/>
              <w:left w:val="nil"/>
              <w:bottom w:val="single" w:sz="8" w:space="0" w:color="000000"/>
              <w:right w:val="single" w:sz="8" w:space="0" w:color="000000"/>
            </w:tcBorders>
            <w:noWrap/>
            <w:vAlign w:val="bottom"/>
          </w:tcPr>
          <w:p w14:paraId="36714BFD" w14:textId="77777777" w:rsidR="00116234" w:rsidRPr="00131373" w:rsidRDefault="00116234">
            <w:pPr>
              <w:jc w:val="center"/>
              <w:rPr>
                <w:b/>
                <w:bCs/>
                <w:color w:val="000000"/>
                <w:sz w:val="15"/>
                <w:szCs w:val="15"/>
              </w:rPr>
            </w:pPr>
            <w:r w:rsidRPr="00131373">
              <w:rPr>
                <w:b/>
                <w:bCs/>
                <w:color w:val="000000"/>
                <w:sz w:val="15"/>
                <w:szCs w:val="15"/>
              </w:rPr>
              <w:t>Comparability</w:t>
            </w:r>
          </w:p>
        </w:tc>
        <w:tc>
          <w:tcPr>
            <w:tcW w:w="3260" w:type="dxa"/>
            <w:gridSpan w:val="3"/>
            <w:tcBorders>
              <w:top w:val="single" w:sz="8" w:space="0" w:color="000000"/>
              <w:left w:val="nil"/>
              <w:bottom w:val="single" w:sz="8" w:space="0" w:color="000000"/>
              <w:right w:val="single" w:sz="8" w:space="0" w:color="000000"/>
            </w:tcBorders>
            <w:noWrap/>
            <w:vAlign w:val="bottom"/>
          </w:tcPr>
          <w:p w14:paraId="337CED3F" w14:textId="77777777" w:rsidR="00116234" w:rsidRPr="00131373" w:rsidRDefault="00116234">
            <w:pPr>
              <w:jc w:val="center"/>
              <w:rPr>
                <w:b/>
                <w:bCs/>
                <w:color w:val="000000"/>
                <w:sz w:val="15"/>
                <w:szCs w:val="15"/>
              </w:rPr>
            </w:pPr>
            <w:r w:rsidRPr="00131373">
              <w:rPr>
                <w:b/>
                <w:bCs/>
                <w:color w:val="000000"/>
                <w:sz w:val="15"/>
                <w:szCs w:val="15"/>
              </w:rPr>
              <w:t>Outcome</w:t>
            </w:r>
          </w:p>
        </w:tc>
        <w:tc>
          <w:tcPr>
            <w:tcW w:w="992" w:type="dxa"/>
            <w:tcBorders>
              <w:top w:val="single" w:sz="8" w:space="0" w:color="000000"/>
              <w:left w:val="nil"/>
              <w:bottom w:val="single" w:sz="8" w:space="0" w:color="000000"/>
              <w:right w:val="single" w:sz="8" w:space="0" w:color="000000"/>
            </w:tcBorders>
            <w:noWrap/>
            <w:vAlign w:val="bottom"/>
          </w:tcPr>
          <w:p w14:paraId="5AA65689" w14:textId="77777777" w:rsidR="00116234" w:rsidRPr="00131373" w:rsidRDefault="00116234">
            <w:pPr>
              <w:jc w:val="center"/>
              <w:rPr>
                <w:b/>
                <w:bCs/>
                <w:color w:val="000000"/>
                <w:sz w:val="15"/>
                <w:szCs w:val="15"/>
              </w:rPr>
            </w:pPr>
            <w:r w:rsidRPr="00131373">
              <w:rPr>
                <w:b/>
                <w:bCs/>
                <w:color w:val="000000"/>
                <w:sz w:val="15"/>
                <w:szCs w:val="15"/>
              </w:rPr>
              <w:t> </w:t>
            </w:r>
          </w:p>
        </w:tc>
        <w:tc>
          <w:tcPr>
            <w:tcW w:w="1418" w:type="dxa"/>
            <w:tcBorders>
              <w:top w:val="single" w:sz="8" w:space="0" w:color="000000"/>
              <w:left w:val="nil"/>
              <w:bottom w:val="single" w:sz="8" w:space="0" w:color="000000"/>
              <w:right w:val="single" w:sz="8" w:space="0" w:color="000000"/>
            </w:tcBorders>
            <w:noWrap/>
            <w:vAlign w:val="bottom"/>
          </w:tcPr>
          <w:p w14:paraId="3A52BF01" w14:textId="77777777" w:rsidR="00116234" w:rsidRPr="00131373" w:rsidRDefault="00116234">
            <w:pPr>
              <w:jc w:val="center"/>
              <w:rPr>
                <w:b/>
                <w:bCs/>
                <w:color w:val="000000"/>
                <w:sz w:val="15"/>
                <w:szCs w:val="15"/>
              </w:rPr>
            </w:pPr>
            <w:r w:rsidRPr="00131373">
              <w:rPr>
                <w:b/>
                <w:bCs/>
                <w:color w:val="000000"/>
                <w:sz w:val="15"/>
                <w:szCs w:val="15"/>
              </w:rPr>
              <w:t> </w:t>
            </w:r>
          </w:p>
        </w:tc>
      </w:tr>
      <w:tr w:rsidR="00116234" w:rsidRPr="00131373" w14:paraId="7BA60147" w14:textId="77777777" w:rsidTr="003350B6">
        <w:trPr>
          <w:trHeight w:val="300"/>
        </w:trPr>
        <w:tc>
          <w:tcPr>
            <w:tcW w:w="1823" w:type="dxa"/>
            <w:tcBorders>
              <w:top w:val="nil"/>
              <w:left w:val="single" w:sz="8" w:space="0" w:color="auto"/>
              <w:bottom w:val="single" w:sz="4" w:space="0" w:color="000000"/>
              <w:right w:val="single" w:sz="8" w:space="0" w:color="auto"/>
            </w:tcBorders>
            <w:vAlign w:val="bottom"/>
          </w:tcPr>
          <w:p w14:paraId="49F77E9B" w14:textId="77777777" w:rsidR="00116234" w:rsidRPr="00131373" w:rsidRDefault="00116234">
            <w:pPr>
              <w:jc w:val="center"/>
              <w:rPr>
                <w:b/>
                <w:bCs/>
                <w:color w:val="000000"/>
                <w:sz w:val="15"/>
                <w:szCs w:val="15"/>
              </w:rPr>
            </w:pPr>
            <w:r w:rsidRPr="00131373">
              <w:rPr>
                <w:b/>
                <w:bCs/>
                <w:color w:val="000000"/>
                <w:sz w:val="15"/>
                <w:szCs w:val="15"/>
              </w:rPr>
              <w:t> </w:t>
            </w:r>
          </w:p>
        </w:tc>
        <w:tc>
          <w:tcPr>
            <w:tcW w:w="1276" w:type="dxa"/>
            <w:tcBorders>
              <w:top w:val="nil"/>
              <w:left w:val="single" w:sz="8" w:space="0" w:color="auto"/>
              <w:bottom w:val="single" w:sz="4" w:space="0" w:color="000000"/>
              <w:right w:val="single" w:sz="8" w:space="0" w:color="000000"/>
            </w:tcBorders>
            <w:vAlign w:val="bottom"/>
          </w:tcPr>
          <w:p w14:paraId="36C0E0AB" w14:textId="77777777" w:rsidR="00116234" w:rsidRPr="00131373" w:rsidRDefault="00116234">
            <w:pPr>
              <w:jc w:val="center"/>
              <w:rPr>
                <w:b/>
                <w:bCs/>
                <w:color w:val="000000"/>
                <w:sz w:val="15"/>
                <w:szCs w:val="15"/>
              </w:rPr>
            </w:pPr>
            <w:r w:rsidRPr="00131373">
              <w:rPr>
                <w:b/>
                <w:bCs/>
                <w:color w:val="000000"/>
                <w:sz w:val="15"/>
                <w:szCs w:val="15"/>
              </w:rPr>
              <w:t> </w:t>
            </w:r>
          </w:p>
        </w:tc>
        <w:tc>
          <w:tcPr>
            <w:tcW w:w="709" w:type="dxa"/>
            <w:tcBorders>
              <w:top w:val="nil"/>
              <w:left w:val="nil"/>
              <w:bottom w:val="single" w:sz="4" w:space="0" w:color="000000"/>
              <w:right w:val="single" w:sz="4" w:space="0" w:color="000000"/>
            </w:tcBorders>
            <w:vAlign w:val="bottom"/>
          </w:tcPr>
          <w:p w14:paraId="2077CA3A" w14:textId="77777777" w:rsidR="00116234" w:rsidRPr="00131373" w:rsidRDefault="00116234">
            <w:pPr>
              <w:jc w:val="center"/>
              <w:rPr>
                <w:b/>
                <w:bCs/>
                <w:color w:val="000000"/>
                <w:sz w:val="15"/>
                <w:szCs w:val="15"/>
              </w:rPr>
            </w:pPr>
            <w:r w:rsidRPr="00131373">
              <w:rPr>
                <w:b/>
                <w:bCs/>
                <w:color w:val="000000"/>
                <w:sz w:val="15"/>
                <w:szCs w:val="15"/>
              </w:rPr>
              <w:t>1</w:t>
            </w:r>
          </w:p>
        </w:tc>
        <w:tc>
          <w:tcPr>
            <w:tcW w:w="1134" w:type="dxa"/>
            <w:tcBorders>
              <w:top w:val="nil"/>
              <w:left w:val="nil"/>
              <w:bottom w:val="single" w:sz="4" w:space="0" w:color="000000"/>
              <w:right w:val="single" w:sz="4" w:space="0" w:color="000000"/>
            </w:tcBorders>
            <w:vAlign w:val="bottom"/>
          </w:tcPr>
          <w:p w14:paraId="2E95DF33" w14:textId="77777777" w:rsidR="00116234" w:rsidRPr="00131373" w:rsidRDefault="00116234">
            <w:pPr>
              <w:jc w:val="center"/>
              <w:rPr>
                <w:b/>
                <w:bCs/>
                <w:color w:val="000000"/>
                <w:sz w:val="15"/>
                <w:szCs w:val="15"/>
              </w:rPr>
            </w:pPr>
            <w:r w:rsidRPr="00131373">
              <w:rPr>
                <w:b/>
                <w:bCs/>
                <w:color w:val="000000"/>
                <w:sz w:val="15"/>
                <w:szCs w:val="15"/>
              </w:rPr>
              <w:t>2</w:t>
            </w:r>
          </w:p>
        </w:tc>
        <w:tc>
          <w:tcPr>
            <w:tcW w:w="1134" w:type="dxa"/>
            <w:tcBorders>
              <w:top w:val="nil"/>
              <w:left w:val="nil"/>
              <w:bottom w:val="single" w:sz="4" w:space="0" w:color="000000"/>
              <w:right w:val="single" w:sz="4" w:space="0" w:color="000000"/>
            </w:tcBorders>
            <w:vAlign w:val="bottom"/>
          </w:tcPr>
          <w:p w14:paraId="46A06FFC" w14:textId="77777777" w:rsidR="00116234" w:rsidRPr="00131373" w:rsidRDefault="00116234">
            <w:pPr>
              <w:jc w:val="center"/>
              <w:rPr>
                <w:b/>
                <w:bCs/>
                <w:color w:val="000000"/>
                <w:sz w:val="15"/>
                <w:szCs w:val="15"/>
              </w:rPr>
            </w:pPr>
            <w:r w:rsidRPr="00131373">
              <w:rPr>
                <w:b/>
                <w:bCs/>
                <w:color w:val="000000"/>
                <w:sz w:val="15"/>
                <w:szCs w:val="15"/>
              </w:rPr>
              <w:t>3</w:t>
            </w:r>
          </w:p>
        </w:tc>
        <w:tc>
          <w:tcPr>
            <w:tcW w:w="1139" w:type="dxa"/>
            <w:tcBorders>
              <w:top w:val="nil"/>
              <w:left w:val="nil"/>
              <w:bottom w:val="single" w:sz="4" w:space="0" w:color="000000"/>
              <w:right w:val="single" w:sz="8" w:space="0" w:color="000000"/>
            </w:tcBorders>
            <w:vAlign w:val="bottom"/>
          </w:tcPr>
          <w:p w14:paraId="13F4E2D4" w14:textId="77777777" w:rsidR="00116234" w:rsidRPr="00131373" w:rsidRDefault="00116234">
            <w:pPr>
              <w:jc w:val="center"/>
              <w:rPr>
                <w:b/>
                <w:bCs/>
                <w:color w:val="000000"/>
                <w:sz w:val="15"/>
                <w:szCs w:val="15"/>
              </w:rPr>
            </w:pPr>
            <w:r w:rsidRPr="00131373">
              <w:rPr>
                <w:b/>
                <w:bCs/>
                <w:color w:val="000000"/>
                <w:sz w:val="15"/>
                <w:szCs w:val="15"/>
              </w:rPr>
              <w:t>4</w:t>
            </w:r>
          </w:p>
        </w:tc>
        <w:tc>
          <w:tcPr>
            <w:tcW w:w="1131" w:type="dxa"/>
            <w:tcBorders>
              <w:top w:val="nil"/>
              <w:left w:val="nil"/>
              <w:bottom w:val="single" w:sz="4" w:space="0" w:color="000000"/>
              <w:right w:val="single" w:sz="4" w:space="0" w:color="000000"/>
            </w:tcBorders>
            <w:vAlign w:val="bottom"/>
          </w:tcPr>
          <w:p w14:paraId="34AE8F0C" w14:textId="77777777" w:rsidR="00116234" w:rsidRPr="00131373" w:rsidRDefault="00116234">
            <w:pPr>
              <w:jc w:val="center"/>
              <w:rPr>
                <w:b/>
                <w:bCs/>
                <w:color w:val="000000"/>
                <w:sz w:val="15"/>
                <w:szCs w:val="15"/>
              </w:rPr>
            </w:pPr>
            <w:r w:rsidRPr="00131373">
              <w:rPr>
                <w:b/>
                <w:bCs/>
                <w:color w:val="000000"/>
                <w:sz w:val="15"/>
                <w:szCs w:val="15"/>
              </w:rPr>
              <w:t>5</w:t>
            </w:r>
          </w:p>
        </w:tc>
        <w:tc>
          <w:tcPr>
            <w:tcW w:w="1132" w:type="dxa"/>
            <w:tcBorders>
              <w:top w:val="nil"/>
              <w:left w:val="nil"/>
              <w:bottom w:val="single" w:sz="4" w:space="0" w:color="000000"/>
              <w:right w:val="single" w:sz="8" w:space="0" w:color="000000"/>
            </w:tcBorders>
            <w:vAlign w:val="bottom"/>
          </w:tcPr>
          <w:p w14:paraId="27B28365" w14:textId="12C04F06" w:rsidR="00116234" w:rsidRPr="00131373" w:rsidRDefault="00570FB6">
            <w:pPr>
              <w:jc w:val="center"/>
              <w:rPr>
                <w:b/>
                <w:bCs/>
                <w:color w:val="000000"/>
                <w:sz w:val="15"/>
                <w:szCs w:val="15"/>
              </w:rPr>
            </w:pPr>
            <w:r>
              <w:rPr>
                <w:b/>
                <w:bCs/>
                <w:color w:val="000000"/>
                <w:sz w:val="15"/>
                <w:szCs w:val="15"/>
              </w:rPr>
              <w:t>6</w:t>
            </w:r>
            <w:r w:rsidR="00116234" w:rsidRPr="00131373">
              <w:rPr>
                <w:b/>
                <w:bCs/>
                <w:color w:val="000000"/>
                <w:sz w:val="15"/>
                <w:szCs w:val="15"/>
              </w:rPr>
              <w:t> </w:t>
            </w:r>
          </w:p>
        </w:tc>
        <w:tc>
          <w:tcPr>
            <w:tcW w:w="937" w:type="dxa"/>
            <w:tcBorders>
              <w:top w:val="nil"/>
              <w:left w:val="nil"/>
              <w:bottom w:val="single" w:sz="4" w:space="0" w:color="000000"/>
              <w:right w:val="single" w:sz="4" w:space="0" w:color="000000"/>
            </w:tcBorders>
            <w:vAlign w:val="bottom"/>
          </w:tcPr>
          <w:p w14:paraId="066790D6" w14:textId="3E3963B5" w:rsidR="00116234" w:rsidRPr="00131373" w:rsidRDefault="00570FB6">
            <w:pPr>
              <w:jc w:val="center"/>
              <w:rPr>
                <w:b/>
                <w:bCs/>
                <w:color w:val="000000"/>
                <w:sz w:val="15"/>
                <w:szCs w:val="15"/>
              </w:rPr>
            </w:pPr>
            <w:r>
              <w:rPr>
                <w:b/>
                <w:bCs/>
                <w:color w:val="000000"/>
                <w:sz w:val="15"/>
                <w:szCs w:val="15"/>
              </w:rPr>
              <w:t>7</w:t>
            </w:r>
          </w:p>
        </w:tc>
        <w:tc>
          <w:tcPr>
            <w:tcW w:w="1331" w:type="dxa"/>
            <w:tcBorders>
              <w:top w:val="nil"/>
              <w:left w:val="nil"/>
              <w:bottom w:val="single" w:sz="4" w:space="0" w:color="000000"/>
              <w:right w:val="single" w:sz="4" w:space="0" w:color="000000"/>
            </w:tcBorders>
            <w:vAlign w:val="bottom"/>
          </w:tcPr>
          <w:p w14:paraId="4E2C1EBC" w14:textId="3AB2E488" w:rsidR="00116234" w:rsidRPr="00131373" w:rsidRDefault="00570FB6">
            <w:pPr>
              <w:jc w:val="center"/>
              <w:rPr>
                <w:b/>
                <w:bCs/>
                <w:color w:val="000000"/>
                <w:sz w:val="15"/>
                <w:szCs w:val="15"/>
              </w:rPr>
            </w:pPr>
            <w:r>
              <w:rPr>
                <w:b/>
                <w:bCs/>
                <w:color w:val="000000"/>
                <w:sz w:val="15"/>
                <w:szCs w:val="15"/>
              </w:rPr>
              <w:t>8</w:t>
            </w:r>
          </w:p>
        </w:tc>
        <w:tc>
          <w:tcPr>
            <w:tcW w:w="992" w:type="dxa"/>
            <w:tcBorders>
              <w:top w:val="nil"/>
              <w:left w:val="nil"/>
              <w:bottom w:val="single" w:sz="4" w:space="0" w:color="000000"/>
              <w:right w:val="single" w:sz="8" w:space="0" w:color="000000"/>
            </w:tcBorders>
            <w:vAlign w:val="bottom"/>
          </w:tcPr>
          <w:p w14:paraId="0DA3E698" w14:textId="7BF5FDB5" w:rsidR="00116234" w:rsidRPr="00131373" w:rsidRDefault="00570FB6">
            <w:pPr>
              <w:jc w:val="center"/>
              <w:rPr>
                <w:b/>
                <w:bCs/>
                <w:color w:val="000000"/>
                <w:sz w:val="15"/>
                <w:szCs w:val="15"/>
              </w:rPr>
            </w:pPr>
            <w:r>
              <w:rPr>
                <w:b/>
                <w:bCs/>
                <w:color w:val="000000"/>
                <w:sz w:val="15"/>
                <w:szCs w:val="15"/>
              </w:rPr>
              <w:t>9</w:t>
            </w:r>
          </w:p>
        </w:tc>
        <w:tc>
          <w:tcPr>
            <w:tcW w:w="992" w:type="dxa"/>
            <w:tcBorders>
              <w:top w:val="nil"/>
              <w:left w:val="nil"/>
              <w:bottom w:val="single" w:sz="4" w:space="0" w:color="000000"/>
              <w:right w:val="single" w:sz="8" w:space="0" w:color="000000"/>
            </w:tcBorders>
            <w:vAlign w:val="bottom"/>
          </w:tcPr>
          <w:p w14:paraId="63D215F4" w14:textId="77777777" w:rsidR="00116234" w:rsidRPr="00131373" w:rsidRDefault="00116234">
            <w:pPr>
              <w:jc w:val="center"/>
              <w:rPr>
                <w:b/>
                <w:bCs/>
                <w:color w:val="000000"/>
                <w:sz w:val="15"/>
                <w:szCs w:val="15"/>
              </w:rPr>
            </w:pPr>
            <w:r w:rsidRPr="00131373">
              <w:rPr>
                <w:b/>
                <w:bCs/>
                <w:color w:val="000000"/>
                <w:sz w:val="15"/>
                <w:szCs w:val="15"/>
              </w:rPr>
              <w:t> </w:t>
            </w:r>
          </w:p>
        </w:tc>
        <w:tc>
          <w:tcPr>
            <w:tcW w:w="1418" w:type="dxa"/>
            <w:tcBorders>
              <w:top w:val="nil"/>
              <w:left w:val="nil"/>
              <w:bottom w:val="single" w:sz="4" w:space="0" w:color="000000"/>
              <w:right w:val="single" w:sz="8" w:space="0" w:color="000000"/>
            </w:tcBorders>
            <w:vAlign w:val="bottom"/>
          </w:tcPr>
          <w:p w14:paraId="0DA12F73" w14:textId="77777777" w:rsidR="00116234" w:rsidRPr="00131373" w:rsidRDefault="00116234">
            <w:pPr>
              <w:jc w:val="center"/>
              <w:rPr>
                <w:b/>
                <w:bCs/>
                <w:color w:val="000000"/>
                <w:sz w:val="15"/>
                <w:szCs w:val="15"/>
              </w:rPr>
            </w:pPr>
            <w:r w:rsidRPr="00131373">
              <w:rPr>
                <w:b/>
                <w:bCs/>
                <w:color w:val="000000"/>
                <w:sz w:val="15"/>
                <w:szCs w:val="15"/>
              </w:rPr>
              <w:t> </w:t>
            </w:r>
          </w:p>
        </w:tc>
      </w:tr>
      <w:tr w:rsidR="00116234" w:rsidRPr="00131373" w14:paraId="13EAED9C" w14:textId="77777777" w:rsidTr="003350B6">
        <w:trPr>
          <w:trHeight w:val="960"/>
        </w:trPr>
        <w:tc>
          <w:tcPr>
            <w:tcW w:w="1823" w:type="dxa"/>
            <w:tcBorders>
              <w:top w:val="nil"/>
              <w:left w:val="single" w:sz="8" w:space="0" w:color="auto"/>
              <w:bottom w:val="single" w:sz="4" w:space="0" w:color="000000"/>
              <w:right w:val="single" w:sz="8" w:space="0" w:color="auto"/>
            </w:tcBorders>
            <w:vAlign w:val="center"/>
          </w:tcPr>
          <w:p w14:paraId="54C1EE68" w14:textId="77777777" w:rsidR="00116234" w:rsidRPr="00131373" w:rsidRDefault="00116234">
            <w:pPr>
              <w:jc w:val="center"/>
              <w:rPr>
                <w:color w:val="000000"/>
                <w:sz w:val="15"/>
                <w:szCs w:val="15"/>
              </w:rPr>
            </w:pPr>
            <w:r w:rsidRPr="00131373">
              <w:rPr>
                <w:color w:val="000000"/>
                <w:sz w:val="15"/>
                <w:szCs w:val="15"/>
              </w:rPr>
              <w:t> </w:t>
            </w:r>
          </w:p>
        </w:tc>
        <w:tc>
          <w:tcPr>
            <w:tcW w:w="1276" w:type="dxa"/>
            <w:tcBorders>
              <w:top w:val="nil"/>
              <w:left w:val="single" w:sz="8" w:space="0" w:color="auto"/>
              <w:bottom w:val="single" w:sz="4" w:space="0" w:color="000000"/>
              <w:right w:val="single" w:sz="8" w:space="0" w:color="000000"/>
            </w:tcBorders>
            <w:vAlign w:val="center"/>
          </w:tcPr>
          <w:p w14:paraId="2EE3DC1B" w14:textId="77777777" w:rsidR="00116234" w:rsidRPr="00131373" w:rsidRDefault="00116234">
            <w:pPr>
              <w:jc w:val="center"/>
              <w:rPr>
                <w:color w:val="000000"/>
                <w:sz w:val="15"/>
                <w:szCs w:val="15"/>
              </w:rPr>
            </w:pPr>
            <w:r w:rsidRPr="00131373">
              <w:rPr>
                <w:color w:val="000000"/>
                <w:sz w:val="15"/>
                <w:szCs w:val="15"/>
              </w:rPr>
              <w:t> </w:t>
            </w:r>
          </w:p>
        </w:tc>
        <w:tc>
          <w:tcPr>
            <w:tcW w:w="709" w:type="dxa"/>
            <w:tcBorders>
              <w:top w:val="nil"/>
              <w:left w:val="nil"/>
              <w:bottom w:val="single" w:sz="4" w:space="0" w:color="000000"/>
              <w:right w:val="single" w:sz="4" w:space="0" w:color="000000"/>
            </w:tcBorders>
            <w:vAlign w:val="center"/>
          </w:tcPr>
          <w:p w14:paraId="767FC6DB" w14:textId="77777777" w:rsidR="00116234" w:rsidRPr="00131373" w:rsidRDefault="00116234">
            <w:pPr>
              <w:jc w:val="center"/>
              <w:rPr>
                <w:color w:val="000000"/>
                <w:sz w:val="15"/>
                <w:szCs w:val="15"/>
              </w:rPr>
            </w:pPr>
            <w:r w:rsidRPr="00131373">
              <w:rPr>
                <w:color w:val="000000"/>
                <w:sz w:val="15"/>
                <w:szCs w:val="15"/>
              </w:rPr>
              <w:t>Representativeness of the exposed cohort</w:t>
            </w:r>
          </w:p>
        </w:tc>
        <w:tc>
          <w:tcPr>
            <w:tcW w:w="1134" w:type="dxa"/>
            <w:tcBorders>
              <w:top w:val="nil"/>
              <w:left w:val="nil"/>
              <w:bottom w:val="single" w:sz="4" w:space="0" w:color="000000"/>
              <w:right w:val="single" w:sz="4" w:space="0" w:color="000000"/>
            </w:tcBorders>
            <w:vAlign w:val="center"/>
          </w:tcPr>
          <w:p w14:paraId="1EFCB19A" w14:textId="4231442B" w:rsidR="00116234" w:rsidRPr="00131373" w:rsidRDefault="00116234">
            <w:pPr>
              <w:jc w:val="center"/>
              <w:rPr>
                <w:color w:val="000000"/>
                <w:sz w:val="15"/>
                <w:szCs w:val="15"/>
              </w:rPr>
            </w:pPr>
            <w:r w:rsidRPr="00131373">
              <w:rPr>
                <w:color w:val="000000"/>
                <w:sz w:val="15"/>
                <w:szCs w:val="15"/>
              </w:rPr>
              <w:t xml:space="preserve">Selection of the </w:t>
            </w:r>
            <w:r w:rsidR="00131373" w:rsidRPr="00131373">
              <w:rPr>
                <w:color w:val="000000"/>
                <w:sz w:val="15"/>
                <w:szCs w:val="15"/>
              </w:rPr>
              <w:t>non-exposed</w:t>
            </w:r>
            <w:r w:rsidRPr="00131373">
              <w:rPr>
                <w:color w:val="000000"/>
                <w:sz w:val="15"/>
                <w:szCs w:val="15"/>
              </w:rPr>
              <w:t xml:space="preserve"> cohort</w:t>
            </w:r>
          </w:p>
        </w:tc>
        <w:tc>
          <w:tcPr>
            <w:tcW w:w="1134" w:type="dxa"/>
            <w:tcBorders>
              <w:top w:val="nil"/>
              <w:left w:val="nil"/>
              <w:bottom w:val="single" w:sz="4" w:space="0" w:color="000000"/>
              <w:right w:val="single" w:sz="4" w:space="0" w:color="000000"/>
            </w:tcBorders>
            <w:vAlign w:val="center"/>
          </w:tcPr>
          <w:p w14:paraId="5F36261A" w14:textId="77777777" w:rsidR="00116234" w:rsidRPr="00131373" w:rsidRDefault="00116234">
            <w:pPr>
              <w:jc w:val="center"/>
              <w:rPr>
                <w:color w:val="000000"/>
                <w:sz w:val="15"/>
                <w:szCs w:val="15"/>
              </w:rPr>
            </w:pPr>
            <w:r w:rsidRPr="00131373">
              <w:rPr>
                <w:color w:val="000000"/>
                <w:sz w:val="15"/>
                <w:szCs w:val="15"/>
              </w:rPr>
              <w:t>Ascertainment of exposure</w:t>
            </w:r>
          </w:p>
        </w:tc>
        <w:tc>
          <w:tcPr>
            <w:tcW w:w="1139" w:type="dxa"/>
            <w:tcBorders>
              <w:top w:val="nil"/>
              <w:left w:val="nil"/>
              <w:bottom w:val="single" w:sz="4" w:space="0" w:color="000000"/>
              <w:right w:val="single" w:sz="8" w:space="0" w:color="000000"/>
            </w:tcBorders>
            <w:vAlign w:val="center"/>
          </w:tcPr>
          <w:p w14:paraId="3B60A663" w14:textId="77777777" w:rsidR="00116234" w:rsidRPr="00131373" w:rsidRDefault="00116234">
            <w:pPr>
              <w:jc w:val="center"/>
              <w:rPr>
                <w:color w:val="000000"/>
                <w:sz w:val="15"/>
                <w:szCs w:val="15"/>
              </w:rPr>
            </w:pPr>
            <w:r w:rsidRPr="00131373">
              <w:rPr>
                <w:color w:val="000000"/>
                <w:sz w:val="15"/>
                <w:szCs w:val="15"/>
              </w:rPr>
              <w:t>Demonstration that outcome of interest was not present at start of study</w:t>
            </w:r>
          </w:p>
        </w:tc>
        <w:tc>
          <w:tcPr>
            <w:tcW w:w="1131" w:type="dxa"/>
            <w:tcBorders>
              <w:top w:val="nil"/>
              <w:left w:val="nil"/>
              <w:bottom w:val="single" w:sz="4" w:space="0" w:color="000000"/>
              <w:right w:val="single" w:sz="4" w:space="0" w:color="000000"/>
            </w:tcBorders>
            <w:vAlign w:val="center"/>
          </w:tcPr>
          <w:p w14:paraId="05DBEFDF" w14:textId="77777777" w:rsidR="00116234" w:rsidRPr="00131373" w:rsidRDefault="00116234">
            <w:pPr>
              <w:jc w:val="center"/>
              <w:rPr>
                <w:color w:val="000000"/>
                <w:sz w:val="15"/>
                <w:szCs w:val="15"/>
              </w:rPr>
            </w:pPr>
            <w:r w:rsidRPr="00131373">
              <w:rPr>
                <w:color w:val="000000"/>
                <w:sz w:val="15"/>
                <w:szCs w:val="15"/>
              </w:rPr>
              <w:t>Study controls for (Comparability on Design)</w:t>
            </w:r>
          </w:p>
        </w:tc>
        <w:tc>
          <w:tcPr>
            <w:tcW w:w="1132" w:type="dxa"/>
            <w:tcBorders>
              <w:top w:val="nil"/>
              <w:left w:val="nil"/>
              <w:bottom w:val="single" w:sz="4" w:space="0" w:color="000000"/>
              <w:right w:val="single" w:sz="8" w:space="0" w:color="000000"/>
            </w:tcBorders>
            <w:vAlign w:val="center"/>
          </w:tcPr>
          <w:p w14:paraId="618DF190" w14:textId="77777777" w:rsidR="00116234" w:rsidRPr="00131373" w:rsidRDefault="00116234">
            <w:pPr>
              <w:jc w:val="center"/>
              <w:rPr>
                <w:color w:val="000000"/>
                <w:sz w:val="15"/>
                <w:szCs w:val="15"/>
              </w:rPr>
            </w:pPr>
            <w:r w:rsidRPr="00131373">
              <w:rPr>
                <w:color w:val="000000"/>
                <w:sz w:val="15"/>
                <w:szCs w:val="15"/>
              </w:rPr>
              <w:t>Study controls for any additional factor (Additional Confounders)</w:t>
            </w:r>
          </w:p>
        </w:tc>
        <w:tc>
          <w:tcPr>
            <w:tcW w:w="937" w:type="dxa"/>
            <w:tcBorders>
              <w:top w:val="nil"/>
              <w:left w:val="nil"/>
              <w:bottom w:val="single" w:sz="4" w:space="0" w:color="000000"/>
              <w:right w:val="single" w:sz="4" w:space="0" w:color="000000"/>
            </w:tcBorders>
            <w:vAlign w:val="center"/>
          </w:tcPr>
          <w:p w14:paraId="1D78F9F5" w14:textId="77777777" w:rsidR="00116234" w:rsidRPr="00131373" w:rsidRDefault="00116234">
            <w:pPr>
              <w:jc w:val="center"/>
              <w:rPr>
                <w:color w:val="000000"/>
                <w:sz w:val="15"/>
                <w:szCs w:val="15"/>
              </w:rPr>
            </w:pPr>
            <w:r w:rsidRPr="00131373">
              <w:rPr>
                <w:color w:val="000000"/>
                <w:sz w:val="15"/>
                <w:szCs w:val="15"/>
              </w:rPr>
              <w:t>Assessment of outcome</w:t>
            </w:r>
          </w:p>
        </w:tc>
        <w:tc>
          <w:tcPr>
            <w:tcW w:w="1331" w:type="dxa"/>
            <w:tcBorders>
              <w:top w:val="nil"/>
              <w:left w:val="nil"/>
              <w:bottom w:val="single" w:sz="4" w:space="0" w:color="000000"/>
              <w:right w:val="single" w:sz="4" w:space="0" w:color="000000"/>
            </w:tcBorders>
            <w:vAlign w:val="center"/>
          </w:tcPr>
          <w:p w14:paraId="4519DAE9" w14:textId="77777777" w:rsidR="00116234" w:rsidRPr="00131373" w:rsidRDefault="00116234">
            <w:pPr>
              <w:jc w:val="center"/>
              <w:rPr>
                <w:color w:val="000000"/>
                <w:sz w:val="15"/>
                <w:szCs w:val="15"/>
              </w:rPr>
            </w:pPr>
            <w:r w:rsidRPr="00131373">
              <w:rPr>
                <w:color w:val="000000"/>
                <w:sz w:val="15"/>
                <w:szCs w:val="15"/>
              </w:rPr>
              <w:t>Was follow-up long enough for outcomes to occur</w:t>
            </w:r>
          </w:p>
        </w:tc>
        <w:tc>
          <w:tcPr>
            <w:tcW w:w="992" w:type="dxa"/>
            <w:tcBorders>
              <w:top w:val="nil"/>
              <w:left w:val="nil"/>
              <w:bottom w:val="single" w:sz="4" w:space="0" w:color="000000"/>
              <w:right w:val="single" w:sz="8" w:space="0" w:color="000000"/>
            </w:tcBorders>
            <w:vAlign w:val="center"/>
          </w:tcPr>
          <w:p w14:paraId="0BEFEB3F" w14:textId="77777777" w:rsidR="00116234" w:rsidRPr="00131373" w:rsidRDefault="00116234">
            <w:pPr>
              <w:jc w:val="center"/>
              <w:rPr>
                <w:color w:val="000000"/>
                <w:sz w:val="15"/>
                <w:szCs w:val="15"/>
              </w:rPr>
            </w:pPr>
            <w:r w:rsidRPr="00131373">
              <w:rPr>
                <w:color w:val="000000"/>
                <w:sz w:val="15"/>
                <w:szCs w:val="15"/>
              </w:rPr>
              <w:t>Adequacy of follow up of cohorts</w:t>
            </w:r>
          </w:p>
        </w:tc>
        <w:tc>
          <w:tcPr>
            <w:tcW w:w="992" w:type="dxa"/>
            <w:tcBorders>
              <w:top w:val="nil"/>
              <w:left w:val="nil"/>
              <w:bottom w:val="single" w:sz="4" w:space="0" w:color="000000"/>
              <w:right w:val="single" w:sz="8" w:space="0" w:color="000000"/>
            </w:tcBorders>
            <w:vAlign w:val="center"/>
          </w:tcPr>
          <w:p w14:paraId="0E20981F" w14:textId="77777777" w:rsidR="00116234" w:rsidRPr="00131373" w:rsidRDefault="00116234">
            <w:pPr>
              <w:jc w:val="center"/>
              <w:rPr>
                <w:color w:val="000000"/>
                <w:sz w:val="15"/>
                <w:szCs w:val="15"/>
              </w:rPr>
            </w:pPr>
            <w:r w:rsidRPr="00131373">
              <w:rPr>
                <w:color w:val="000000"/>
                <w:sz w:val="15"/>
                <w:szCs w:val="15"/>
              </w:rPr>
              <w:t>Total NOS Score (Maximum = 9)</w:t>
            </w:r>
          </w:p>
        </w:tc>
        <w:tc>
          <w:tcPr>
            <w:tcW w:w="1418" w:type="dxa"/>
            <w:tcBorders>
              <w:top w:val="nil"/>
              <w:left w:val="nil"/>
              <w:bottom w:val="single" w:sz="4" w:space="0" w:color="000000"/>
              <w:right w:val="single" w:sz="8" w:space="0" w:color="000000"/>
            </w:tcBorders>
            <w:vAlign w:val="center"/>
          </w:tcPr>
          <w:p w14:paraId="137894A3" w14:textId="77777777" w:rsidR="00116234" w:rsidRPr="00131373" w:rsidRDefault="00116234">
            <w:pPr>
              <w:jc w:val="center"/>
              <w:rPr>
                <w:color w:val="000000"/>
                <w:sz w:val="15"/>
                <w:szCs w:val="15"/>
              </w:rPr>
            </w:pPr>
            <w:r w:rsidRPr="00131373">
              <w:rPr>
                <w:color w:val="000000"/>
                <w:sz w:val="15"/>
                <w:szCs w:val="15"/>
              </w:rPr>
              <w:t>Quality Rating</w:t>
            </w:r>
          </w:p>
        </w:tc>
      </w:tr>
      <w:tr w:rsidR="00116234" w:rsidRPr="00131373" w14:paraId="2DFF6E7E" w14:textId="77777777" w:rsidTr="00F72FC0">
        <w:trPr>
          <w:trHeight w:val="300"/>
        </w:trPr>
        <w:tc>
          <w:tcPr>
            <w:tcW w:w="1823" w:type="dxa"/>
            <w:tcBorders>
              <w:top w:val="nil"/>
              <w:left w:val="single" w:sz="8" w:space="0" w:color="auto"/>
              <w:bottom w:val="single" w:sz="4" w:space="0" w:color="000000"/>
              <w:right w:val="single" w:sz="8" w:space="0" w:color="auto"/>
            </w:tcBorders>
            <w:noWrap/>
            <w:vAlign w:val="center"/>
          </w:tcPr>
          <w:p w14:paraId="3BE301D6" w14:textId="44A76EDF" w:rsidR="00116234" w:rsidRPr="00131373" w:rsidRDefault="00116234" w:rsidP="00F72FC0">
            <w:pPr>
              <w:jc w:val="center"/>
              <w:rPr>
                <w:color w:val="000000"/>
                <w:sz w:val="15"/>
                <w:szCs w:val="15"/>
              </w:rPr>
            </w:pPr>
            <w:r w:rsidRPr="00131373">
              <w:rPr>
                <w:color w:val="000000"/>
                <w:sz w:val="15"/>
                <w:szCs w:val="15"/>
              </w:rPr>
              <w:t>Khattab et al. (2021)</w:t>
            </w:r>
            <w:r w:rsidR="003350B6">
              <w:rPr>
                <w:color w:val="000000"/>
                <w:sz w:val="15"/>
                <w:szCs w:val="15"/>
              </w:rPr>
              <w:t xml:space="preserve"> </w:t>
            </w:r>
            <w:r w:rsidR="00C13599">
              <w:rPr>
                <w:color w:val="000000"/>
                <w:sz w:val="15"/>
                <w:szCs w:val="15"/>
              </w:rPr>
              <w:fldChar w:fldCharType="begin"/>
            </w:r>
            <w:r w:rsidR="00485C7C">
              <w:rPr>
                <w:color w:val="000000"/>
                <w:sz w:val="15"/>
                <w:szCs w:val="15"/>
              </w:rPr>
              <w:instrText xml:space="preserve"> ADDIN ZOTERO_ITEM CSL_CITATION {"citationID":"H8nPRJpC","properties":{"formattedCitation":"\\super 47\\nosupersub{}","plainCitation":"47","noteIndex":0},"citationItems":[{"id":1660,"uris":["http://zotero.org/users/5317696/items/QYGJBQRZ"],"itemData":{"id":1660,"type":"article-journal","abstract":"Background: Hepatitis C virus (HCV) is a major health problem worldwide. Its long-term impact ranges from minimal damage to extensive fibrosis and cirrhosis, which is sometimes, accompanied by hepatocellular carcinoma (HCC). Objective: To evaluate early changes of hepatic fibrosis-related parameters in patients with chronic HCV patients using sonography-based real time elastography (RTE) and serum parameters as APRI, FIB4 before and after sofosbuvir-based antiviral therapy. Patients and methods: This study were conducted on 75 Egyptian patients with chronic hepatitis C who were collected from September 2019 and March 2020 at the National Hepatology and Tropical Medicine Research Institute Outpatient Clinics, Cairo, Egypt. Results: The mean age of the studied patients was 49.6±11.34years, 33 (44%)of them were males while 42 (56%) were females. A history of diabetes was reported in 9 (12%) patients, while 6 (8%) of our patients were hypertensive. A total of 75 HCV-infected patients treated with sofosbuvir based therapy for 12 weeks were identified, 62 (82.7%) were treated with sofosbuvir (400 mg/day) and daclatasvir( 60 mg/day) , 13(17.3%)were treated with sofosbuvir( 400 mg/day )and daclatasvir( 60 mg/day) with weight-based ribavirin. Conclusion: Sofosbuvir-based treatment regimens for chronic hepatitis C resulted in significant reduction in liver stiffness measurements (LSM) by pSWE with significant changes in the distribution of patients receiving triple therapy among the fibrosis stages and significant improvement in fibrosis scores (FIB4 and APRI) 12 weeks post treatment.","container-title":"Al-Azhar Medical Journal","DOI":"10.21608/amj.2021.196431","ISSN":"1110-0400","issue":"4","journalAbbreviation":"Al-Azhar Medical Journal","language":"en","page":"2931-2940","source":"journals.ekb.eg","title":"ASSESSMENT OF LIVER FIBROSIS BEFORE AND AFTER DIRECT ACTING ANTIVIRAL THERAPY IN COMPENSATED HCV RELATED LIVER DISEASE","URL":"https://journals.ekb.eg/article_196431_0.html","volume":"50","author":[{"family":"Fathalla Khattab","given":"Ahmed"},{"family":"Ammar","given":"Islam"},{"family":"Mohamed Massoud","given":"Ahmed"}],"accessed":{"date-parts":[["2025",8,21]]},"issued":{"date-parts":[["2021",10,1]]}}}],"schema":"https://github.com/citation-style-language/schema/raw/master/csl-citation.json"} </w:instrText>
            </w:r>
            <w:r w:rsidR="00C13599">
              <w:rPr>
                <w:color w:val="000000"/>
                <w:sz w:val="15"/>
                <w:szCs w:val="15"/>
              </w:rPr>
              <w:fldChar w:fldCharType="separate"/>
            </w:r>
            <w:r w:rsidR="00485C7C" w:rsidRPr="00485C7C">
              <w:rPr>
                <w:sz w:val="15"/>
                <w:vertAlign w:val="superscript"/>
              </w:rPr>
              <w:t>47</w:t>
            </w:r>
            <w:r w:rsidR="00C13599">
              <w:rPr>
                <w:color w:val="000000"/>
                <w:sz w:val="15"/>
                <w:szCs w:val="15"/>
              </w:rPr>
              <w:fldChar w:fldCharType="end"/>
            </w:r>
          </w:p>
        </w:tc>
        <w:tc>
          <w:tcPr>
            <w:tcW w:w="1276" w:type="dxa"/>
            <w:tcBorders>
              <w:top w:val="nil"/>
              <w:left w:val="single" w:sz="8" w:space="0" w:color="auto"/>
              <w:bottom w:val="single" w:sz="4" w:space="0" w:color="000000"/>
              <w:right w:val="single" w:sz="8" w:space="0" w:color="000000"/>
            </w:tcBorders>
            <w:noWrap/>
            <w:vAlign w:val="center"/>
          </w:tcPr>
          <w:p w14:paraId="0ECA4331" w14:textId="56325C0D" w:rsidR="00116234" w:rsidRPr="00131373" w:rsidRDefault="00F75BC0" w:rsidP="00F72FC0">
            <w:pPr>
              <w:jc w:val="center"/>
              <w:rPr>
                <w:color w:val="000000"/>
                <w:sz w:val="15"/>
                <w:szCs w:val="15"/>
              </w:rPr>
            </w:pPr>
            <w:r w:rsidRPr="00131373">
              <w:rPr>
                <w:color w:val="000000"/>
                <w:sz w:val="15"/>
                <w:szCs w:val="15"/>
              </w:rPr>
              <w:t xml:space="preserve">Prospective </w:t>
            </w:r>
            <w:r w:rsidR="00116234" w:rsidRPr="00131373">
              <w:rPr>
                <w:color w:val="000000"/>
                <w:sz w:val="15"/>
                <w:szCs w:val="15"/>
              </w:rPr>
              <w:t>Cohort</w:t>
            </w:r>
          </w:p>
        </w:tc>
        <w:tc>
          <w:tcPr>
            <w:tcW w:w="709" w:type="dxa"/>
            <w:tcBorders>
              <w:top w:val="nil"/>
              <w:left w:val="nil"/>
              <w:bottom w:val="single" w:sz="4" w:space="0" w:color="000000"/>
              <w:right w:val="single" w:sz="4" w:space="0" w:color="000000"/>
            </w:tcBorders>
            <w:noWrap/>
            <w:vAlign w:val="center"/>
          </w:tcPr>
          <w:p w14:paraId="0080571E"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569AC2BC"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0A2D7FEA"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nil"/>
              <w:left w:val="nil"/>
              <w:bottom w:val="single" w:sz="4" w:space="0" w:color="000000"/>
              <w:right w:val="single" w:sz="8" w:space="0" w:color="000000"/>
            </w:tcBorders>
            <w:noWrap/>
            <w:vAlign w:val="center"/>
          </w:tcPr>
          <w:p w14:paraId="0E90FC3E"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nil"/>
              <w:left w:val="nil"/>
              <w:bottom w:val="single" w:sz="4" w:space="0" w:color="000000"/>
              <w:right w:val="single" w:sz="4" w:space="0" w:color="000000"/>
            </w:tcBorders>
            <w:noWrap/>
            <w:vAlign w:val="center"/>
          </w:tcPr>
          <w:p w14:paraId="6B298DE5"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2" w:type="dxa"/>
            <w:tcBorders>
              <w:top w:val="nil"/>
              <w:left w:val="nil"/>
              <w:bottom w:val="single" w:sz="4" w:space="0" w:color="000000"/>
              <w:right w:val="single" w:sz="8" w:space="0" w:color="000000"/>
            </w:tcBorders>
            <w:noWrap/>
            <w:vAlign w:val="center"/>
          </w:tcPr>
          <w:p w14:paraId="34356CF3"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7" w:type="dxa"/>
            <w:tcBorders>
              <w:top w:val="nil"/>
              <w:left w:val="nil"/>
              <w:bottom w:val="single" w:sz="4" w:space="0" w:color="000000"/>
              <w:right w:val="single" w:sz="4" w:space="0" w:color="000000"/>
            </w:tcBorders>
            <w:noWrap/>
            <w:vAlign w:val="center"/>
          </w:tcPr>
          <w:p w14:paraId="00A16958"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nil"/>
              <w:left w:val="nil"/>
              <w:bottom w:val="single" w:sz="4" w:space="0" w:color="000000"/>
              <w:right w:val="single" w:sz="4" w:space="0" w:color="000000"/>
            </w:tcBorders>
            <w:noWrap/>
            <w:vAlign w:val="center"/>
          </w:tcPr>
          <w:p w14:paraId="4B52F7E3"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48FC8BAB"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1B86FA03" w14:textId="77777777" w:rsidR="00116234" w:rsidRPr="00131373" w:rsidRDefault="00116234" w:rsidP="00485C7C">
            <w:pPr>
              <w:jc w:val="center"/>
              <w:rPr>
                <w:color w:val="000000"/>
                <w:sz w:val="15"/>
                <w:szCs w:val="15"/>
              </w:rPr>
            </w:pPr>
            <w:r w:rsidRPr="00131373">
              <w:rPr>
                <w:color w:val="000000"/>
                <w:sz w:val="15"/>
                <w:szCs w:val="15"/>
              </w:rPr>
              <w:t>6</w:t>
            </w:r>
          </w:p>
        </w:tc>
        <w:tc>
          <w:tcPr>
            <w:tcW w:w="1418" w:type="dxa"/>
            <w:tcBorders>
              <w:top w:val="nil"/>
              <w:left w:val="nil"/>
              <w:bottom w:val="single" w:sz="4" w:space="0" w:color="000000"/>
              <w:right w:val="single" w:sz="8" w:space="0" w:color="000000"/>
            </w:tcBorders>
            <w:noWrap/>
            <w:vAlign w:val="center"/>
          </w:tcPr>
          <w:p w14:paraId="2432053B" w14:textId="271313D3" w:rsidR="00116234" w:rsidRPr="00131373" w:rsidRDefault="00AA7D9A" w:rsidP="00485C7C">
            <w:pPr>
              <w:jc w:val="center"/>
              <w:rPr>
                <w:color w:val="000000"/>
                <w:sz w:val="15"/>
                <w:szCs w:val="15"/>
              </w:rPr>
            </w:pPr>
            <w:r w:rsidRPr="00AA7D9A">
              <w:rPr>
                <w:color w:val="000000"/>
                <w:sz w:val="15"/>
                <w:szCs w:val="15"/>
              </w:rPr>
              <w:t>Moderate</w:t>
            </w:r>
          </w:p>
        </w:tc>
      </w:tr>
      <w:tr w:rsidR="00116234" w:rsidRPr="00131373" w14:paraId="4515944B" w14:textId="77777777" w:rsidTr="00F72FC0">
        <w:trPr>
          <w:trHeight w:val="300"/>
        </w:trPr>
        <w:tc>
          <w:tcPr>
            <w:tcW w:w="1823" w:type="dxa"/>
            <w:tcBorders>
              <w:top w:val="nil"/>
              <w:left w:val="single" w:sz="8" w:space="0" w:color="auto"/>
              <w:bottom w:val="single" w:sz="4" w:space="0" w:color="000000"/>
              <w:right w:val="single" w:sz="8" w:space="0" w:color="auto"/>
            </w:tcBorders>
            <w:noWrap/>
            <w:vAlign w:val="center"/>
          </w:tcPr>
          <w:p w14:paraId="6E3C50B2" w14:textId="4782C1E9" w:rsidR="00116234" w:rsidRPr="00131373" w:rsidRDefault="00116234" w:rsidP="00F72FC0">
            <w:pPr>
              <w:jc w:val="center"/>
              <w:rPr>
                <w:color w:val="000000"/>
                <w:sz w:val="15"/>
                <w:szCs w:val="15"/>
              </w:rPr>
            </w:pPr>
            <w:r w:rsidRPr="00131373">
              <w:rPr>
                <w:color w:val="000000"/>
                <w:sz w:val="15"/>
                <w:szCs w:val="15"/>
              </w:rPr>
              <w:t>Hassanin et al. (2022)</w:t>
            </w:r>
            <w:r w:rsidR="003350B6">
              <w:rPr>
                <w:color w:val="000000"/>
                <w:sz w:val="15"/>
                <w:szCs w:val="15"/>
              </w:rPr>
              <w:fldChar w:fldCharType="begin"/>
            </w:r>
            <w:r w:rsidR="00485C7C">
              <w:rPr>
                <w:color w:val="000000"/>
                <w:sz w:val="15"/>
                <w:szCs w:val="15"/>
              </w:rPr>
              <w:instrText xml:space="preserve"> ADDIN ZOTERO_ITEM CSL_CITATION {"citationID":"KuKKSDDs","properties":{"formattedCitation":"\\super 48\\nosupersub{}","plainCitation":"48","noteIndex":0},"citationItems":[{"id":1659,"uris":["http://zotero.org/users/5317696/items/69AQ9BKS"],"itemData":{"id":1659,"type":"article-journal","abstract":"Background and study aims: Liver biopsy is the standard method to assess hepatic fibrosis, but it is unpractical as it is invasive </w:instrText>
            </w:r>
            <w:r w:rsidR="00485C7C">
              <w:rPr>
                <w:color w:val="000000"/>
                <w:sz w:val="15"/>
                <w:szCs w:val="15"/>
                <w:cs/>
              </w:rPr>
              <w:instrText>‎</w:instrText>
            </w:r>
            <w:r w:rsidR="00485C7C">
              <w:rPr>
                <w:color w:val="000000"/>
                <w:sz w:val="15"/>
                <w:szCs w:val="15"/>
              </w:rPr>
              <w:instrText xml:space="preserve">and not agreed by most patients. So, many non-invasive methods for evaluating liver fibrosis </w:instrText>
            </w:r>
            <w:r w:rsidR="00485C7C">
              <w:rPr>
                <w:color w:val="000000"/>
                <w:sz w:val="15"/>
                <w:szCs w:val="15"/>
                <w:cs/>
              </w:rPr>
              <w:instrText>‎</w:instrText>
            </w:r>
            <w:r w:rsidR="00485C7C">
              <w:rPr>
                <w:color w:val="000000"/>
                <w:sz w:val="15"/>
                <w:szCs w:val="15"/>
              </w:rPr>
              <w:instrText xml:space="preserve">have been used including fibrosis-4 (Fib-4) score. We aimed to evaluate hepatic fibrosis changes </w:instrText>
            </w:r>
            <w:r w:rsidR="00485C7C">
              <w:rPr>
                <w:color w:val="000000"/>
                <w:sz w:val="15"/>
                <w:szCs w:val="15"/>
                <w:cs/>
              </w:rPr>
              <w:instrText>‎</w:instrText>
            </w:r>
            <w:r w:rsidR="00485C7C">
              <w:rPr>
                <w:color w:val="000000"/>
                <w:sz w:val="15"/>
                <w:szCs w:val="15"/>
              </w:rPr>
              <w:instrText>in patients with chronic hepatitis C after directly acting antiviral therapy.</w:instrText>
            </w:r>
            <w:r w:rsidR="00485C7C">
              <w:rPr>
                <w:color w:val="000000"/>
                <w:sz w:val="15"/>
                <w:szCs w:val="15"/>
                <w:cs/>
              </w:rPr>
              <w:instrText>‎</w:instrText>
            </w:r>
            <w:r w:rsidR="00485C7C">
              <w:rPr>
                <w:color w:val="000000"/>
                <w:sz w:val="15"/>
                <w:szCs w:val="15"/>
              </w:rPr>
              <w:instrText xml:space="preserve"> Patients and Methods: </w:instrText>
            </w:r>
            <w:r w:rsidR="00485C7C">
              <w:rPr>
                <w:color w:val="000000"/>
                <w:sz w:val="15"/>
                <w:szCs w:val="15"/>
                <w:cs/>
              </w:rPr>
              <w:instrText>‎‎‎</w:instrText>
            </w:r>
            <w:r w:rsidR="00485C7C">
              <w:rPr>
                <w:color w:val="000000"/>
                <w:sz w:val="15"/>
                <w:szCs w:val="15"/>
              </w:rPr>
              <w:instrText xml:space="preserve"> </w:instrText>
            </w:r>
            <w:r w:rsidR="00485C7C">
              <w:rPr>
                <w:color w:val="000000"/>
                <w:sz w:val="15"/>
                <w:szCs w:val="15"/>
                <w:cs/>
              </w:rPr>
              <w:instrText>‎</w:instrText>
            </w:r>
            <w:r w:rsidR="00485C7C">
              <w:rPr>
                <w:color w:val="000000"/>
                <w:sz w:val="15"/>
                <w:szCs w:val="15"/>
              </w:rPr>
              <w:instrText xml:space="preserve">162 chronic hepatitis C patients were given directly acting anti-viral drugs (DAAs): sofosbuvir </w:instrText>
            </w:r>
            <w:r w:rsidR="00485C7C">
              <w:rPr>
                <w:color w:val="000000"/>
                <w:sz w:val="15"/>
                <w:szCs w:val="15"/>
                <w:cs/>
              </w:rPr>
              <w:instrText>‎‎</w:instrText>
            </w:r>
            <w:r w:rsidR="00485C7C">
              <w:rPr>
                <w:color w:val="000000"/>
                <w:sz w:val="15"/>
                <w:szCs w:val="15"/>
              </w:rPr>
              <w:instrText xml:space="preserve">(400 mg/d) plus daclatasvir (60 mg/d), with or without Ribavirin (600 mg/d) for 12 weeks. Liver </w:instrText>
            </w:r>
            <w:r w:rsidR="00485C7C">
              <w:rPr>
                <w:color w:val="000000"/>
                <w:sz w:val="15"/>
                <w:szCs w:val="15"/>
                <w:cs/>
              </w:rPr>
              <w:instrText>‎</w:instrText>
            </w:r>
            <w:r w:rsidR="00485C7C">
              <w:rPr>
                <w:color w:val="000000"/>
                <w:sz w:val="15"/>
                <w:szCs w:val="15"/>
              </w:rPr>
              <w:instrText xml:space="preserve">fibrosis was assessed before and 48 weeks after end of treatment (EOT) through evaluation of: 1- </w:instrText>
            </w:r>
            <w:r w:rsidR="00485C7C">
              <w:rPr>
                <w:color w:val="000000"/>
                <w:sz w:val="15"/>
                <w:szCs w:val="15"/>
                <w:cs/>
              </w:rPr>
              <w:instrText>‎</w:instrText>
            </w:r>
            <w:r w:rsidR="00485C7C">
              <w:rPr>
                <w:color w:val="000000"/>
                <w:sz w:val="15"/>
                <w:szCs w:val="15"/>
              </w:rPr>
              <w:instrText xml:space="preserve">Serum tissue inhibitor of metalloproteinases-1 (TIMP-1), 2- Liver fibrosis score (Fib-4 score), 3- </w:instrText>
            </w:r>
            <w:r w:rsidR="00485C7C">
              <w:rPr>
                <w:color w:val="000000"/>
                <w:sz w:val="15"/>
                <w:szCs w:val="15"/>
                <w:cs/>
              </w:rPr>
              <w:instrText>‎</w:instrText>
            </w:r>
            <w:r w:rsidR="00485C7C">
              <w:rPr>
                <w:color w:val="000000"/>
                <w:sz w:val="15"/>
                <w:szCs w:val="15"/>
              </w:rPr>
              <w:instrText>Liver stiffness measurement (LSM) using Shear Wave Elastography (SWE)</w:instrText>
            </w:r>
            <w:r w:rsidR="00485C7C">
              <w:rPr>
                <w:color w:val="000000"/>
                <w:sz w:val="15"/>
                <w:szCs w:val="15"/>
                <w:cs/>
              </w:rPr>
              <w:instrText>‎</w:instrText>
            </w:r>
            <w:r w:rsidR="00485C7C">
              <w:rPr>
                <w:color w:val="000000"/>
                <w:sz w:val="15"/>
                <w:szCs w:val="15"/>
              </w:rPr>
              <w:instrText>.</w:instrText>
            </w:r>
            <w:r w:rsidR="00485C7C">
              <w:rPr>
                <w:color w:val="000000"/>
                <w:sz w:val="15"/>
                <w:szCs w:val="15"/>
                <w:cs/>
              </w:rPr>
              <w:instrText>‎</w:instrText>
            </w:r>
            <w:r w:rsidR="00485C7C">
              <w:rPr>
                <w:color w:val="000000"/>
                <w:sz w:val="15"/>
                <w:szCs w:val="15"/>
              </w:rPr>
              <w:instrText xml:space="preserve"> Results: sustained virological response was achieved in 95.1% of cases at 48 weeks after EOT. Liver </w:instrText>
            </w:r>
            <w:r w:rsidR="00485C7C">
              <w:rPr>
                <w:color w:val="000000"/>
                <w:sz w:val="15"/>
                <w:szCs w:val="15"/>
                <w:cs/>
              </w:rPr>
              <w:instrText>‎</w:instrText>
            </w:r>
            <w:r w:rsidR="00485C7C">
              <w:rPr>
                <w:color w:val="000000"/>
                <w:sz w:val="15"/>
                <w:szCs w:val="15"/>
              </w:rPr>
              <w:instrText xml:space="preserve">fibrosis was improved at 48 weeks after EOT as evidenced by significant decline in serum level of </w:instrText>
            </w:r>
            <w:r w:rsidR="00485C7C">
              <w:rPr>
                <w:color w:val="000000"/>
                <w:sz w:val="15"/>
                <w:szCs w:val="15"/>
                <w:cs/>
              </w:rPr>
              <w:instrText>‎</w:instrText>
            </w:r>
            <w:r w:rsidR="00485C7C">
              <w:rPr>
                <w:color w:val="000000"/>
                <w:sz w:val="15"/>
                <w:szCs w:val="15"/>
              </w:rPr>
              <w:instrText xml:space="preserve">TIMP-1, significant improvement in Fib-4 score, and significant decline in LSM values using </w:instrText>
            </w:r>
            <w:r w:rsidR="00485C7C">
              <w:rPr>
                <w:color w:val="000000"/>
                <w:sz w:val="15"/>
                <w:szCs w:val="15"/>
                <w:cs/>
              </w:rPr>
              <w:instrText>‎</w:instrText>
            </w:r>
            <w:r w:rsidR="00485C7C">
              <w:rPr>
                <w:color w:val="000000"/>
                <w:sz w:val="15"/>
                <w:szCs w:val="15"/>
              </w:rPr>
              <w:instrText xml:space="preserve">SWE. Multivariate regression analysis showed that higher baseline ALT level and higher </w:instrText>
            </w:r>
            <w:r w:rsidR="00485C7C">
              <w:rPr>
                <w:color w:val="000000"/>
                <w:sz w:val="15"/>
                <w:szCs w:val="15"/>
                <w:cs/>
              </w:rPr>
              <w:instrText>‎</w:instrText>
            </w:r>
            <w:r w:rsidR="00485C7C">
              <w:rPr>
                <w:color w:val="000000"/>
                <w:sz w:val="15"/>
                <w:szCs w:val="15"/>
              </w:rPr>
              <w:instrText xml:space="preserve">baseline liver fibrosis score were predictive of liver stiffness. Conclusion:DAAs therapy showed not only high success rate in HCV eradication (95.1%), </w:instrText>
            </w:r>
            <w:r w:rsidR="00485C7C">
              <w:rPr>
                <w:color w:val="000000"/>
                <w:sz w:val="15"/>
                <w:szCs w:val="15"/>
                <w:cs/>
              </w:rPr>
              <w:instrText>‎</w:instrText>
            </w:r>
            <w:r w:rsidR="00485C7C">
              <w:rPr>
                <w:color w:val="000000"/>
                <w:sz w:val="15"/>
                <w:szCs w:val="15"/>
              </w:rPr>
              <w:instrText>but also lead to significant improvement in liver fibrosis</w:instrText>
            </w:r>
            <w:r w:rsidR="00485C7C">
              <w:rPr>
                <w:color w:val="000000"/>
                <w:sz w:val="15"/>
                <w:szCs w:val="15"/>
                <w:cs/>
              </w:rPr>
              <w:instrText>‎</w:instrText>
            </w:r>
            <w:r w:rsidR="00485C7C">
              <w:rPr>
                <w:color w:val="000000"/>
                <w:sz w:val="15"/>
                <w:szCs w:val="15"/>
              </w:rPr>
              <w:instrText xml:space="preserve"> </w:instrText>
            </w:r>
            <w:r w:rsidR="00485C7C">
              <w:rPr>
                <w:color w:val="000000"/>
                <w:sz w:val="15"/>
                <w:szCs w:val="15"/>
                <w:cs/>
              </w:rPr>
              <w:instrText>‎‎‎‎‎‎‎‎</w:instrText>
            </w:r>
            <w:r w:rsidR="00485C7C">
              <w:rPr>
                <w:color w:val="000000"/>
                <w:sz w:val="15"/>
                <w:szCs w:val="15"/>
              </w:rPr>
              <w:instrText xml:space="preserve">.","container-title":"Afro-Egyptian Journal of Infectious and Endemic Diseases","DOI":"10.21608/aeji.2022.108490.1194","ISSN":"2090-7613","issue":"1","page":"92-98","publisher":"Zagazig University, Faculty of Medicine, Hepatology, Gastroenterology, Infectious and Tropical Diseases Department","source":"aeji.journals.ekb.eg","title":"Non-invasive Evaluation of Liver Fibrosis Changes in Patients with Chronic </w:instrText>
            </w:r>
            <w:r w:rsidR="00485C7C">
              <w:rPr>
                <w:color w:val="000000"/>
                <w:sz w:val="15"/>
                <w:szCs w:val="15"/>
                <w:cs/>
              </w:rPr>
              <w:instrText>‎</w:instrText>
            </w:r>
            <w:r w:rsidR="00485C7C">
              <w:rPr>
                <w:color w:val="000000"/>
                <w:sz w:val="15"/>
                <w:szCs w:val="15"/>
              </w:rPr>
              <w:instrText xml:space="preserve">Hepatitis C after Directly Acting Antiviral Drugs","URL":"https://aeji.journals.ekb.eg/article_219322.html","volume":"12","author":[{"family":"Hassanin","given":"Taha M."},{"family":"Ibraheem","given":"Hala"},{"family":"Makhlouf","given":"Madeha"},{"family":"Mahmoud","given":"Waleed"},{"family":"El-Ameen","given":"Nadia"},{"family":"Kamal","given":"Enas"}],"accessed":{"date-parts":[["2025",8,21]]},"issued":{"date-parts":[["2022",3,1]]}}}],"schema":"https://github.com/citation-style-language/schema/raw/master/csl-citation.json"} </w:instrText>
            </w:r>
            <w:r w:rsidR="003350B6">
              <w:rPr>
                <w:color w:val="000000"/>
                <w:sz w:val="15"/>
                <w:szCs w:val="15"/>
              </w:rPr>
              <w:fldChar w:fldCharType="separate"/>
            </w:r>
            <w:r w:rsidR="00485C7C" w:rsidRPr="00485C7C">
              <w:rPr>
                <w:sz w:val="15"/>
                <w:vertAlign w:val="superscript"/>
              </w:rPr>
              <w:t>48</w:t>
            </w:r>
            <w:r w:rsidR="003350B6">
              <w:rPr>
                <w:color w:val="000000"/>
                <w:sz w:val="15"/>
                <w:szCs w:val="15"/>
              </w:rPr>
              <w:fldChar w:fldCharType="end"/>
            </w:r>
          </w:p>
        </w:tc>
        <w:tc>
          <w:tcPr>
            <w:tcW w:w="1276" w:type="dxa"/>
            <w:tcBorders>
              <w:top w:val="nil"/>
              <w:left w:val="single" w:sz="8" w:space="0" w:color="auto"/>
              <w:bottom w:val="single" w:sz="4" w:space="0" w:color="000000"/>
              <w:right w:val="single" w:sz="8" w:space="0" w:color="000000"/>
            </w:tcBorders>
            <w:noWrap/>
            <w:vAlign w:val="center"/>
          </w:tcPr>
          <w:p w14:paraId="1AF0C171" w14:textId="0685E158" w:rsidR="00116234" w:rsidRPr="00131373" w:rsidRDefault="00F75BC0" w:rsidP="00F72FC0">
            <w:pPr>
              <w:jc w:val="center"/>
              <w:rPr>
                <w:color w:val="000000"/>
                <w:sz w:val="15"/>
                <w:szCs w:val="15"/>
              </w:rPr>
            </w:pPr>
            <w:r w:rsidRPr="00131373">
              <w:rPr>
                <w:color w:val="000000"/>
                <w:sz w:val="15"/>
                <w:szCs w:val="15"/>
              </w:rPr>
              <w:t>Prospective</w:t>
            </w:r>
          </w:p>
        </w:tc>
        <w:tc>
          <w:tcPr>
            <w:tcW w:w="709" w:type="dxa"/>
            <w:tcBorders>
              <w:top w:val="nil"/>
              <w:left w:val="nil"/>
              <w:bottom w:val="single" w:sz="4" w:space="0" w:color="000000"/>
              <w:right w:val="single" w:sz="4" w:space="0" w:color="000000"/>
            </w:tcBorders>
            <w:noWrap/>
            <w:vAlign w:val="center"/>
          </w:tcPr>
          <w:p w14:paraId="2139BA6F"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3EB1F882"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4C97784E"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nil"/>
              <w:left w:val="nil"/>
              <w:bottom w:val="single" w:sz="4" w:space="0" w:color="000000"/>
              <w:right w:val="single" w:sz="8" w:space="0" w:color="000000"/>
            </w:tcBorders>
            <w:noWrap/>
            <w:vAlign w:val="center"/>
          </w:tcPr>
          <w:p w14:paraId="69EF2372"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nil"/>
              <w:left w:val="nil"/>
              <w:bottom w:val="single" w:sz="4" w:space="0" w:color="000000"/>
              <w:right w:val="single" w:sz="4" w:space="0" w:color="000000"/>
            </w:tcBorders>
            <w:noWrap/>
            <w:vAlign w:val="center"/>
          </w:tcPr>
          <w:p w14:paraId="162FC7D3"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2" w:type="dxa"/>
            <w:tcBorders>
              <w:top w:val="nil"/>
              <w:left w:val="nil"/>
              <w:bottom w:val="single" w:sz="4" w:space="0" w:color="000000"/>
              <w:right w:val="single" w:sz="8" w:space="0" w:color="000000"/>
            </w:tcBorders>
            <w:noWrap/>
            <w:vAlign w:val="center"/>
          </w:tcPr>
          <w:p w14:paraId="4211A359"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7" w:type="dxa"/>
            <w:tcBorders>
              <w:top w:val="nil"/>
              <w:left w:val="nil"/>
              <w:bottom w:val="single" w:sz="4" w:space="0" w:color="000000"/>
              <w:right w:val="single" w:sz="4" w:space="0" w:color="000000"/>
            </w:tcBorders>
            <w:noWrap/>
            <w:vAlign w:val="center"/>
          </w:tcPr>
          <w:p w14:paraId="39B461ED"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nil"/>
              <w:left w:val="nil"/>
              <w:bottom w:val="single" w:sz="4" w:space="0" w:color="000000"/>
              <w:right w:val="single" w:sz="4" w:space="0" w:color="000000"/>
            </w:tcBorders>
            <w:noWrap/>
            <w:vAlign w:val="center"/>
          </w:tcPr>
          <w:p w14:paraId="581D9DB5"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03381614"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19B3B145" w14:textId="77777777" w:rsidR="00116234" w:rsidRPr="00131373" w:rsidRDefault="00116234" w:rsidP="00485C7C">
            <w:pPr>
              <w:jc w:val="center"/>
              <w:rPr>
                <w:color w:val="000000"/>
                <w:sz w:val="15"/>
                <w:szCs w:val="15"/>
              </w:rPr>
            </w:pPr>
            <w:r w:rsidRPr="00131373">
              <w:rPr>
                <w:color w:val="000000"/>
                <w:sz w:val="15"/>
                <w:szCs w:val="15"/>
              </w:rPr>
              <w:t>7</w:t>
            </w:r>
          </w:p>
        </w:tc>
        <w:tc>
          <w:tcPr>
            <w:tcW w:w="1418" w:type="dxa"/>
            <w:tcBorders>
              <w:top w:val="nil"/>
              <w:left w:val="nil"/>
              <w:bottom w:val="single" w:sz="4" w:space="0" w:color="000000"/>
              <w:right w:val="single" w:sz="8" w:space="0" w:color="000000"/>
            </w:tcBorders>
            <w:noWrap/>
            <w:vAlign w:val="center"/>
          </w:tcPr>
          <w:p w14:paraId="1DA459CB" w14:textId="21EC3DED" w:rsidR="00116234" w:rsidRPr="00131373" w:rsidRDefault="00AA7D9A" w:rsidP="00485C7C">
            <w:pPr>
              <w:jc w:val="center"/>
              <w:rPr>
                <w:color w:val="000000"/>
                <w:sz w:val="15"/>
                <w:szCs w:val="15"/>
              </w:rPr>
            </w:pPr>
            <w:r>
              <w:rPr>
                <w:color w:val="000000"/>
                <w:sz w:val="15"/>
                <w:szCs w:val="15"/>
              </w:rPr>
              <w:t>High</w:t>
            </w:r>
          </w:p>
        </w:tc>
      </w:tr>
      <w:tr w:rsidR="00116234" w:rsidRPr="00131373" w14:paraId="517C56EB" w14:textId="77777777" w:rsidTr="00F72FC0">
        <w:trPr>
          <w:trHeight w:val="300"/>
        </w:trPr>
        <w:tc>
          <w:tcPr>
            <w:tcW w:w="1823" w:type="dxa"/>
            <w:tcBorders>
              <w:top w:val="nil"/>
              <w:left w:val="single" w:sz="8" w:space="0" w:color="auto"/>
              <w:bottom w:val="single" w:sz="4" w:space="0" w:color="000000"/>
              <w:right w:val="single" w:sz="8" w:space="0" w:color="auto"/>
            </w:tcBorders>
            <w:noWrap/>
            <w:vAlign w:val="center"/>
          </w:tcPr>
          <w:p w14:paraId="1BBAEBD6" w14:textId="4996000E" w:rsidR="00116234" w:rsidRPr="00131373" w:rsidRDefault="00116234" w:rsidP="00F72FC0">
            <w:pPr>
              <w:jc w:val="center"/>
              <w:rPr>
                <w:color w:val="000000"/>
                <w:sz w:val="15"/>
                <w:szCs w:val="15"/>
              </w:rPr>
            </w:pPr>
            <w:r w:rsidRPr="00131373">
              <w:rPr>
                <w:color w:val="000000"/>
                <w:sz w:val="15"/>
                <w:szCs w:val="15"/>
              </w:rPr>
              <w:t>Peschel et al. (2021)</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{"citationID":"PgYns9PO","properties":{"formattedCitation":"\\super 49\\nosupersub{}","plainCitation":"49","noteIndex":0},"citationItems":[{"id":1565,"uris":["http://zotero.org/users/5317696/items/5FWI7FI9"],"itemData":{"id":1565,"type":"article-journal","abstract":"BACKGROUND: A rapid decline of liver stiffness (LS) was detected by non-invasive methods in patients with chronic hepatitis C (HCV) infection during treatment with direct-acting antivirals (DAA). OBJECTIVE: To investigate the influence of inflammation on LS. METHODS: We prospectively examined LS by sonographic shear-wave elastography in 217 patients during DAA therapy from treatment initiation (BL) to 12 weeks after end of therapy (SVR12). Demographic data, laboratory findings and serum levels of cytokines were determined. RESULTS: Values of LS decreased from 1.86 m/s to 1.68 m/s (p = 0.01) which was most pronounced in patients who had F4 fibrosis at BL (3.27 m/s to 2.37 m/s; p &lt; 0.001). Initially elevated values of aminotransferases, ferritin, IgG (p &lt; 0.001 each) and international normalized ratio (p &lt; 0.003) declined, thrombocyte count (p = 0.007) increased. Correlations of these laboratory parameters with BL levels of LS measurement (LSM) were most apparent in patients with F1-F3 fibrosis. Tumor necrosis factor (TNF)-α (p = 0.031), interleukin (IL)-10 (p = 0.005) and interferon y inducible protein (IP)-10 (p &lt; 0.001) decreased in parallel with LSM under DAA therapy and corelated with BL values. CONCLUSION: Decrease of systemic inflammatory parameters correlated with LSM under DAA therapy. We conclude that regression of LSM is attributable to the decline of inflammation rather than reflecting fibrosis.","container-title":"Clinical Hemorheology and Microcirculation","DOI":"10.3233/CH-211193","ISSN":"13860291, 18758622","issue":"4","journalAbbreviation":"CH","language":"en","page":"541-555","source":"DOI.org (Crossref)","title":"Liver stiffness assessed by shear-wave elastography declines in parallel with immunoregulatory proteins in patients with chronic HCV infection during DAA therapy","URL":"https://journals.sagepub.com/doi/full/10.3233/CH-211193","volume":"79","author":[{"family":"Peschel","given":"Georg"},{"family":"Grimm","given":"Jonathan"},{"family":"Buechler","given":"Christa"},{"family":"Gunckel","given":"Manuela"},{"family":"Pollinger","given":"Kirstin"},{"family":"Aschenbrenner","given":"Elisabeth"},{"family":"Kammerer","given":"Sylvia"},{"family":"Jung","given":"Ernst-Michael"},{"family":"Haimerl","given":"Michael"},{"family":"Werner","given":"Jens"},{"family":"Müller","given":"Martina"},{"family":"Weigand","given":"Kilian"}],"accessed":{"date-parts":[["2025",5,15]]},"issued":{"date-parts":[["2021",12,27]]}}}],"schema":"https://github.com/citation-style-language/schema/raw/master/csl-citation.json"} </w:instrText>
            </w:r>
            <w:r w:rsidR="003350B6">
              <w:rPr>
                <w:color w:val="000000"/>
                <w:sz w:val="15"/>
                <w:szCs w:val="15"/>
              </w:rPr>
              <w:fldChar w:fldCharType="separate"/>
            </w:r>
            <w:r w:rsidR="00485C7C" w:rsidRPr="00485C7C">
              <w:rPr>
                <w:sz w:val="15"/>
                <w:vertAlign w:val="superscript"/>
              </w:rPr>
              <w:t>49</w:t>
            </w:r>
            <w:r w:rsidR="003350B6">
              <w:rPr>
                <w:color w:val="000000"/>
                <w:sz w:val="15"/>
                <w:szCs w:val="15"/>
              </w:rPr>
              <w:fldChar w:fldCharType="end"/>
            </w:r>
          </w:p>
        </w:tc>
        <w:tc>
          <w:tcPr>
            <w:tcW w:w="1276" w:type="dxa"/>
            <w:tcBorders>
              <w:top w:val="nil"/>
              <w:left w:val="single" w:sz="8" w:space="0" w:color="auto"/>
              <w:bottom w:val="single" w:sz="4" w:space="0" w:color="000000"/>
              <w:right w:val="single" w:sz="8" w:space="0" w:color="000000"/>
            </w:tcBorders>
            <w:noWrap/>
            <w:vAlign w:val="center"/>
          </w:tcPr>
          <w:p w14:paraId="6CF61F7F" w14:textId="6982C4CB" w:rsidR="00116234" w:rsidRPr="00131373" w:rsidRDefault="00F75BC0" w:rsidP="00F72FC0">
            <w:pPr>
              <w:jc w:val="center"/>
              <w:rPr>
                <w:color w:val="000000"/>
                <w:sz w:val="15"/>
                <w:szCs w:val="15"/>
              </w:rPr>
            </w:pPr>
            <w:r w:rsidRPr="00131373">
              <w:rPr>
                <w:color w:val="000000"/>
                <w:sz w:val="15"/>
                <w:szCs w:val="15"/>
              </w:rPr>
              <w:t>Prospective Single centre</w:t>
            </w:r>
          </w:p>
        </w:tc>
        <w:tc>
          <w:tcPr>
            <w:tcW w:w="709" w:type="dxa"/>
            <w:tcBorders>
              <w:top w:val="nil"/>
              <w:left w:val="nil"/>
              <w:bottom w:val="single" w:sz="4" w:space="0" w:color="000000"/>
              <w:right w:val="single" w:sz="4" w:space="0" w:color="000000"/>
            </w:tcBorders>
            <w:noWrap/>
            <w:vAlign w:val="center"/>
          </w:tcPr>
          <w:p w14:paraId="3923322A"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164845CF"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DAAD3CA"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nil"/>
              <w:left w:val="nil"/>
              <w:bottom w:val="single" w:sz="4" w:space="0" w:color="000000"/>
              <w:right w:val="single" w:sz="8" w:space="0" w:color="000000"/>
            </w:tcBorders>
            <w:noWrap/>
            <w:vAlign w:val="center"/>
          </w:tcPr>
          <w:p w14:paraId="4D8BD20F"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nil"/>
              <w:left w:val="nil"/>
              <w:bottom w:val="single" w:sz="4" w:space="0" w:color="000000"/>
              <w:right w:val="single" w:sz="4" w:space="0" w:color="000000"/>
            </w:tcBorders>
            <w:noWrap/>
            <w:vAlign w:val="center"/>
          </w:tcPr>
          <w:p w14:paraId="08067606"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2" w:type="dxa"/>
            <w:tcBorders>
              <w:top w:val="nil"/>
              <w:left w:val="nil"/>
              <w:bottom w:val="single" w:sz="4" w:space="0" w:color="000000"/>
              <w:right w:val="single" w:sz="8" w:space="0" w:color="000000"/>
            </w:tcBorders>
            <w:noWrap/>
            <w:vAlign w:val="center"/>
          </w:tcPr>
          <w:p w14:paraId="7AEA7F38"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7" w:type="dxa"/>
            <w:tcBorders>
              <w:top w:val="nil"/>
              <w:left w:val="nil"/>
              <w:bottom w:val="single" w:sz="4" w:space="0" w:color="000000"/>
              <w:right w:val="single" w:sz="4" w:space="0" w:color="000000"/>
            </w:tcBorders>
            <w:noWrap/>
            <w:vAlign w:val="center"/>
          </w:tcPr>
          <w:p w14:paraId="111F8CA5"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nil"/>
              <w:left w:val="nil"/>
              <w:bottom w:val="single" w:sz="4" w:space="0" w:color="000000"/>
              <w:right w:val="single" w:sz="4" w:space="0" w:color="000000"/>
            </w:tcBorders>
            <w:noWrap/>
            <w:vAlign w:val="center"/>
          </w:tcPr>
          <w:p w14:paraId="02634ED1"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36D3563B"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649FF904" w14:textId="77777777" w:rsidR="00116234" w:rsidRPr="00131373" w:rsidRDefault="00116234" w:rsidP="00485C7C">
            <w:pPr>
              <w:jc w:val="center"/>
              <w:rPr>
                <w:color w:val="000000"/>
                <w:sz w:val="15"/>
                <w:szCs w:val="15"/>
              </w:rPr>
            </w:pPr>
            <w:r w:rsidRPr="00131373">
              <w:rPr>
                <w:color w:val="000000"/>
                <w:sz w:val="15"/>
                <w:szCs w:val="15"/>
              </w:rPr>
              <w:t>6</w:t>
            </w:r>
          </w:p>
        </w:tc>
        <w:tc>
          <w:tcPr>
            <w:tcW w:w="1418" w:type="dxa"/>
            <w:tcBorders>
              <w:top w:val="nil"/>
              <w:left w:val="nil"/>
              <w:bottom w:val="single" w:sz="4" w:space="0" w:color="000000"/>
              <w:right w:val="single" w:sz="8" w:space="0" w:color="000000"/>
            </w:tcBorders>
            <w:noWrap/>
            <w:vAlign w:val="center"/>
          </w:tcPr>
          <w:p w14:paraId="6820E84A" w14:textId="7F107061" w:rsidR="00116234" w:rsidRPr="00131373" w:rsidRDefault="00AA7D9A" w:rsidP="00485C7C">
            <w:pPr>
              <w:jc w:val="center"/>
              <w:rPr>
                <w:color w:val="000000"/>
                <w:sz w:val="15"/>
                <w:szCs w:val="15"/>
              </w:rPr>
            </w:pPr>
            <w:r w:rsidRPr="00AA7D9A">
              <w:rPr>
                <w:color w:val="000000"/>
                <w:sz w:val="15"/>
                <w:szCs w:val="15"/>
              </w:rPr>
              <w:t>Moderate</w:t>
            </w:r>
          </w:p>
        </w:tc>
      </w:tr>
      <w:tr w:rsidR="00116234" w:rsidRPr="00131373" w14:paraId="1E3338B2" w14:textId="77777777" w:rsidTr="00F72FC0">
        <w:trPr>
          <w:trHeight w:val="300"/>
        </w:trPr>
        <w:tc>
          <w:tcPr>
            <w:tcW w:w="1823" w:type="dxa"/>
            <w:tcBorders>
              <w:top w:val="nil"/>
              <w:left w:val="single" w:sz="8" w:space="0" w:color="auto"/>
              <w:bottom w:val="single" w:sz="4" w:space="0" w:color="000000"/>
              <w:right w:val="single" w:sz="8" w:space="0" w:color="auto"/>
            </w:tcBorders>
            <w:noWrap/>
            <w:vAlign w:val="center"/>
          </w:tcPr>
          <w:p w14:paraId="0E1D5D11" w14:textId="36BD2CE5" w:rsidR="00116234" w:rsidRPr="00131373" w:rsidRDefault="00116234" w:rsidP="00F72FC0">
            <w:pPr>
              <w:jc w:val="center"/>
              <w:rPr>
                <w:color w:val="000000"/>
                <w:sz w:val="15"/>
                <w:szCs w:val="15"/>
              </w:rPr>
            </w:pPr>
            <w:r w:rsidRPr="00131373">
              <w:rPr>
                <w:color w:val="000000"/>
                <w:sz w:val="15"/>
                <w:szCs w:val="15"/>
              </w:rPr>
              <w:t>Nicoletti et al. (2023)</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{"citationID":"xAnyakDO","properties":{"formattedCitation":"\\super 50\\nosupersub{}","plainCitation":"50","noteIndex":0},"citationItems":[{"id":1569,"uris":["http://zotero.org/users/5317696/items/5F38RBHI"],"itemData":{"id":1569,"type":"article-journal","abstract":"Background: Direct acting antivirals(DAAs) are effective in reducing inﬂammatory ant ﬁbrotic markers in patients with chronic hepatitis C virus(HCV) infection and to prevent liver-related complications. Twodimensional shear wave elastography(2D-SWE) is an effective technique for the assessment of liver ﬁbrosis. Aim: To evaluate changes in liver stiffness(LS) in HCV cirrhotic patients undergoing DAA therapy and to identify non-invasive parameters that predict the occurrence of liver-related events.\nMethods: We enrolled 229 patients who received DAAs between January 2015 and October 2018. Ultrasound parameters and laboratory data were assessed before treatment and 24(T1) and 48(T2) weeks after end of treatment. Patients were followed up every 6 months to evaluate the development of HCC and other liver related complications. Multiple Cox regression analysis was used to determine parameters associated with the development of complications.\nResults: Model for End-stage Liver Disease(MELD) score(HR 1.16; CI 95% 1.01–1.33; p = 0.026) and a change in LS at T2(1-year Delta LS) &lt; 20%(HR 2.98; CI 95% 1.01–8.1; p = 0.03) were independently associated with HCC risk. One-year Delta-LS &lt;20% was independently associated with the development of ascites(HR 5.08; CI 95% 1.03 - 25.14; p = 0.04).\nConclusions: Dynamic changes of 2D-SWE-measured LS after DAA therapy may be a useful tool to identify patients who are at higher risk of liver related complications. © 2023 The Authors. Published by Elsevier Ltd on behalf of Editrice Gastroenterologica Italiana S.r.l. This is an open access article under the CC BY license (http://creativecommons.org/licenses/by/4.0/)","container-title":"Digestive and Liver Disease","DOI":"10.1016/j.dld.2023.04.018","ISSN":"15908658","issue":"11","journalAbbreviation":"Digestive and Liver Disease","language":"en","page":"1472-1479","source":"DOI.org (Crossref)","title":"Dynamics of liver stiffness predicts complications in patients with HCV related cirrhosis treated with direct-acting antivirals","URL":"https://linkinghub.elsevier.com/retrieve/pii/S1590865823005790","volume":"55","author":[{"family":"Nicoletti","given":"Alberto"},{"family":"Ainora","given":"Maria Elena"},{"family":"Cintoni","given":"Marco"},{"family":"Garcovich","given":"Matteo"},{"family":"Funaro","given":"Barbara"},{"family":"Pecere","given":"Silvia"},{"family":"De Siena","given":"Martina"},{"family":"Santopaolo","given":"Francesco"},{"family":"Ponziani","given":"Francesca Romana"},{"family":"Riccardi","given":"Laura"},{"family":"Grieco","given":"Antonio"},{"family":"Pompili","given":"Maurizio"},{"family":"Gasbarrini","given":"Antonio"},{"family":"Zocco","given":"Maria Assunta"}],"accessed":{"date-parts":[["2025",5,15]]},"issued":{"date-parts":[["2023",11]]}}}],"schema":"https://github.com/citation-style-language/schema/raw/master/csl-citation.json"} </w:instrText>
            </w:r>
            <w:r w:rsidR="003350B6">
              <w:rPr>
                <w:color w:val="000000"/>
                <w:sz w:val="15"/>
                <w:szCs w:val="15"/>
              </w:rPr>
              <w:fldChar w:fldCharType="separate"/>
            </w:r>
            <w:r w:rsidR="00485C7C" w:rsidRPr="00485C7C">
              <w:rPr>
                <w:sz w:val="15"/>
                <w:vertAlign w:val="superscript"/>
              </w:rPr>
              <w:t>50</w:t>
            </w:r>
            <w:r w:rsidR="003350B6">
              <w:rPr>
                <w:color w:val="000000"/>
                <w:sz w:val="15"/>
                <w:szCs w:val="15"/>
              </w:rPr>
              <w:fldChar w:fldCharType="end"/>
            </w:r>
          </w:p>
        </w:tc>
        <w:tc>
          <w:tcPr>
            <w:tcW w:w="1276" w:type="dxa"/>
            <w:tcBorders>
              <w:top w:val="nil"/>
              <w:left w:val="single" w:sz="8" w:space="0" w:color="auto"/>
              <w:bottom w:val="single" w:sz="4" w:space="0" w:color="000000"/>
              <w:right w:val="single" w:sz="8" w:space="0" w:color="000000"/>
            </w:tcBorders>
            <w:noWrap/>
            <w:vAlign w:val="center"/>
          </w:tcPr>
          <w:p w14:paraId="178820EE" w14:textId="3F7A5D56" w:rsidR="00116234" w:rsidRPr="00131373" w:rsidRDefault="00C87882" w:rsidP="00F72FC0">
            <w:pPr>
              <w:jc w:val="center"/>
              <w:rPr>
                <w:color w:val="000000"/>
                <w:sz w:val="15"/>
                <w:szCs w:val="15"/>
              </w:rPr>
            </w:pPr>
            <w:r w:rsidRPr="00131373">
              <w:rPr>
                <w:color w:val="000000"/>
                <w:sz w:val="15"/>
                <w:szCs w:val="15"/>
              </w:rPr>
              <w:t>Prospective</w:t>
            </w:r>
          </w:p>
        </w:tc>
        <w:tc>
          <w:tcPr>
            <w:tcW w:w="709" w:type="dxa"/>
            <w:tcBorders>
              <w:top w:val="nil"/>
              <w:left w:val="nil"/>
              <w:bottom w:val="single" w:sz="4" w:space="0" w:color="000000"/>
              <w:right w:val="single" w:sz="4" w:space="0" w:color="000000"/>
            </w:tcBorders>
            <w:noWrap/>
            <w:vAlign w:val="center"/>
          </w:tcPr>
          <w:p w14:paraId="5C641670"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06BDA793"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34D2608F"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nil"/>
              <w:left w:val="nil"/>
              <w:bottom w:val="single" w:sz="4" w:space="0" w:color="000000"/>
              <w:right w:val="single" w:sz="8" w:space="0" w:color="000000"/>
            </w:tcBorders>
            <w:noWrap/>
            <w:vAlign w:val="center"/>
          </w:tcPr>
          <w:p w14:paraId="05CF2399"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nil"/>
              <w:left w:val="nil"/>
              <w:bottom w:val="single" w:sz="4" w:space="0" w:color="000000"/>
              <w:right w:val="single" w:sz="4" w:space="0" w:color="000000"/>
            </w:tcBorders>
            <w:noWrap/>
            <w:vAlign w:val="center"/>
          </w:tcPr>
          <w:p w14:paraId="7695494B"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2" w:type="dxa"/>
            <w:tcBorders>
              <w:top w:val="nil"/>
              <w:left w:val="nil"/>
              <w:bottom w:val="single" w:sz="4" w:space="0" w:color="000000"/>
              <w:right w:val="single" w:sz="8" w:space="0" w:color="000000"/>
            </w:tcBorders>
            <w:noWrap/>
            <w:vAlign w:val="center"/>
          </w:tcPr>
          <w:p w14:paraId="5829C299"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37" w:type="dxa"/>
            <w:tcBorders>
              <w:top w:val="nil"/>
              <w:left w:val="nil"/>
              <w:bottom w:val="single" w:sz="4" w:space="0" w:color="000000"/>
              <w:right w:val="single" w:sz="4" w:space="0" w:color="000000"/>
            </w:tcBorders>
            <w:noWrap/>
            <w:vAlign w:val="center"/>
          </w:tcPr>
          <w:p w14:paraId="551B4744"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nil"/>
              <w:left w:val="nil"/>
              <w:bottom w:val="single" w:sz="4" w:space="0" w:color="000000"/>
              <w:right w:val="single" w:sz="4" w:space="0" w:color="000000"/>
            </w:tcBorders>
            <w:noWrap/>
            <w:vAlign w:val="center"/>
          </w:tcPr>
          <w:p w14:paraId="1289D3D2"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4C8FEA24"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48165286" w14:textId="77777777" w:rsidR="00116234" w:rsidRPr="00131373" w:rsidRDefault="00116234" w:rsidP="00485C7C">
            <w:pPr>
              <w:jc w:val="center"/>
              <w:rPr>
                <w:color w:val="000000"/>
                <w:sz w:val="15"/>
                <w:szCs w:val="15"/>
              </w:rPr>
            </w:pPr>
            <w:r w:rsidRPr="00131373">
              <w:rPr>
                <w:color w:val="000000"/>
                <w:sz w:val="15"/>
                <w:szCs w:val="15"/>
              </w:rPr>
              <w:t>8</w:t>
            </w:r>
          </w:p>
        </w:tc>
        <w:tc>
          <w:tcPr>
            <w:tcW w:w="1418" w:type="dxa"/>
            <w:tcBorders>
              <w:top w:val="nil"/>
              <w:left w:val="nil"/>
              <w:bottom w:val="single" w:sz="4" w:space="0" w:color="000000"/>
              <w:right w:val="single" w:sz="8" w:space="0" w:color="000000"/>
            </w:tcBorders>
            <w:noWrap/>
            <w:vAlign w:val="center"/>
          </w:tcPr>
          <w:p w14:paraId="1B68CAA7" w14:textId="34B43DCA" w:rsidR="00116234" w:rsidRPr="00131373" w:rsidRDefault="00AA7D9A" w:rsidP="00485C7C">
            <w:pPr>
              <w:jc w:val="center"/>
              <w:rPr>
                <w:color w:val="000000"/>
                <w:sz w:val="15"/>
                <w:szCs w:val="15"/>
              </w:rPr>
            </w:pPr>
            <w:r>
              <w:rPr>
                <w:color w:val="000000"/>
                <w:sz w:val="15"/>
                <w:szCs w:val="15"/>
              </w:rPr>
              <w:t>High</w:t>
            </w:r>
          </w:p>
        </w:tc>
      </w:tr>
      <w:tr w:rsidR="00116234" w:rsidRPr="00131373" w14:paraId="05033B0C" w14:textId="77777777" w:rsidTr="00F72FC0">
        <w:trPr>
          <w:trHeight w:val="300"/>
        </w:trPr>
        <w:tc>
          <w:tcPr>
            <w:tcW w:w="1823" w:type="dxa"/>
            <w:tcBorders>
              <w:top w:val="nil"/>
              <w:left w:val="single" w:sz="8" w:space="0" w:color="auto"/>
              <w:bottom w:val="single" w:sz="4" w:space="0" w:color="000000"/>
              <w:right w:val="single" w:sz="8" w:space="0" w:color="auto"/>
            </w:tcBorders>
            <w:noWrap/>
            <w:vAlign w:val="center"/>
          </w:tcPr>
          <w:p w14:paraId="1F238F45" w14:textId="1A58B9B7" w:rsidR="00116234" w:rsidRPr="00131373" w:rsidRDefault="00116234" w:rsidP="00F72FC0">
            <w:pPr>
              <w:jc w:val="center"/>
              <w:rPr>
                <w:color w:val="000000"/>
                <w:sz w:val="15"/>
                <w:szCs w:val="15"/>
              </w:rPr>
            </w:pPr>
            <w:r w:rsidRPr="00131373">
              <w:rPr>
                <w:color w:val="000000"/>
                <w:sz w:val="15"/>
                <w:szCs w:val="15"/>
              </w:rPr>
              <w:t>Al-</w:t>
            </w:r>
            <w:proofErr w:type="spellStart"/>
            <w:r w:rsidRPr="00131373">
              <w:rPr>
                <w:color w:val="000000"/>
                <w:sz w:val="15"/>
                <w:szCs w:val="15"/>
              </w:rPr>
              <w:t>Khattib</w:t>
            </w:r>
            <w:proofErr w:type="spellEnd"/>
            <w:r w:rsidRPr="00131373">
              <w:rPr>
                <w:color w:val="000000"/>
                <w:sz w:val="15"/>
                <w:szCs w:val="15"/>
              </w:rPr>
              <w:t xml:space="preserve"> et al. (2019)</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{"citationID":"OQRFcRoV","properties":{"formattedCitation":"\\super 51\\nosupersub{}","plainCitation":"51","noteIndex":0},"citationItems":[{"id":1580,"uris":["http://zotero.org/users/5317696/items/7DMGXA8F"],"itemData":{"id":1580,"type":"article-journal","abstract":"Background Accurate evaluation of the degree of liver fibrosis in patients with chronic liver diseases is crucial to make therapeutic decisions and to determine the prognosis of liver disease and also the protocol of further follow-up. Multiple noninvasive methods have been used successfully in the prediction of fibrosis; however, early changes in noninvasive parameters of hepatic fibrosis after effective antiviral therapy are still not well unknown. The aim of the paper was to evaluate early changes in the hepatic fibrosis-related parameters in patients with chronic hepatitis C virus (HCV) infection using shear wave elastography (pSWE) and serum parameters [aspartate aminotransferase-platelet ratio index (APRI) and fibrosis-4 score (FIB4)] before and 24 weeks after sofosbuvir-based antiviral therapy. Materials and methods This is a prospective cohort study that included 109 Egyptian patients with chronic hepatitis C. pSWE values were recorded as well as APRI and FIB4 scores were calculated at baseline and at 12 and 24 weeks after treatment.\nResults A total of 109 HCV-infected patients were included, with mean age of 45.76±13.91 years. Overall, 25 (22.90%) patients had cirrhosis and were treated with sofosbuvir 400 mg/day, daclatasvir 60 mg/day, and weight-based ribavirin. Moreover, 84 (77.10%) were treated with sofosbuvir 400 mg/day and daclatasvir 60 mg/day. The overall sustained virological response-12 rate was 100%. There were significant improvements in APRI score (from 0.64±0.66 at baseline to 0.26±0.22 at 24 weeks after treatment) and FIB4 score (from 1.77±1.77 at baseline to 1.11±1.04 at 24 weeks after treatment), with P value of 0.0001 in both. In addition, there was a significant reduction in liver stiffness measurements by pSWE 24 weeks after treatment (from 1.72±0.55 m/s at baseline to 1.48±0.44 m/s at 24 weeks after treatment, with P=0.003).\nConclusion Sofosbuvir-based treatment regimens for chronic HCV infection result in significant improvement of the fibrosis scores (FIB4 and APRI) 24 weeks after treatment. Moreover, there was a significant reduction in the liver stiffness measurements by pSWE.","container-title":"The Egyptian Journal of Internal Medicine","DOI":"10.4103/ejim.ejim_92_19","ISSN":"1110-7782, 2090-9098","issue":"4","journalAbbreviation":"Egypt J Intern Med","language":"en","page":"556-562","source":"DOI.org (Crossref)","title":"Noninvasive assessment of hepatic fibrosis regression in hepatitis C virus-infected patients treated with sofosbuvir-based therapy","URL":"https://ejim.springeropen.com/articles/10.4103/ejim.ejim_92_19","volume":"31","author":[{"family":"Al-Khattib","given":"Ahmed"},{"family":"El-Nakeeb","given":"Adham"},{"family":"Musa","given":"Nevine I."},{"family":"Dous","given":"Kerolous B. A."},{"family":"Aly","given":"Heba"}],"accessed":{"date-parts":[["2025",5,15]]},"issued":{"date-parts":[["2019",12]]}}}],"schema":"https://github.com/citation-style-language/schema/raw/master/csl-citation.json"} </w:instrText>
            </w:r>
            <w:r w:rsidR="003350B6">
              <w:rPr>
                <w:color w:val="000000"/>
                <w:sz w:val="15"/>
                <w:szCs w:val="15"/>
              </w:rPr>
              <w:fldChar w:fldCharType="separate"/>
            </w:r>
            <w:r w:rsidR="00485C7C" w:rsidRPr="00485C7C">
              <w:rPr>
                <w:sz w:val="15"/>
                <w:vertAlign w:val="superscript"/>
              </w:rPr>
              <w:t>51</w:t>
            </w:r>
            <w:r w:rsidR="003350B6">
              <w:rPr>
                <w:color w:val="000000"/>
                <w:sz w:val="15"/>
                <w:szCs w:val="15"/>
              </w:rPr>
              <w:fldChar w:fldCharType="end"/>
            </w:r>
          </w:p>
        </w:tc>
        <w:tc>
          <w:tcPr>
            <w:tcW w:w="1276" w:type="dxa"/>
            <w:tcBorders>
              <w:top w:val="nil"/>
              <w:left w:val="single" w:sz="8" w:space="0" w:color="auto"/>
              <w:bottom w:val="single" w:sz="4" w:space="0" w:color="000000"/>
              <w:right w:val="single" w:sz="8" w:space="0" w:color="000000"/>
            </w:tcBorders>
            <w:noWrap/>
            <w:vAlign w:val="center"/>
          </w:tcPr>
          <w:p w14:paraId="323C0D94" w14:textId="74C9C33C" w:rsidR="00116234" w:rsidRPr="00131373" w:rsidRDefault="00C87882" w:rsidP="00F72FC0">
            <w:pPr>
              <w:jc w:val="center"/>
              <w:rPr>
                <w:color w:val="000000"/>
                <w:sz w:val="15"/>
                <w:szCs w:val="15"/>
              </w:rPr>
            </w:pPr>
            <w:r w:rsidRPr="00131373">
              <w:rPr>
                <w:color w:val="000000"/>
                <w:sz w:val="15"/>
                <w:szCs w:val="15"/>
              </w:rPr>
              <w:t xml:space="preserve">Prospective </w:t>
            </w:r>
            <w:r w:rsidR="00116234" w:rsidRPr="00131373">
              <w:rPr>
                <w:color w:val="000000"/>
                <w:sz w:val="15"/>
                <w:szCs w:val="15"/>
              </w:rPr>
              <w:t>Cohort</w:t>
            </w:r>
          </w:p>
        </w:tc>
        <w:tc>
          <w:tcPr>
            <w:tcW w:w="709" w:type="dxa"/>
            <w:tcBorders>
              <w:top w:val="nil"/>
              <w:left w:val="nil"/>
              <w:bottom w:val="single" w:sz="4" w:space="0" w:color="000000"/>
              <w:right w:val="single" w:sz="4" w:space="0" w:color="000000"/>
            </w:tcBorders>
            <w:noWrap/>
            <w:vAlign w:val="center"/>
          </w:tcPr>
          <w:p w14:paraId="44E1B37E"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21AFC29D"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EC9D2B4"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nil"/>
              <w:left w:val="nil"/>
              <w:bottom w:val="single" w:sz="4" w:space="0" w:color="000000"/>
              <w:right w:val="single" w:sz="8" w:space="0" w:color="000000"/>
            </w:tcBorders>
            <w:noWrap/>
            <w:vAlign w:val="center"/>
          </w:tcPr>
          <w:p w14:paraId="4FA54325"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nil"/>
              <w:left w:val="nil"/>
              <w:bottom w:val="single" w:sz="4" w:space="0" w:color="000000"/>
              <w:right w:val="single" w:sz="4" w:space="0" w:color="000000"/>
            </w:tcBorders>
            <w:noWrap/>
            <w:vAlign w:val="center"/>
          </w:tcPr>
          <w:p w14:paraId="120DB0BF"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2" w:type="dxa"/>
            <w:tcBorders>
              <w:top w:val="nil"/>
              <w:left w:val="nil"/>
              <w:bottom w:val="single" w:sz="4" w:space="0" w:color="000000"/>
              <w:right w:val="single" w:sz="8" w:space="0" w:color="000000"/>
            </w:tcBorders>
            <w:noWrap/>
            <w:vAlign w:val="center"/>
          </w:tcPr>
          <w:p w14:paraId="32423BBF"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7" w:type="dxa"/>
            <w:tcBorders>
              <w:top w:val="nil"/>
              <w:left w:val="nil"/>
              <w:bottom w:val="single" w:sz="4" w:space="0" w:color="000000"/>
              <w:right w:val="single" w:sz="4" w:space="0" w:color="000000"/>
            </w:tcBorders>
            <w:noWrap/>
            <w:vAlign w:val="center"/>
          </w:tcPr>
          <w:p w14:paraId="31FAD63E"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nil"/>
              <w:left w:val="nil"/>
              <w:bottom w:val="single" w:sz="4" w:space="0" w:color="000000"/>
              <w:right w:val="single" w:sz="4" w:space="0" w:color="000000"/>
            </w:tcBorders>
            <w:noWrap/>
            <w:vAlign w:val="center"/>
          </w:tcPr>
          <w:p w14:paraId="7EF9E9C7"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548A6EA7"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5DC3E424" w14:textId="77777777" w:rsidR="00116234" w:rsidRPr="00131373" w:rsidRDefault="00116234" w:rsidP="00485C7C">
            <w:pPr>
              <w:jc w:val="center"/>
              <w:rPr>
                <w:color w:val="000000"/>
                <w:sz w:val="15"/>
                <w:szCs w:val="15"/>
              </w:rPr>
            </w:pPr>
            <w:r w:rsidRPr="00131373">
              <w:rPr>
                <w:color w:val="000000"/>
                <w:sz w:val="15"/>
                <w:szCs w:val="15"/>
              </w:rPr>
              <w:t>6</w:t>
            </w:r>
          </w:p>
        </w:tc>
        <w:tc>
          <w:tcPr>
            <w:tcW w:w="1418" w:type="dxa"/>
            <w:tcBorders>
              <w:top w:val="nil"/>
              <w:left w:val="nil"/>
              <w:bottom w:val="single" w:sz="4" w:space="0" w:color="000000"/>
              <w:right w:val="single" w:sz="8" w:space="0" w:color="000000"/>
            </w:tcBorders>
            <w:noWrap/>
            <w:vAlign w:val="center"/>
          </w:tcPr>
          <w:p w14:paraId="3F14335D" w14:textId="01B32E4D" w:rsidR="00116234" w:rsidRPr="00131373" w:rsidRDefault="00AA7D9A" w:rsidP="00485C7C">
            <w:pPr>
              <w:jc w:val="center"/>
              <w:rPr>
                <w:color w:val="000000"/>
                <w:sz w:val="15"/>
                <w:szCs w:val="15"/>
              </w:rPr>
            </w:pPr>
            <w:r w:rsidRPr="00AA7D9A">
              <w:rPr>
                <w:color w:val="000000"/>
                <w:sz w:val="15"/>
                <w:szCs w:val="15"/>
              </w:rPr>
              <w:t>Moderate</w:t>
            </w:r>
          </w:p>
        </w:tc>
      </w:tr>
      <w:tr w:rsidR="00116234" w:rsidRPr="00131373" w14:paraId="14C87DE1" w14:textId="77777777" w:rsidTr="00F72FC0">
        <w:trPr>
          <w:trHeight w:val="300"/>
        </w:trPr>
        <w:tc>
          <w:tcPr>
            <w:tcW w:w="1823" w:type="dxa"/>
            <w:tcBorders>
              <w:top w:val="nil"/>
              <w:left w:val="single" w:sz="8" w:space="0" w:color="auto"/>
              <w:bottom w:val="single" w:sz="4" w:space="0" w:color="000000"/>
              <w:right w:val="single" w:sz="8" w:space="0" w:color="auto"/>
            </w:tcBorders>
            <w:noWrap/>
            <w:vAlign w:val="center"/>
          </w:tcPr>
          <w:p w14:paraId="701DD9FC" w14:textId="742E4CCE" w:rsidR="00116234" w:rsidRPr="00131373" w:rsidRDefault="00116234" w:rsidP="00F72FC0">
            <w:pPr>
              <w:jc w:val="center"/>
              <w:rPr>
                <w:color w:val="000000"/>
                <w:sz w:val="15"/>
                <w:szCs w:val="15"/>
              </w:rPr>
            </w:pPr>
            <w:r w:rsidRPr="00131373">
              <w:rPr>
                <w:color w:val="000000"/>
                <w:sz w:val="15"/>
                <w:szCs w:val="15"/>
              </w:rPr>
              <w:t>Makhlouf et al. (2021)</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{"citationID":"SCfyyD9j","properties":{"formattedCitation":"\\super 52\\nosupersub{}","plainCitation":"52","noteIndex":0},"citationItems":[{"id":1553,"uris":["http://zotero.org/users/5317696/items/MQ2EUQJA"],"itemData":{"id":1553,"type":"article-journal","abstract":"Background. Egypt has the highest prevalence of hepatitis C virus (HCV) infection. Anti-HCV antibodies were detectable in 3% of children in Upper Egypt. Our aim was to evaluate the efficacy of ledipasvir/sofosbuvir for chronic HCV genotype 4 in adolescents with/without hematological disorders and to determine the effect of sustained virological response (SVR) on liver stiffness.\nMethods. Sixty-five adolescents were recruited. There were 3 patient groups: group 1, 44 treatment-naive without hematological disorders; group 2, 6 previously treated; and group 3, 15 treatment-naive with hematological disorders. All patients received sofosbuvir 400 mg/ledipasvir 90 mg per day for 12 weeks. Serum HCV RNA levels were measured before treatment, at week 12, and at 12 weeks after the end of treatment (SVR12). Liver stiffness and the aspartate aminotransferase–platelet ratio index (APRI) score were estimated at baseline and at SVR12.\nResults. SVR12 was 100%. At SVR12, there was a significant improvement in liver stiffness in all groups. The APRI score showed significant improvements in groups 1 and 3 (P &lt; .001 and P = .004, respectively). The treatment was well tolerated, with minimal and self-limited side effects.\nConclusions. Treatment of chronic HCV in adolescents using ledipasvir/sofosbuvir was effective, with a cure rate (at SVR12) of 100%. Significant improvement in liver stiffness was found in all groups.","container-title":"Journal of the Pediatric Infectious Diseases Society","DOI":"10.1093/jpids/piaa006","ISSN":"2048-7207","issue":"1","language":"en","license":"https://academic.oup.com/journals/pages/open_access/funder_policies/chorus/standard_publication_model","page":"7-13","source":"DOI.org (Crossref)","title":"Ledipasvir/Sofosbuvir in Adolescents With Chronic Hepatitis C Genotype 4 With and Without Hematological Disorders: Virological Efficacy and Impact on Liver Stiffness","title-short":"Ledipasvir/Sofosbuvir in Adolescents With Chronic Hepatitis C Genotype 4 With and Without Hematological Disorders","URL":"https://academic.oup.com/jpids/article/10/1/7/5736455","volume":"10","author":[{"family":"Makhlouf","given":"Nahed A"},{"family":"Abdelmalek","given":"Mohamed O"},{"family":"Ibrahim","given":"Mohamed Eltaher"},{"family":"Abu-Faddan","given":"Nagla H"},{"family":"Kheila","given":"Abeer E"},{"family":"Mahmoud","given":"Amal A"}],"accessed":{"date-parts":[["2025",5,15]]},"issued":{"date-parts":[["2021",2,13]]}}}],"schema":"https://github.com/citation-style-language/schema/raw/master/csl-citation.json"} </w:instrText>
            </w:r>
            <w:r w:rsidR="003350B6">
              <w:rPr>
                <w:color w:val="000000"/>
                <w:sz w:val="15"/>
                <w:szCs w:val="15"/>
              </w:rPr>
              <w:fldChar w:fldCharType="separate"/>
            </w:r>
            <w:r w:rsidR="00485C7C" w:rsidRPr="00485C7C">
              <w:rPr>
                <w:sz w:val="15"/>
                <w:vertAlign w:val="superscript"/>
              </w:rPr>
              <w:t>52</w:t>
            </w:r>
            <w:r w:rsidR="003350B6">
              <w:rPr>
                <w:color w:val="000000"/>
                <w:sz w:val="15"/>
                <w:szCs w:val="15"/>
              </w:rPr>
              <w:fldChar w:fldCharType="end"/>
            </w:r>
          </w:p>
        </w:tc>
        <w:tc>
          <w:tcPr>
            <w:tcW w:w="1276" w:type="dxa"/>
            <w:tcBorders>
              <w:top w:val="nil"/>
              <w:left w:val="single" w:sz="8" w:space="0" w:color="auto"/>
              <w:bottom w:val="single" w:sz="4" w:space="0" w:color="000000"/>
              <w:right w:val="single" w:sz="8" w:space="0" w:color="000000"/>
            </w:tcBorders>
            <w:noWrap/>
            <w:vAlign w:val="center"/>
          </w:tcPr>
          <w:p w14:paraId="44409454" w14:textId="26B62854" w:rsidR="00116234" w:rsidRPr="00131373" w:rsidRDefault="00C87882" w:rsidP="00F72FC0">
            <w:pPr>
              <w:jc w:val="center"/>
              <w:rPr>
                <w:color w:val="000000"/>
                <w:sz w:val="15"/>
                <w:szCs w:val="15"/>
              </w:rPr>
            </w:pPr>
            <w:r w:rsidRPr="00131373">
              <w:rPr>
                <w:color w:val="000000"/>
                <w:sz w:val="15"/>
                <w:szCs w:val="15"/>
              </w:rPr>
              <w:t>Prospective</w:t>
            </w:r>
          </w:p>
        </w:tc>
        <w:tc>
          <w:tcPr>
            <w:tcW w:w="709" w:type="dxa"/>
            <w:tcBorders>
              <w:top w:val="nil"/>
              <w:left w:val="nil"/>
              <w:bottom w:val="single" w:sz="4" w:space="0" w:color="000000"/>
              <w:right w:val="single" w:sz="4" w:space="0" w:color="000000"/>
            </w:tcBorders>
            <w:noWrap/>
            <w:vAlign w:val="center"/>
          </w:tcPr>
          <w:p w14:paraId="7C87370C"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6A57D413"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466FBB89"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nil"/>
              <w:left w:val="nil"/>
              <w:bottom w:val="single" w:sz="4" w:space="0" w:color="000000"/>
              <w:right w:val="single" w:sz="8" w:space="0" w:color="000000"/>
            </w:tcBorders>
            <w:noWrap/>
            <w:vAlign w:val="center"/>
          </w:tcPr>
          <w:p w14:paraId="477A606B"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nil"/>
              <w:left w:val="nil"/>
              <w:bottom w:val="single" w:sz="4" w:space="0" w:color="000000"/>
              <w:right w:val="single" w:sz="4" w:space="0" w:color="000000"/>
            </w:tcBorders>
            <w:noWrap/>
            <w:vAlign w:val="center"/>
          </w:tcPr>
          <w:p w14:paraId="3CD1C70E"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2" w:type="dxa"/>
            <w:tcBorders>
              <w:top w:val="nil"/>
              <w:left w:val="nil"/>
              <w:bottom w:val="single" w:sz="4" w:space="0" w:color="000000"/>
              <w:right w:val="single" w:sz="8" w:space="0" w:color="000000"/>
            </w:tcBorders>
            <w:noWrap/>
            <w:vAlign w:val="center"/>
          </w:tcPr>
          <w:p w14:paraId="56CE4A49"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7" w:type="dxa"/>
            <w:tcBorders>
              <w:top w:val="nil"/>
              <w:left w:val="nil"/>
              <w:bottom w:val="single" w:sz="4" w:space="0" w:color="000000"/>
              <w:right w:val="single" w:sz="4" w:space="0" w:color="000000"/>
            </w:tcBorders>
            <w:noWrap/>
            <w:vAlign w:val="center"/>
          </w:tcPr>
          <w:p w14:paraId="4304C96E"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nil"/>
              <w:left w:val="nil"/>
              <w:bottom w:val="single" w:sz="4" w:space="0" w:color="000000"/>
              <w:right w:val="single" w:sz="4" w:space="0" w:color="000000"/>
            </w:tcBorders>
            <w:noWrap/>
            <w:vAlign w:val="center"/>
          </w:tcPr>
          <w:p w14:paraId="29B064EB"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6F1C4AAF"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2B6A0812" w14:textId="77777777" w:rsidR="00116234" w:rsidRPr="00131373" w:rsidRDefault="00116234" w:rsidP="00485C7C">
            <w:pPr>
              <w:jc w:val="center"/>
              <w:rPr>
                <w:color w:val="000000"/>
                <w:sz w:val="15"/>
                <w:szCs w:val="15"/>
              </w:rPr>
            </w:pPr>
            <w:r w:rsidRPr="00131373">
              <w:rPr>
                <w:color w:val="000000"/>
                <w:sz w:val="15"/>
                <w:szCs w:val="15"/>
              </w:rPr>
              <w:t>6</w:t>
            </w:r>
          </w:p>
        </w:tc>
        <w:tc>
          <w:tcPr>
            <w:tcW w:w="1418" w:type="dxa"/>
            <w:tcBorders>
              <w:top w:val="nil"/>
              <w:left w:val="nil"/>
              <w:bottom w:val="single" w:sz="4" w:space="0" w:color="000000"/>
              <w:right w:val="single" w:sz="8" w:space="0" w:color="000000"/>
            </w:tcBorders>
            <w:noWrap/>
            <w:vAlign w:val="center"/>
          </w:tcPr>
          <w:p w14:paraId="1DC474FB" w14:textId="5203F120" w:rsidR="00116234" w:rsidRPr="00131373" w:rsidRDefault="00AA7D9A" w:rsidP="00485C7C">
            <w:pPr>
              <w:jc w:val="center"/>
              <w:rPr>
                <w:color w:val="000000"/>
                <w:sz w:val="15"/>
                <w:szCs w:val="15"/>
              </w:rPr>
            </w:pPr>
            <w:r w:rsidRPr="00AA7D9A">
              <w:rPr>
                <w:color w:val="000000"/>
                <w:sz w:val="15"/>
                <w:szCs w:val="15"/>
              </w:rPr>
              <w:t>Moderate</w:t>
            </w:r>
          </w:p>
        </w:tc>
      </w:tr>
      <w:tr w:rsidR="00116234" w:rsidRPr="00131373" w14:paraId="140E96B1" w14:textId="77777777" w:rsidTr="00F72FC0">
        <w:trPr>
          <w:trHeight w:val="300"/>
        </w:trPr>
        <w:tc>
          <w:tcPr>
            <w:tcW w:w="1823" w:type="dxa"/>
            <w:tcBorders>
              <w:top w:val="nil"/>
              <w:left w:val="single" w:sz="8" w:space="0" w:color="auto"/>
              <w:bottom w:val="single" w:sz="4" w:space="0" w:color="000000"/>
              <w:right w:val="single" w:sz="8" w:space="0" w:color="auto"/>
            </w:tcBorders>
            <w:noWrap/>
            <w:vAlign w:val="center"/>
          </w:tcPr>
          <w:p w14:paraId="7844CB1D" w14:textId="40F2FC27" w:rsidR="00116234" w:rsidRPr="00131373" w:rsidRDefault="00116234" w:rsidP="00F72FC0">
            <w:pPr>
              <w:jc w:val="center"/>
              <w:rPr>
                <w:color w:val="000000"/>
                <w:sz w:val="15"/>
                <w:szCs w:val="15"/>
              </w:rPr>
            </w:pPr>
            <w:r w:rsidRPr="00131373">
              <w:rPr>
                <w:color w:val="000000"/>
                <w:sz w:val="15"/>
                <w:szCs w:val="15"/>
              </w:rPr>
              <w:t>Hassan et al. (2023)</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{"citationID":"gVhaqtpk","properties":{"formattedCitation":"\\super 53\\nosupersub{}","plainCitation":"53","noteIndex":0},"citationItems":[{"id":1570,"uris":["http://zotero.org/users/5317696/items/W8FKL29A"],"itemData":{"id":1570,"type":"article-journal","abstract":"Background Regression of fibrosis and improvement of portal hemodynamics after achievement of sustained viral response (SVR) in patients with chronic hepatitis C (HCV) is a subject of debate in different studies. Some studies reported improvement in the degree of fibrosis, while others did not find significant changes.\nObjective We aimed to evaluate changes in liver fibrosis, portal hemodynamics and clinical outcomes in patients with chronic HCV-related liver cirrhosis after the achievement of SVR with direct-acting antiviral drugs (DAAs). Patients and methods In our prospective longitudinal study, a total of 100 patients with chronic HCV infectionrelated liver cirrhosis were recruited, received DAAs, and completed the follow-up period. Clinical evaluation for assessment of liver disease severity using MELD and Child–Pugh class and scores were done. A noninvasive assessment of liver fibrosis using serum biomarkers (APRI index &amp; FIB4 score) and share wave elastography (SWE) was done. Portal hemodynamic evaluation using Doppler ultrasound was done. All were done at baseline and 3 and 12 months after the end of therapy.\nResults A significant reduction in the degree of fibrosis was observed. Share wave elastography (SWE) readings showed 19.79% and 30.45% reduction 3 and 12 months after the end of therapy respectively (P &lt; 0.001). Regarding the FIB4 score, the percentage of score reduction was 19.8% and 26.46% 3 and 12 months after the end of therapy, respectively (P &lt; 0.01). APRI scores showed 22.6% and 41.09% reduction 3 and 12 months after the end of therapy respectively (P &lt; 0.001). Significant improvement in Child–Pugh scores 3 and 12 months after the end of treatment was observed. Doppler ultrasound showed a significant increase in portal vein flow velocity, a significant decrease in time average mean velocity, and cross-section area 12 months after the end of treatment.\nConclusion There was a considerable degree of reduction of liver fibrosis, improvement of portal hemodynamics, and Child–Pugh score in cirrhotic HCV patients who achieved SVR after DAAs. Trial registration ClinicalTrials.gov, ID: NCT03241823. Registered on 08 May 2017.","container-title":"Egyptian Liver Journal","DOI":"10.1186/s43066-023-00284-6","ISSN":"2090-6226","issue":"1","journalAbbreviation":"Egypt Liver Journal","language":"en","page":"49","source":"DOI.org (Crossref)","title":"Assessment of hepatic fibrosis, portal hemodynamic changes, and disease severity in patients with HCV-related liver cirrhosis after sustained virologic response to direct-acting antiviral drugs (DAAs)","URL":"https://eglj.springeropen.com/articles/10.1186/s43066-023-00284-6","volume":"13","author":[{"family":"Hassan","given":"Waleed Attia"},{"family":"Kamel","given":"Sherif I."},{"family":"Mahmoud","given":"Ibrahim Abdel Naby"},{"family":"Makhlouf","given":"Nahed"},{"family":"Moubark","given":"Mahmoud"},{"family":"Hassany","given":"Sahar M."}],"accessed":{"date-parts":[["2025",5,15]]},"issued":{"date-parts":[["2023",10,2]]}}}],"schema":"https://github.com/citation-style-language/schema/raw/master/csl-citation.json"} </w:instrText>
            </w:r>
            <w:r w:rsidR="003350B6">
              <w:rPr>
                <w:color w:val="000000"/>
                <w:sz w:val="15"/>
                <w:szCs w:val="15"/>
              </w:rPr>
              <w:fldChar w:fldCharType="separate"/>
            </w:r>
            <w:r w:rsidR="00485C7C" w:rsidRPr="00485C7C">
              <w:rPr>
                <w:sz w:val="15"/>
                <w:vertAlign w:val="superscript"/>
              </w:rPr>
              <w:t>53</w:t>
            </w:r>
            <w:r w:rsidR="003350B6">
              <w:rPr>
                <w:color w:val="000000"/>
                <w:sz w:val="15"/>
                <w:szCs w:val="15"/>
              </w:rPr>
              <w:fldChar w:fldCharType="end"/>
            </w:r>
          </w:p>
        </w:tc>
        <w:tc>
          <w:tcPr>
            <w:tcW w:w="1276" w:type="dxa"/>
            <w:tcBorders>
              <w:top w:val="nil"/>
              <w:left w:val="single" w:sz="8" w:space="0" w:color="auto"/>
              <w:bottom w:val="single" w:sz="4" w:space="0" w:color="000000"/>
              <w:right w:val="single" w:sz="8" w:space="0" w:color="000000"/>
            </w:tcBorders>
            <w:noWrap/>
            <w:vAlign w:val="center"/>
          </w:tcPr>
          <w:p w14:paraId="023113D8" w14:textId="15F63ECF" w:rsidR="00116234" w:rsidRPr="00131373" w:rsidRDefault="00C87882" w:rsidP="00F72FC0">
            <w:pPr>
              <w:jc w:val="center"/>
              <w:rPr>
                <w:color w:val="000000"/>
                <w:sz w:val="15"/>
                <w:szCs w:val="15"/>
              </w:rPr>
            </w:pPr>
            <w:r w:rsidRPr="00131373">
              <w:rPr>
                <w:color w:val="000000"/>
                <w:sz w:val="15"/>
                <w:szCs w:val="15"/>
              </w:rPr>
              <w:t>Prospective Longitudinal</w:t>
            </w:r>
          </w:p>
        </w:tc>
        <w:tc>
          <w:tcPr>
            <w:tcW w:w="709" w:type="dxa"/>
            <w:tcBorders>
              <w:top w:val="nil"/>
              <w:left w:val="nil"/>
              <w:bottom w:val="single" w:sz="4" w:space="0" w:color="000000"/>
              <w:right w:val="single" w:sz="4" w:space="0" w:color="000000"/>
            </w:tcBorders>
            <w:noWrap/>
            <w:vAlign w:val="center"/>
          </w:tcPr>
          <w:p w14:paraId="2FD30622"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000000"/>
              <w:right w:val="single" w:sz="4" w:space="0" w:color="000000"/>
            </w:tcBorders>
            <w:noWrap/>
            <w:vAlign w:val="center"/>
          </w:tcPr>
          <w:p w14:paraId="4D9F16D4"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000000"/>
              <w:right w:val="single" w:sz="4" w:space="0" w:color="000000"/>
            </w:tcBorders>
            <w:noWrap/>
            <w:vAlign w:val="center"/>
          </w:tcPr>
          <w:p w14:paraId="6B3B90A4"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nil"/>
              <w:left w:val="nil"/>
              <w:bottom w:val="single" w:sz="4" w:space="0" w:color="000000"/>
              <w:right w:val="single" w:sz="8" w:space="0" w:color="000000"/>
            </w:tcBorders>
            <w:noWrap/>
            <w:vAlign w:val="center"/>
          </w:tcPr>
          <w:p w14:paraId="6728C44F"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nil"/>
              <w:left w:val="nil"/>
              <w:bottom w:val="single" w:sz="4" w:space="0" w:color="000000"/>
              <w:right w:val="single" w:sz="4" w:space="0" w:color="000000"/>
            </w:tcBorders>
            <w:noWrap/>
            <w:vAlign w:val="center"/>
          </w:tcPr>
          <w:p w14:paraId="21FFF7B9"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2" w:type="dxa"/>
            <w:tcBorders>
              <w:top w:val="nil"/>
              <w:left w:val="nil"/>
              <w:bottom w:val="single" w:sz="4" w:space="0" w:color="000000"/>
              <w:right w:val="single" w:sz="8" w:space="0" w:color="000000"/>
            </w:tcBorders>
            <w:noWrap/>
            <w:vAlign w:val="center"/>
          </w:tcPr>
          <w:p w14:paraId="73CF32B2"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7" w:type="dxa"/>
            <w:tcBorders>
              <w:top w:val="nil"/>
              <w:left w:val="nil"/>
              <w:bottom w:val="single" w:sz="4" w:space="0" w:color="000000"/>
              <w:right w:val="single" w:sz="4" w:space="0" w:color="000000"/>
            </w:tcBorders>
            <w:noWrap/>
            <w:vAlign w:val="center"/>
          </w:tcPr>
          <w:p w14:paraId="6ED8C33C"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nil"/>
              <w:left w:val="nil"/>
              <w:bottom w:val="single" w:sz="4" w:space="0" w:color="000000"/>
              <w:right w:val="single" w:sz="4" w:space="0" w:color="000000"/>
            </w:tcBorders>
            <w:noWrap/>
            <w:vAlign w:val="center"/>
          </w:tcPr>
          <w:p w14:paraId="0CC6B648"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3E4BA7C5" w14:textId="77777777" w:rsidR="00116234" w:rsidRPr="00131373" w:rsidRDefault="0011623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000000"/>
              <w:right w:val="single" w:sz="8" w:space="0" w:color="000000"/>
            </w:tcBorders>
            <w:noWrap/>
            <w:vAlign w:val="center"/>
          </w:tcPr>
          <w:p w14:paraId="77701292" w14:textId="77777777" w:rsidR="00116234" w:rsidRPr="00131373" w:rsidRDefault="00116234" w:rsidP="00485C7C">
            <w:pPr>
              <w:jc w:val="center"/>
              <w:rPr>
                <w:color w:val="000000"/>
                <w:sz w:val="15"/>
                <w:szCs w:val="15"/>
              </w:rPr>
            </w:pPr>
            <w:r w:rsidRPr="00131373">
              <w:rPr>
                <w:color w:val="000000"/>
                <w:sz w:val="15"/>
                <w:szCs w:val="15"/>
              </w:rPr>
              <w:t>6</w:t>
            </w:r>
          </w:p>
        </w:tc>
        <w:tc>
          <w:tcPr>
            <w:tcW w:w="1418" w:type="dxa"/>
            <w:tcBorders>
              <w:top w:val="nil"/>
              <w:left w:val="nil"/>
              <w:bottom w:val="single" w:sz="4" w:space="0" w:color="000000"/>
              <w:right w:val="single" w:sz="8" w:space="0" w:color="000000"/>
            </w:tcBorders>
            <w:noWrap/>
            <w:vAlign w:val="center"/>
          </w:tcPr>
          <w:p w14:paraId="21855B5C" w14:textId="7C463875" w:rsidR="00116234" w:rsidRPr="00131373" w:rsidRDefault="00AA7D9A" w:rsidP="00485C7C">
            <w:pPr>
              <w:jc w:val="center"/>
              <w:rPr>
                <w:color w:val="000000"/>
                <w:sz w:val="15"/>
                <w:szCs w:val="15"/>
              </w:rPr>
            </w:pPr>
            <w:r w:rsidRPr="00AA7D9A">
              <w:rPr>
                <w:color w:val="000000"/>
                <w:sz w:val="15"/>
                <w:szCs w:val="15"/>
              </w:rPr>
              <w:t>Moderate</w:t>
            </w:r>
          </w:p>
        </w:tc>
      </w:tr>
      <w:tr w:rsidR="00C87882" w:rsidRPr="00131373" w14:paraId="4163D25C" w14:textId="77777777" w:rsidTr="00F72FC0">
        <w:trPr>
          <w:trHeight w:val="300"/>
        </w:trPr>
        <w:tc>
          <w:tcPr>
            <w:tcW w:w="1823" w:type="dxa"/>
            <w:tcBorders>
              <w:top w:val="nil"/>
              <w:left w:val="single" w:sz="8" w:space="0" w:color="auto"/>
              <w:bottom w:val="single" w:sz="4" w:space="0" w:color="auto"/>
              <w:right w:val="single" w:sz="8" w:space="0" w:color="auto"/>
            </w:tcBorders>
            <w:noWrap/>
            <w:vAlign w:val="center"/>
          </w:tcPr>
          <w:p w14:paraId="38BEC2B7" w14:textId="100BE466" w:rsidR="00C87882" w:rsidRPr="00131373" w:rsidRDefault="00C87882" w:rsidP="00F72FC0">
            <w:pPr>
              <w:jc w:val="center"/>
              <w:rPr>
                <w:color w:val="000000"/>
                <w:sz w:val="15"/>
                <w:szCs w:val="15"/>
              </w:rPr>
            </w:pPr>
            <w:r w:rsidRPr="00131373">
              <w:rPr>
                <w:color w:val="000000"/>
                <w:sz w:val="15"/>
                <w:szCs w:val="15"/>
              </w:rPr>
              <w:t>Barbosa et al. (2021)</w:t>
            </w:r>
            <w:r w:rsidR="003350B6">
              <w:rPr>
                <w:color w:val="000000"/>
                <w:sz w:val="15"/>
                <w:szCs w:val="15"/>
              </w:rPr>
              <w:t xml:space="preserve"> </w:t>
            </w:r>
            <w:r w:rsidR="003350B6">
              <w:rPr>
                <w:color w:val="000000"/>
                <w:sz w:val="15"/>
                <w:szCs w:val="15"/>
              </w:rPr>
              <w:fldChar w:fldCharType="begin"/>
            </w:r>
            <w:r w:rsidR="00485C7C">
              <w:rPr>
                <w:color w:val="000000"/>
                <w:sz w:val="15"/>
                <w:szCs w:val="15"/>
              </w:rPr>
              <w:instrText xml:space="preserve"> ADDIN ZOTERO_ITEM CSL_CITATION {"citationID":"AvmVTJJ6","properties":{"formattedCitation":"\\super 54\\nosupersub{}","plainCitation":"54","noteIndex":0},"citationItems":[{"id":1572,"uris":["http://zotero.org/users/5317696/items/2GRA5X6M"],"itemData":{"id":1572,"type":"article-journal","abstract":"Hepatitis C virus has infected over 71 million people worldwide, and it is the main cause of cirrhosis in the western world. Currently, the treatment involves direct-acting antiviral agents (DAAs) and its main goal is to achieve sustained virologic response (SVR). The aim of this study was to evaluate the impact of SVR using DAAs in the improvement of liver fibrosis using scores evaluation by indirect method, liver function, and inflammation indirect biomarkers. Patients with cirrhosis with SVR after treatment (n = 104) were evaluated using liver function scores, indirect fibrosis methods, alpha-fetoprotein, and ferritin at t-base and t-SVR. Statistically significant positive results in all parameters were observed: 54 patients were classified as 5 in the CP score in t-base, and 77 in t-SVR; a significant decrease was observed in MELD score, alpha-fetoprotein, ferritin, APRI, FIB-4 and liver stiffness in liver elastography. We did not observe difference in the liver function scores between regressors and non-regressors of liver stiffness, as well as in indirect inflammation biomarkers. The measurements of fibrosis using the indirect methods have significantly decreased in patients with cirrhosis treated who achieved SVR associated with decreased indirect inflammation biomarkers and improved liver function scores.","container-title":"Clinical and Experimental Medicine","DOI":"10.1007/s10238-021-00749-1","ISSN":"1591-9528","issue":"2","journalAbbreviation":"Clin Exp Med","language":"en","page":"269-275","source":"DOI.org (Crossref)","title":"Cirrhosis regression after SVR with indirect methods of fibrosis analysis: How far is it real?","title-short":"Cirrhosis regression after SVR with indirect methods of fibrosis analysis","URL":"https://link.springer.com/10.1007/s10238-021-00749-1","volume":"22","author":[{"family":"Barbosa","given":"Walnei Fernandes"},{"family":"Andrade","given":"Vanessa Gutierrez"},{"family":"Braz","given":"Aline Márcia Marques"},{"family":"Winckler","given":"Fernanda Cristina"},{"family":"Barbosa","given":"Livia Roma"},{"family":"Golim","given":"Márjorie De Assis"},{"family":"Silveira","given":"Liciana Vaz De Arruda"},{"family":"Simões","given":"Rafael Plana"},{"family":"Silva","given":"Giovanni Faria"}],"accessed":{"date-parts":[["2025",5,15]]},"issued":{"date-parts":[["2022",5]]}}}],"schema":"https://github.com/citation-style-language/schema/raw/master/csl-citation.json"} </w:instrText>
            </w:r>
            <w:r w:rsidR="003350B6">
              <w:rPr>
                <w:color w:val="000000"/>
                <w:sz w:val="15"/>
                <w:szCs w:val="15"/>
              </w:rPr>
              <w:fldChar w:fldCharType="separate"/>
            </w:r>
            <w:r w:rsidR="00485C7C" w:rsidRPr="00485C7C">
              <w:rPr>
                <w:sz w:val="15"/>
                <w:vertAlign w:val="superscript"/>
              </w:rPr>
              <w:t>54</w:t>
            </w:r>
            <w:r w:rsidR="003350B6">
              <w:rPr>
                <w:color w:val="000000"/>
                <w:sz w:val="15"/>
                <w:szCs w:val="15"/>
              </w:rPr>
              <w:fldChar w:fldCharType="end"/>
            </w:r>
          </w:p>
        </w:tc>
        <w:tc>
          <w:tcPr>
            <w:tcW w:w="1276" w:type="dxa"/>
            <w:tcBorders>
              <w:top w:val="nil"/>
              <w:left w:val="single" w:sz="8" w:space="0" w:color="auto"/>
              <w:bottom w:val="single" w:sz="4" w:space="0" w:color="auto"/>
              <w:right w:val="single" w:sz="8" w:space="0" w:color="000000"/>
            </w:tcBorders>
            <w:noWrap/>
            <w:vAlign w:val="center"/>
          </w:tcPr>
          <w:p w14:paraId="0940C44B" w14:textId="717846E3" w:rsidR="00C87882" w:rsidRPr="00131373" w:rsidRDefault="00C87882" w:rsidP="00F72FC0">
            <w:pPr>
              <w:jc w:val="center"/>
              <w:rPr>
                <w:color w:val="000000"/>
                <w:sz w:val="15"/>
                <w:szCs w:val="15"/>
              </w:rPr>
            </w:pPr>
            <w:r w:rsidRPr="00131373">
              <w:rPr>
                <w:color w:val="000000"/>
                <w:sz w:val="15"/>
                <w:szCs w:val="15"/>
              </w:rPr>
              <w:t>Prospective Longitudinal</w:t>
            </w:r>
          </w:p>
        </w:tc>
        <w:tc>
          <w:tcPr>
            <w:tcW w:w="709" w:type="dxa"/>
            <w:tcBorders>
              <w:top w:val="nil"/>
              <w:left w:val="nil"/>
              <w:bottom w:val="single" w:sz="4" w:space="0" w:color="auto"/>
              <w:right w:val="single" w:sz="4" w:space="0" w:color="000000"/>
            </w:tcBorders>
            <w:noWrap/>
            <w:vAlign w:val="center"/>
          </w:tcPr>
          <w:p w14:paraId="14B7349C"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nil"/>
              <w:left w:val="nil"/>
              <w:bottom w:val="single" w:sz="4" w:space="0" w:color="auto"/>
              <w:right w:val="single" w:sz="4" w:space="0" w:color="000000"/>
            </w:tcBorders>
            <w:noWrap/>
            <w:vAlign w:val="center"/>
          </w:tcPr>
          <w:p w14:paraId="536A0376"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nil"/>
              <w:left w:val="nil"/>
              <w:bottom w:val="single" w:sz="4" w:space="0" w:color="auto"/>
              <w:right w:val="single" w:sz="4" w:space="0" w:color="000000"/>
            </w:tcBorders>
            <w:noWrap/>
            <w:vAlign w:val="center"/>
          </w:tcPr>
          <w:p w14:paraId="2513A7F3"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nil"/>
              <w:left w:val="nil"/>
              <w:bottom w:val="single" w:sz="4" w:space="0" w:color="auto"/>
              <w:right w:val="single" w:sz="8" w:space="0" w:color="000000"/>
            </w:tcBorders>
            <w:noWrap/>
            <w:vAlign w:val="center"/>
          </w:tcPr>
          <w:p w14:paraId="7E1EE632"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nil"/>
              <w:left w:val="nil"/>
              <w:bottom w:val="single" w:sz="4" w:space="0" w:color="auto"/>
              <w:right w:val="single" w:sz="4" w:space="0" w:color="000000"/>
            </w:tcBorders>
            <w:noWrap/>
            <w:vAlign w:val="center"/>
          </w:tcPr>
          <w:p w14:paraId="027212F7"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2" w:type="dxa"/>
            <w:tcBorders>
              <w:top w:val="nil"/>
              <w:left w:val="nil"/>
              <w:bottom w:val="single" w:sz="4" w:space="0" w:color="auto"/>
              <w:right w:val="single" w:sz="8" w:space="0" w:color="000000"/>
            </w:tcBorders>
            <w:noWrap/>
            <w:vAlign w:val="center"/>
          </w:tcPr>
          <w:p w14:paraId="6D4E3883"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û</w:t>
            </w:r>
          </w:p>
        </w:tc>
        <w:tc>
          <w:tcPr>
            <w:tcW w:w="937" w:type="dxa"/>
            <w:tcBorders>
              <w:top w:val="nil"/>
              <w:left w:val="nil"/>
              <w:bottom w:val="single" w:sz="4" w:space="0" w:color="auto"/>
              <w:right w:val="single" w:sz="4" w:space="0" w:color="000000"/>
            </w:tcBorders>
            <w:noWrap/>
            <w:vAlign w:val="center"/>
          </w:tcPr>
          <w:p w14:paraId="6CDAEEED"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nil"/>
              <w:left w:val="nil"/>
              <w:bottom w:val="single" w:sz="4" w:space="0" w:color="auto"/>
              <w:right w:val="single" w:sz="4" w:space="0" w:color="000000"/>
            </w:tcBorders>
            <w:noWrap/>
            <w:vAlign w:val="center"/>
          </w:tcPr>
          <w:p w14:paraId="260CFC40"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auto"/>
              <w:right w:val="single" w:sz="8" w:space="0" w:color="000000"/>
            </w:tcBorders>
            <w:noWrap/>
            <w:vAlign w:val="center"/>
          </w:tcPr>
          <w:p w14:paraId="5B35EA5B" w14:textId="77777777" w:rsidR="00C87882" w:rsidRPr="00131373" w:rsidRDefault="00C87882"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nil"/>
              <w:left w:val="nil"/>
              <w:bottom w:val="single" w:sz="4" w:space="0" w:color="auto"/>
              <w:right w:val="single" w:sz="8" w:space="0" w:color="000000"/>
            </w:tcBorders>
            <w:noWrap/>
            <w:vAlign w:val="center"/>
          </w:tcPr>
          <w:p w14:paraId="3E6C8D5C" w14:textId="77777777" w:rsidR="00C87882" w:rsidRPr="00131373" w:rsidRDefault="00C87882" w:rsidP="00485C7C">
            <w:pPr>
              <w:jc w:val="center"/>
              <w:rPr>
                <w:color w:val="000000"/>
                <w:sz w:val="15"/>
                <w:szCs w:val="15"/>
              </w:rPr>
            </w:pPr>
            <w:r w:rsidRPr="00131373">
              <w:rPr>
                <w:color w:val="000000"/>
                <w:sz w:val="15"/>
                <w:szCs w:val="15"/>
              </w:rPr>
              <w:t>6</w:t>
            </w:r>
          </w:p>
        </w:tc>
        <w:tc>
          <w:tcPr>
            <w:tcW w:w="1418" w:type="dxa"/>
            <w:tcBorders>
              <w:top w:val="nil"/>
              <w:left w:val="nil"/>
              <w:bottom w:val="single" w:sz="4" w:space="0" w:color="auto"/>
              <w:right w:val="single" w:sz="8" w:space="0" w:color="000000"/>
            </w:tcBorders>
            <w:noWrap/>
            <w:vAlign w:val="center"/>
          </w:tcPr>
          <w:p w14:paraId="6577D644" w14:textId="2CF0DD90" w:rsidR="00C87882" w:rsidRPr="00274B66" w:rsidRDefault="00AA7D9A" w:rsidP="00485C7C">
            <w:pPr>
              <w:jc w:val="center"/>
            </w:pPr>
            <w:r w:rsidRPr="00AA7D9A">
              <w:rPr>
                <w:color w:val="000000"/>
                <w:sz w:val="15"/>
                <w:szCs w:val="15"/>
              </w:rPr>
              <w:t>Moderate</w:t>
            </w:r>
          </w:p>
        </w:tc>
      </w:tr>
      <w:tr w:rsidR="003758D4" w:rsidRPr="00131373" w14:paraId="649C6949" w14:textId="77777777" w:rsidTr="00F72FC0">
        <w:trPr>
          <w:trHeight w:val="300"/>
        </w:trPr>
        <w:tc>
          <w:tcPr>
            <w:tcW w:w="1823" w:type="dxa"/>
            <w:tcBorders>
              <w:top w:val="single" w:sz="4" w:space="0" w:color="auto"/>
              <w:left w:val="single" w:sz="4" w:space="0" w:color="auto"/>
              <w:bottom w:val="single" w:sz="4" w:space="0" w:color="auto"/>
              <w:right w:val="single" w:sz="4" w:space="0" w:color="auto"/>
            </w:tcBorders>
            <w:noWrap/>
            <w:vAlign w:val="center"/>
          </w:tcPr>
          <w:p w14:paraId="33F0E2D6" w14:textId="2ABDEADF" w:rsidR="003758D4" w:rsidRPr="00131373" w:rsidRDefault="003758D4" w:rsidP="00F72FC0">
            <w:pPr>
              <w:jc w:val="center"/>
              <w:rPr>
                <w:color w:val="000000"/>
                <w:sz w:val="15"/>
                <w:szCs w:val="15"/>
              </w:rPr>
            </w:pPr>
            <w:proofErr w:type="spellStart"/>
            <w:r>
              <w:rPr>
                <w:color w:val="000000"/>
                <w:sz w:val="15"/>
                <w:szCs w:val="15"/>
              </w:rPr>
              <w:t>Gyotoku</w:t>
            </w:r>
            <w:proofErr w:type="spellEnd"/>
            <w:r>
              <w:rPr>
                <w:color w:val="000000"/>
                <w:sz w:val="15"/>
                <w:szCs w:val="15"/>
              </w:rPr>
              <w:t xml:space="preserve"> et al. (2022)</w:t>
            </w:r>
            <w:r>
              <w:rPr>
                <w:color w:val="000000"/>
                <w:sz w:val="15"/>
                <w:szCs w:val="15"/>
              </w:rPr>
              <w:fldChar w:fldCharType="begin"/>
            </w:r>
            <w:r w:rsidR="00485C7C">
              <w:rPr>
                <w:color w:val="000000"/>
                <w:sz w:val="15"/>
                <w:szCs w:val="15"/>
              </w:rPr>
              <w:instrText xml:space="preserve"> ADDIN ZOTERO_ITEM CSL_CITATION {"citationID":"gVh0JdH4","properties":{"formattedCitation":"\\super 55\\nosupersub{}","plainCitation":"55","noteIndex":0},"citationItems":[{"id":3826,"uris":["http://zotero.org/users/5317696/items/9CNBY5R2"],"itemData":{"id":3826,"type":"article-journal","abstract":"Abstract\n            \n              Purpose\n              To measure changes in liver stiffness over time due to direct-acting antiviral (DAA) therapy in hepatitis C patients using shear wave elastography (SWE).\n            \n            \n              Methods\n              Patients with hepatitis C treated with DAA therapy in a university medical center between July 2015 and April 2020 were evaluated. Shear wave velocity (Vs) of the liver was measured using SWE. Alanine aminotransferase (ALT), platelet count, and α-fetoprotein (AFP) were measured at the same time, and the FIB-4 index was estimated. Absence of hepatocellular carcinoma was confirmed at baseline and end of therapy. Imaging was then performed every 6 months. Patient characteristics were compared between patients who did and did not develop carcinoma.\n            \n            \n              Results\n              The mean age of the 229 patients (93 men) was 65.6 years. Eight patients developed carcinoma during follow-up (mean 32.6 ± 19.5 months). Significant differences were found between the groups in terms of AFP, platelet count, and Fib-4 index at baseline; the pre-treatment data had the best relationship with hepatocarcinogenesis. Mean Vs decreased significantly during DAA therapy, and then decreased further. Liver stiffness 6 months after treatment ended had the best relationship with hepatocarcinogenesis.\n            \n            \n              Conclusion\n              In patients with a sustained virological response, risk of developing cancer can be predicted by measuring Vs approximately 6 months after treatment.","container-title":"Journal of Medical Ultrasonics","DOI":"10.1007/s10396-021-01188-x","ISSN":"1346-4523, 1613-2254","issue":"2","journalAbbreviation":"J Med Ultrasonics","language":"en","page":"253-259","source":"DOI.org (Crossref)","title":"Role of liver stiffness measurements in patients who develop hepatocellular carcinoma after clearance of the hepatitis C virus","URL":"https://link.springer.com/10.1007/s10396-021-01188-x","volume":"49","author":[{"family":"Gyotoku","given":"Yoshinori"},{"family":"Shirahashi","given":"Ryosaku"},{"family":"Suda","given":"Toshikuni"},{"family":"Tamano","given":"Masaya"}],"accessed":{"date-parts":[["2026",4,15]]},"issued":{"date-parts":[["2022",4]]}}}],"schema":"https://github.com/citation-style-language/schema/raw/master/csl-citation.json"} </w:instrText>
            </w:r>
            <w:r>
              <w:rPr>
                <w:color w:val="000000"/>
                <w:sz w:val="15"/>
                <w:szCs w:val="15"/>
              </w:rPr>
              <w:fldChar w:fldCharType="separate"/>
            </w:r>
            <w:r w:rsidR="00485C7C" w:rsidRPr="00485C7C">
              <w:rPr>
                <w:sz w:val="15"/>
                <w:vertAlign w:val="superscript"/>
              </w:rPr>
              <w:t>55</w:t>
            </w:r>
            <w:r>
              <w:rPr>
                <w:color w:val="000000"/>
                <w:sz w:val="15"/>
                <w:szCs w:val="15"/>
              </w:rPr>
              <w:fldChar w:fldCharType="end"/>
            </w:r>
          </w:p>
        </w:tc>
        <w:tc>
          <w:tcPr>
            <w:tcW w:w="1276" w:type="dxa"/>
            <w:tcBorders>
              <w:top w:val="single" w:sz="4" w:space="0" w:color="auto"/>
              <w:left w:val="single" w:sz="4" w:space="0" w:color="auto"/>
              <w:bottom w:val="single" w:sz="4" w:space="0" w:color="auto"/>
              <w:right w:val="single" w:sz="4" w:space="0" w:color="auto"/>
            </w:tcBorders>
            <w:noWrap/>
            <w:vAlign w:val="center"/>
          </w:tcPr>
          <w:p w14:paraId="3B3AEDC1" w14:textId="38A7A5A2" w:rsidR="003758D4" w:rsidRPr="00131373" w:rsidRDefault="003758D4" w:rsidP="00F72FC0">
            <w:pPr>
              <w:jc w:val="center"/>
              <w:rPr>
                <w:color w:val="000000"/>
                <w:sz w:val="15"/>
                <w:szCs w:val="15"/>
              </w:rPr>
            </w:pPr>
            <w:r>
              <w:rPr>
                <w:color w:val="000000"/>
                <w:sz w:val="15"/>
                <w:szCs w:val="15"/>
              </w:rPr>
              <w:t>Prospective</w:t>
            </w:r>
          </w:p>
        </w:tc>
        <w:tc>
          <w:tcPr>
            <w:tcW w:w="709" w:type="dxa"/>
            <w:tcBorders>
              <w:top w:val="single" w:sz="4" w:space="0" w:color="auto"/>
              <w:left w:val="single" w:sz="4" w:space="0" w:color="auto"/>
              <w:bottom w:val="single" w:sz="4" w:space="0" w:color="auto"/>
              <w:right w:val="single" w:sz="4" w:space="0" w:color="auto"/>
            </w:tcBorders>
            <w:noWrap/>
            <w:vAlign w:val="center"/>
          </w:tcPr>
          <w:p w14:paraId="5EBFDFED" w14:textId="09993286"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01FE66A3" w14:textId="55340663"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17B41F09" w14:textId="47E5D749"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single" w:sz="4" w:space="0" w:color="auto"/>
              <w:left w:val="single" w:sz="4" w:space="0" w:color="auto"/>
              <w:bottom w:val="single" w:sz="4" w:space="0" w:color="auto"/>
              <w:right w:val="single" w:sz="4" w:space="0" w:color="auto"/>
            </w:tcBorders>
            <w:noWrap/>
            <w:vAlign w:val="center"/>
          </w:tcPr>
          <w:p w14:paraId="74174900" w14:textId="5780E4C2"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single" w:sz="4" w:space="0" w:color="auto"/>
              <w:left w:val="single" w:sz="4" w:space="0" w:color="auto"/>
              <w:bottom w:val="single" w:sz="4" w:space="0" w:color="auto"/>
              <w:right w:val="single" w:sz="4" w:space="0" w:color="auto"/>
            </w:tcBorders>
            <w:noWrap/>
            <w:vAlign w:val="center"/>
          </w:tcPr>
          <w:p w14:paraId="3C5886B4" w14:textId="06D4CD22"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2" w:type="dxa"/>
            <w:tcBorders>
              <w:top w:val="single" w:sz="4" w:space="0" w:color="auto"/>
              <w:left w:val="single" w:sz="4" w:space="0" w:color="auto"/>
              <w:bottom w:val="single" w:sz="4" w:space="0" w:color="auto"/>
              <w:right w:val="single" w:sz="4" w:space="0" w:color="auto"/>
            </w:tcBorders>
            <w:noWrap/>
            <w:vAlign w:val="center"/>
          </w:tcPr>
          <w:p w14:paraId="2B346B0D" w14:textId="2CCE3EFC"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37" w:type="dxa"/>
            <w:tcBorders>
              <w:top w:val="single" w:sz="4" w:space="0" w:color="auto"/>
              <w:left w:val="single" w:sz="4" w:space="0" w:color="auto"/>
              <w:bottom w:val="single" w:sz="4" w:space="0" w:color="auto"/>
              <w:right w:val="single" w:sz="4" w:space="0" w:color="auto"/>
            </w:tcBorders>
            <w:noWrap/>
            <w:vAlign w:val="center"/>
          </w:tcPr>
          <w:p w14:paraId="14FBAC64" w14:textId="7F5314C5"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single" w:sz="4" w:space="0" w:color="auto"/>
              <w:left w:val="single" w:sz="4" w:space="0" w:color="auto"/>
              <w:bottom w:val="single" w:sz="4" w:space="0" w:color="auto"/>
              <w:right w:val="single" w:sz="4" w:space="0" w:color="auto"/>
            </w:tcBorders>
            <w:noWrap/>
            <w:vAlign w:val="center"/>
          </w:tcPr>
          <w:p w14:paraId="16112391" w14:textId="3150D7DB"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2A8E1DBC" w14:textId="0575C401"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291787A5" w14:textId="11ED0CDE" w:rsidR="003758D4" w:rsidRPr="00131373" w:rsidRDefault="003758D4" w:rsidP="00485C7C">
            <w:pPr>
              <w:jc w:val="center"/>
              <w:rPr>
                <w:color w:val="000000"/>
                <w:sz w:val="15"/>
                <w:szCs w:val="15"/>
              </w:rPr>
            </w:pPr>
            <w:r>
              <w:rPr>
                <w:color w:val="000000"/>
                <w:sz w:val="15"/>
                <w:szCs w:val="15"/>
              </w:rPr>
              <w:t>8</w:t>
            </w:r>
          </w:p>
        </w:tc>
        <w:tc>
          <w:tcPr>
            <w:tcW w:w="1418" w:type="dxa"/>
            <w:tcBorders>
              <w:top w:val="single" w:sz="4" w:space="0" w:color="auto"/>
              <w:left w:val="single" w:sz="4" w:space="0" w:color="auto"/>
              <w:bottom w:val="single" w:sz="4" w:space="0" w:color="auto"/>
              <w:right w:val="single" w:sz="4" w:space="0" w:color="auto"/>
            </w:tcBorders>
            <w:noWrap/>
            <w:vAlign w:val="center"/>
          </w:tcPr>
          <w:p w14:paraId="06BB9053" w14:textId="4E136475" w:rsidR="003758D4" w:rsidRPr="00AA7D9A" w:rsidRDefault="003758D4" w:rsidP="00485C7C">
            <w:pPr>
              <w:jc w:val="center"/>
              <w:rPr>
                <w:color w:val="000000"/>
                <w:sz w:val="15"/>
                <w:szCs w:val="15"/>
              </w:rPr>
            </w:pPr>
            <w:r>
              <w:rPr>
                <w:color w:val="000000"/>
                <w:sz w:val="15"/>
                <w:szCs w:val="15"/>
              </w:rPr>
              <w:t>High</w:t>
            </w:r>
          </w:p>
        </w:tc>
      </w:tr>
      <w:tr w:rsidR="003758D4" w:rsidRPr="00131373" w14:paraId="178AA3C7" w14:textId="77777777" w:rsidTr="00F72FC0">
        <w:trPr>
          <w:trHeight w:val="300"/>
        </w:trPr>
        <w:tc>
          <w:tcPr>
            <w:tcW w:w="1823" w:type="dxa"/>
            <w:tcBorders>
              <w:top w:val="single" w:sz="4" w:space="0" w:color="auto"/>
              <w:left w:val="single" w:sz="4" w:space="0" w:color="auto"/>
              <w:bottom w:val="single" w:sz="4" w:space="0" w:color="auto"/>
              <w:right w:val="single" w:sz="4" w:space="0" w:color="auto"/>
            </w:tcBorders>
            <w:noWrap/>
            <w:vAlign w:val="center"/>
          </w:tcPr>
          <w:p w14:paraId="4A3A533F" w14:textId="22E1272B" w:rsidR="003758D4" w:rsidRDefault="003758D4" w:rsidP="00F72FC0">
            <w:pPr>
              <w:jc w:val="center"/>
              <w:rPr>
                <w:color w:val="000000"/>
                <w:sz w:val="15"/>
                <w:szCs w:val="15"/>
              </w:rPr>
            </w:pPr>
            <w:proofErr w:type="spellStart"/>
            <w:r>
              <w:rPr>
                <w:color w:val="000000"/>
                <w:sz w:val="15"/>
                <w:szCs w:val="15"/>
              </w:rPr>
              <w:t>Kohla</w:t>
            </w:r>
            <w:proofErr w:type="spellEnd"/>
            <w:r>
              <w:rPr>
                <w:color w:val="000000"/>
                <w:sz w:val="15"/>
                <w:szCs w:val="15"/>
              </w:rPr>
              <w:t xml:space="preserve"> et al. (2020) </w:t>
            </w:r>
            <w:r>
              <w:rPr>
                <w:color w:val="000000"/>
                <w:sz w:val="15"/>
                <w:szCs w:val="15"/>
              </w:rPr>
              <w:fldChar w:fldCharType="begin"/>
            </w:r>
            <w:r w:rsidR="00485C7C">
              <w:rPr>
                <w:color w:val="000000"/>
                <w:sz w:val="15"/>
                <w:szCs w:val="15"/>
              </w:rPr>
              <w:instrText xml:space="preserve"> ADDIN ZOTERO_ITEM CSL_CITATION {"citationID":"Q4JfnUtB","properties":{"formattedCitation":"\\super 56\\nosupersub{}","plainCitation":"56","noteIndex":0},"citationItems":[{"id":3825,"uris":["http://zotero.org/users/5317696/items/8K9K2DU3"],"itemData":{"id":3825,"type":"article-journal","container-title":"Clinical and Experimental Medicine","DOI":"10.1007/s10238-019-00597-0","ISSN":"1591-8890, 1591-9528","issue":"1","journalAbbreviation":"Clin Exp Med","language":"en","page":"143-148","source":"DOI.org (Crossref)","title":"Early fibrosis regression by shear wave elastography after successful direct-acting anti-HCV therapy","URL":"http://link.springer.com/10.1007/s10238-019-00597-0","volume":"20","author":[{"family":"Kohla","given":"Mohamed Ahmed Samy"},{"family":"Fayoumi","given":"Ahmed El"},{"family":"Akl","given":"Mohamed"},{"family":"Abdelkareem","given":"Mervat"},{"family":"Elsakhawy","given":"Mahmoud"},{"family":"Waheed","given":"Sally"},{"family":"Abozeid","given":"Mai"}],"accessed":{"date-parts":[["2026",4,15]]},"issued":{"date-parts":[["2020",2]]}}}],"schema":"https://github.com/citation-style-language/schema/raw/master/csl-citation.json"} </w:instrText>
            </w:r>
            <w:r>
              <w:rPr>
                <w:color w:val="000000"/>
                <w:sz w:val="15"/>
                <w:szCs w:val="15"/>
              </w:rPr>
              <w:fldChar w:fldCharType="separate"/>
            </w:r>
            <w:r w:rsidR="00485C7C" w:rsidRPr="00485C7C">
              <w:rPr>
                <w:sz w:val="15"/>
                <w:vertAlign w:val="superscript"/>
              </w:rPr>
              <w:t>56</w:t>
            </w:r>
            <w:r>
              <w:rPr>
                <w:color w:val="000000"/>
                <w:sz w:val="15"/>
                <w:szCs w:val="15"/>
              </w:rPr>
              <w:fldChar w:fldCharType="end"/>
            </w:r>
          </w:p>
        </w:tc>
        <w:tc>
          <w:tcPr>
            <w:tcW w:w="1276" w:type="dxa"/>
            <w:tcBorders>
              <w:top w:val="single" w:sz="4" w:space="0" w:color="auto"/>
              <w:left w:val="single" w:sz="4" w:space="0" w:color="auto"/>
              <w:bottom w:val="single" w:sz="4" w:space="0" w:color="auto"/>
              <w:right w:val="single" w:sz="4" w:space="0" w:color="auto"/>
            </w:tcBorders>
            <w:noWrap/>
            <w:vAlign w:val="center"/>
          </w:tcPr>
          <w:p w14:paraId="3A986EA8" w14:textId="7F01C060" w:rsidR="003758D4" w:rsidRDefault="003758D4" w:rsidP="00F72FC0">
            <w:pPr>
              <w:jc w:val="center"/>
              <w:rPr>
                <w:color w:val="000000"/>
                <w:sz w:val="15"/>
                <w:szCs w:val="15"/>
              </w:rPr>
            </w:pPr>
            <w:r>
              <w:rPr>
                <w:color w:val="000000"/>
                <w:sz w:val="15"/>
                <w:szCs w:val="15"/>
              </w:rPr>
              <w:t>Prospective</w:t>
            </w:r>
          </w:p>
        </w:tc>
        <w:tc>
          <w:tcPr>
            <w:tcW w:w="709" w:type="dxa"/>
            <w:tcBorders>
              <w:top w:val="single" w:sz="4" w:space="0" w:color="auto"/>
              <w:left w:val="single" w:sz="4" w:space="0" w:color="auto"/>
              <w:bottom w:val="single" w:sz="4" w:space="0" w:color="auto"/>
              <w:right w:val="single" w:sz="4" w:space="0" w:color="auto"/>
            </w:tcBorders>
            <w:noWrap/>
            <w:vAlign w:val="center"/>
          </w:tcPr>
          <w:p w14:paraId="04D9E38C" w14:textId="78E59263"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35FB3466" w14:textId="1A2DCF50"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0115EBEC" w14:textId="6A76E08A"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single" w:sz="4" w:space="0" w:color="auto"/>
              <w:left w:val="single" w:sz="4" w:space="0" w:color="auto"/>
              <w:bottom w:val="single" w:sz="4" w:space="0" w:color="auto"/>
              <w:right w:val="single" w:sz="4" w:space="0" w:color="auto"/>
            </w:tcBorders>
            <w:noWrap/>
            <w:vAlign w:val="center"/>
          </w:tcPr>
          <w:p w14:paraId="41087F6C" w14:textId="6D90FBFA"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single" w:sz="4" w:space="0" w:color="auto"/>
              <w:left w:val="single" w:sz="4" w:space="0" w:color="auto"/>
              <w:bottom w:val="single" w:sz="4" w:space="0" w:color="auto"/>
              <w:right w:val="single" w:sz="4" w:space="0" w:color="auto"/>
            </w:tcBorders>
            <w:noWrap/>
            <w:vAlign w:val="center"/>
          </w:tcPr>
          <w:p w14:paraId="7E0D1F09" w14:textId="6E1F8A99"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2" w:type="dxa"/>
            <w:tcBorders>
              <w:top w:val="single" w:sz="4" w:space="0" w:color="auto"/>
              <w:left w:val="single" w:sz="4" w:space="0" w:color="auto"/>
              <w:bottom w:val="single" w:sz="4" w:space="0" w:color="auto"/>
              <w:right w:val="single" w:sz="4" w:space="0" w:color="auto"/>
            </w:tcBorders>
            <w:noWrap/>
            <w:vAlign w:val="center"/>
          </w:tcPr>
          <w:p w14:paraId="586C888A" w14:textId="4B14F542"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37" w:type="dxa"/>
            <w:tcBorders>
              <w:top w:val="single" w:sz="4" w:space="0" w:color="auto"/>
              <w:left w:val="single" w:sz="4" w:space="0" w:color="auto"/>
              <w:bottom w:val="single" w:sz="4" w:space="0" w:color="auto"/>
              <w:right w:val="single" w:sz="4" w:space="0" w:color="auto"/>
            </w:tcBorders>
            <w:noWrap/>
            <w:vAlign w:val="center"/>
          </w:tcPr>
          <w:p w14:paraId="56BF021A" w14:textId="7E11D18B"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single" w:sz="4" w:space="0" w:color="auto"/>
              <w:left w:val="single" w:sz="4" w:space="0" w:color="auto"/>
              <w:bottom w:val="single" w:sz="4" w:space="0" w:color="auto"/>
              <w:right w:val="single" w:sz="4" w:space="0" w:color="auto"/>
            </w:tcBorders>
            <w:noWrap/>
            <w:vAlign w:val="center"/>
          </w:tcPr>
          <w:p w14:paraId="78C095D4" w14:textId="0CA0C945"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0F40E5EC" w14:textId="0F5614A4"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47C1449C" w14:textId="7462905F" w:rsidR="003758D4" w:rsidRPr="00131373" w:rsidRDefault="003758D4" w:rsidP="00485C7C">
            <w:pPr>
              <w:jc w:val="center"/>
              <w:rPr>
                <w:color w:val="000000"/>
                <w:sz w:val="15"/>
                <w:szCs w:val="15"/>
              </w:rPr>
            </w:pPr>
            <w:r>
              <w:rPr>
                <w:color w:val="000000"/>
                <w:sz w:val="15"/>
                <w:szCs w:val="15"/>
              </w:rPr>
              <w:t>8</w:t>
            </w:r>
          </w:p>
        </w:tc>
        <w:tc>
          <w:tcPr>
            <w:tcW w:w="1418" w:type="dxa"/>
            <w:tcBorders>
              <w:top w:val="single" w:sz="4" w:space="0" w:color="auto"/>
              <w:left w:val="single" w:sz="4" w:space="0" w:color="auto"/>
              <w:bottom w:val="single" w:sz="4" w:space="0" w:color="auto"/>
              <w:right w:val="single" w:sz="4" w:space="0" w:color="auto"/>
            </w:tcBorders>
            <w:noWrap/>
            <w:vAlign w:val="center"/>
          </w:tcPr>
          <w:p w14:paraId="5C71DF26" w14:textId="04498094" w:rsidR="003758D4" w:rsidRPr="00AA7D9A" w:rsidRDefault="003758D4" w:rsidP="00485C7C">
            <w:pPr>
              <w:jc w:val="center"/>
              <w:rPr>
                <w:color w:val="000000"/>
                <w:sz w:val="15"/>
                <w:szCs w:val="15"/>
              </w:rPr>
            </w:pPr>
            <w:r>
              <w:rPr>
                <w:color w:val="000000"/>
                <w:sz w:val="15"/>
                <w:szCs w:val="15"/>
              </w:rPr>
              <w:t>High</w:t>
            </w:r>
          </w:p>
        </w:tc>
      </w:tr>
      <w:tr w:rsidR="003758D4" w:rsidRPr="00131373" w14:paraId="37CB6A96" w14:textId="77777777" w:rsidTr="00F72FC0">
        <w:trPr>
          <w:trHeight w:val="300"/>
        </w:trPr>
        <w:tc>
          <w:tcPr>
            <w:tcW w:w="1823" w:type="dxa"/>
            <w:tcBorders>
              <w:top w:val="single" w:sz="4" w:space="0" w:color="auto"/>
              <w:left w:val="single" w:sz="4" w:space="0" w:color="auto"/>
              <w:bottom w:val="single" w:sz="4" w:space="0" w:color="auto"/>
              <w:right w:val="single" w:sz="4" w:space="0" w:color="auto"/>
            </w:tcBorders>
            <w:noWrap/>
            <w:vAlign w:val="center"/>
          </w:tcPr>
          <w:p w14:paraId="13F73444" w14:textId="5A5274C1" w:rsidR="003758D4" w:rsidRPr="00131373" w:rsidRDefault="003758D4" w:rsidP="00F72FC0">
            <w:pPr>
              <w:jc w:val="center"/>
              <w:rPr>
                <w:color w:val="000000"/>
                <w:sz w:val="15"/>
                <w:szCs w:val="15"/>
              </w:rPr>
            </w:pPr>
            <w:r>
              <w:rPr>
                <w:color w:val="000000"/>
                <w:sz w:val="15"/>
                <w:szCs w:val="15"/>
              </w:rPr>
              <w:t xml:space="preserve">Inglot et al (2024) </w:t>
            </w:r>
            <w:r>
              <w:rPr>
                <w:color w:val="000000"/>
                <w:sz w:val="15"/>
                <w:szCs w:val="15"/>
              </w:rPr>
              <w:fldChar w:fldCharType="begin"/>
            </w:r>
            <w:r w:rsidR="00485C7C">
              <w:rPr>
                <w:color w:val="000000"/>
                <w:sz w:val="15"/>
                <w:szCs w:val="15"/>
              </w:rPr>
              <w:instrText xml:space="preserve"> ADDIN ZOTERO_ITEM CSL_CITATION {"citationID":"6etoi1Yc","properties":{"formattedCitation":"\\super 57\\nosupersub{}","plainCitation":"57","noteIndex":0},"citationItems":[{"id":3818,"uris":["http://zotero.org/users/5317696/items/AF9QMLB3"],"itemData":{"id":3818,"type":"article-journal","abstract":"AIM: Chronic hepatitis C virus infections can lead to liver fibrosis. Appropriate treatment of chronic hepatitis C may result in significant fibrosis reversal. The best method to assess liver fibrosis is an invasive hepatic biopsy. Among non-invasive options, one of the most recent methods is two-dimensional shearwave elastography, which allows real-time visualization of liver stiffness. The purpose of this study was to analyze changes in liver fibrosis among patients with hepatitis C virus receiving direct-acting antiviral therapy.\nMATERIAL AND METHODS: Five different elastographic measurements in kilopascals were performed in a group of 50 patients before direct-acting antiviral treatment, at the end of treatment, and 24 weeks after the end of treatment, using an Aixplorer® (Supersonic Imagine, France) ultrasound device. The results were correlated with biochemical serum tests, specifically the Fibrosis-4 and AspAT-to-platelet ratio indices.\nRESULTS: Time-dependent alterations of all of the parameters were observed, including a significant decrease in liver stiffness in comparison to baseline values (before treatment). A moderate correlation between liver stiffness measurement values and both Fibrosis-4 and AspAT-to-platelet ratio indices was observed. Interestingly, only liver stiffness and blood platelet count changed over time, regardless of the sex and age of the patient.\nCONCLUSIONS: Two-dimensional shear-wave elastography combined with non-invasive serologic tests like Fibrosis-4 and AspAT-to-platelet ratio indices is a sufficient tool for evaluating liver fibrosis regression during and after direct-acting antiviral therapy.","container-title":"Journal of Ultrasonography","DOI":"10.15557/jou.2024.0038","ISSN":"2084-8404","issue":"99","journalAbbreviation":"J Ultrason","language":"eng","page":"1-10","PMID":"39850931","PMCID":"PMC11755404","source":"PubMed","title":"Evaluation of liver fibrosis in HCV-infected patients using two-dimensional shear-wave elastography (2D-SWE) before and after antiviral treatment","URL":"https://jultrason.pl/index.php/issues/volume-24-no-99-open-issue/evaluation-of-liver-fibrosis-in-hcv-infected-patients-using-two-dimensional-shear-wave-elastography-2d-swe-before-and-after-antiviral-treatment#overlay","volume":"24","author":[{"family":"Inglot","given":"Marcin"},{"family":"Pozowski","given":"Patryk"},{"family":"Misiak","given":"Paula"},{"family":"Fleischer-Stępniewska","given":"Katarzyna"},{"family":"Lewandowski","given":"Łukasz"},{"family":"Bilski","given":"Mateusz"},{"family":"Zaleska-Dorobisz","given":"Urszula"}],"accessed":{"date-parts":[["2026",4,15]]},"issued":{"date-parts":[["2024",12]]}}}],"schema":"https://github.com/citation-style-language/schema/raw/master/csl-citation.json"} </w:instrText>
            </w:r>
            <w:r>
              <w:rPr>
                <w:color w:val="000000"/>
                <w:sz w:val="15"/>
                <w:szCs w:val="15"/>
              </w:rPr>
              <w:fldChar w:fldCharType="separate"/>
            </w:r>
            <w:r w:rsidR="00485C7C" w:rsidRPr="00485C7C">
              <w:rPr>
                <w:sz w:val="15"/>
                <w:vertAlign w:val="superscript"/>
              </w:rPr>
              <w:t>57</w:t>
            </w:r>
            <w:r>
              <w:rPr>
                <w:color w:val="000000"/>
                <w:sz w:val="15"/>
                <w:szCs w:val="15"/>
              </w:rPr>
              <w:fldChar w:fldCharType="end"/>
            </w:r>
          </w:p>
        </w:tc>
        <w:tc>
          <w:tcPr>
            <w:tcW w:w="1276" w:type="dxa"/>
            <w:tcBorders>
              <w:top w:val="single" w:sz="4" w:space="0" w:color="auto"/>
              <w:left w:val="single" w:sz="4" w:space="0" w:color="auto"/>
              <w:bottom w:val="single" w:sz="4" w:space="0" w:color="auto"/>
              <w:right w:val="single" w:sz="4" w:space="0" w:color="auto"/>
            </w:tcBorders>
            <w:noWrap/>
            <w:vAlign w:val="center"/>
          </w:tcPr>
          <w:p w14:paraId="0D9CD8BE" w14:textId="65E2416A" w:rsidR="003758D4" w:rsidRPr="00131373" w:rsidRDefault="003758D4" w:rsidP="00F72FC0">
            <w:pPr>
              <w:jc w:val="center"/>
              <w:rPr>
                <w:color w:val="000000"/>
                <w:sz w:val="15"/>
                <w:szCs w:val="15"/>
              </w:rPr>
            </w:pPr>
            <w:r>
              <w:rPr>
                <w:color w:val="000000"/>
                <w:sz w:val="15"/>
                <w:szCs w:val="15"/>
              </w:rPr>
              <w:t>P</w:t>
            </w:r>
            <w:r w:rsidRPr="00AA7D9A">
              <w:rPr>
                <w:color w:val="000000"/>
                <w:sz w:val="15"/>
                <w:szCs w:val="15"/>
              </w:rPr>
              <w:t>rospective</w:t>
            </w:r>
          </w:p>
        </w:tc>
        <w:tc>
          <w:tcPr>
            <w:tcW w:w="709" w:type="dxa"/>
            <w:tcBorders>
              <w:top w:val="single" w:sz="4" w:space="0" w:color="auto"/>
              <w:left w:val="single" w:sz="4" w:space="0" w:color="auto"/>
              <w:bottom w:val="single" w:sz="4" w:space="0" w:color="auto"/>
              <w:right w:val="single" w:sz="4" w:space="0" w:color="auto"/>
            </w:tcBorders>
            <w:noWrap/>
            <w:vAlign w:val="center"/>
          </w:tcPr>
          <w:p w14:paraId="5533A1CD" w14:textId="0EA02CA0"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38D318D4" w14:textId="31DCC241"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156C5150" w14:textId="7D150011"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single" w:sz="4" w:space="0" w:color="auto"/>
              <w:left w:val="single" w:sz="4" w:space="0" w:color="auto"/>
              <w:bottom w:val="single" w:sz="4" w:space="0" w:color="auto"/>
              <w:right w:val="single" w:sz="4" w:space="0" w:color="auto"/>
            </w:tcBorders>
            <w:noWrap/>
            <w:vAlign w:val="center"/>
          </w:tcPr>
          <w:p w14:paraId="77782ACC" w14:textId="292756B2"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single" w:sz="4" w:space="0" w:color="auto"/>
              <w:left w:val="single" w:sz="4" w:space="0" w:color="auto"/>
              <w:bottom w:val="single" w:sz="4" w:space="0" w:color="auto"/>
              <w:right w:val="single" w:sz="4" w:space="0" w:color="auto"/>
            </w:tcBorders>
            <w:noWrap/>
            <w:vAlign w:val="center"/>
          </w:tcPr>
          <w:p w14:paraId="580ED1EA" w14:textId="6535BBE2"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132" w:type="dxa"/>
            <w:tcBorders>
              <w:top w:val="single" w:sz="4" w:space="0" w:color="auto"/>
              <w:left w:val="single" w:sz="4" w:space="0" w:color="auto"/>
              <w:bottom w:val="single" w:sz="4" w:space="0" w:color="auto"/>
              <w:right w:val="single" w:sz="4" w:space="0" w:color="auto"/>
            </w:tcBorders>
            <w:noWrap/>
            <w:vAlign w:val="center"/>
          </w:tcPr>
          <w:p w14:paraId="4B97D6F3" w14:textId="5975C968"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37" w:type="dxa"/>
            <w:tcBorders>
              <w:top w:val="single" w:sz="4" w:space="0" w:color="auto"/>
              <w:left w:val="single" w:sz="4" w:space="0" w:color="auto"/>
              <w:bottom w:val="single" w:sz="4" w:space="0" w:color="auto"/>
              <w:right w:val="single" w:sz="4" w:space="0" w:color="auto"/>
            </w:tcBorders>
            <w:noWrap/>
            <w:vAlign w:val="center"/>
          </w:tcPr>
          <w:p w14:paraId="1B1DF30F" w14:textId="09F50645"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single" w:sz="4" w:space="0" w:color="auto"/>
              <w:left w:val="single" w:sz="4" w:space="0" w:color="auto"/>
              <w:bottom w:val="single" w:sz="4" w:space="0" w:color="auto"/>
              <w:right w:val="single" w:sz="4" w:space="0" w:color="auto"/>
            </w:tcBorders>
            <w:noWrap/>
            <w:vAlign w:val="center"/>
          </w:tcPr>
          <w:p w14:paraId="67024490" w14:textId="17FE3373"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5D0D3867" w14:textId="0E0886F7" w:rsidR="003758D4" w:rsidRPr="00131373" w:rsidRDefault="003758D4" w:rsidP="00485C7C">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5F39BD6E" w14:textId="7209F258" w:rsidR="003758D4" w:rsidRPr="00131373" w:rsidRDefault="003758D4" w:rsidP="00485C7C">
            <w:pPr>
              <w:jc w:val="center"/>
              <w:rPr>
                <w:color w:val="000000"/>
                <w:sz w:val="15"/>
                <w:szCs w:val="15"/>
              </w:rPr>
            </w:pPr>
            <w:r>
              <w:rPr>
                <w:color w:val="000000"/>
                <w:sz w:val="15"/>
                <w:szCs w:val="15"/>
              </w:rPr>
              <w:t>8</w:t>
            </w:r>
          </w:p>
        </w:tc>
        <w:tc>
          <w:tcPr>
            <w:tcW w:w="1418" w:type="dxa"/>
            <w:tcBorders>
              <w:top w:val="single" w:sz="4" w:space="0" w:color="auto"/>
              <w:left w:val="single" w:sz="4" w:space="0" w:color="auto"/>
              <w:bottom w:val="single" w:sz="4" w:space="0" w:color="auto"/>
              <w:right w:val="single" w:sz="4" w:space="0" w:color="auto"/>
            </w:tcBorders>
            <w:noWrap/>
            <w:vAlign w:val="center"/>
          </w:tcPr>
          <w:p w14:paraId="45250206" w14:textId="543F2FDA" w:rsidR="003758D4" w:rsidRPr="00AA7D9A" w:rsidRDefault="003758D4" w:rsidP="00485C7C">
            <w:pPr>
              <w:jc w:val="center"/>
              <w:rPr>
                <w:color w:val="000000"/>
                <w:sz w:val="15"/>
                <w:szCs w:val="15"/>
              </w:rPr>
            </w:pPr>
            <w:r>
              <w:rPr>
                <w:color w:val="000000"/>
                <w:sz w:val="15"/>
                <w:szCs w:val="15"/>
              </w:rPr>
              <w:t>High</w:t>
            </w:r>
          </w:p>
        </w:tc>
      </w:tr>
      <w:tr w:rsidR="00485C7C" w:rsidRPr="00131373" w14:paraId="15170DFC" w14:textId="77777777" w:rsidTr="00485C7C">
        <w:trPr>
          <w:trHeight w:val="300"/>
        </w:trPr>
        <w:tc>
          <w:tcPr>
            <w:tcW w:w="1823" w:type="dxa"/>
            <w:tcBorders>
              <w:top w:val="single" w:sz="4" w:space="0" w:color="auto"/>
              <w:left w:val="single" w:sz="4" w:space="0" w:color="auto"/>
              <w:bottom w:val="single" w:sz="4" w:space="0" w:color="auto"/>
              <w:right w:val="single" w:sz="4" w:space="0" w:color="auto"/>
            </w:tcBorders>
            <w:noWrap/>
            <w:vAlign w:val="center"/>
          </w:tcPr>
          <w:p w14:paraId="298A26F1" w14:textId="2F316C7B" w:rsidR="00485C7C" w:rsidRPr="00131373" w:rsidRDefault="00485C7C" w:rsidP="009D6B69">
            <w:pPr>
              <w:jc w:val="center"/>
              <w:rPr>
                <w:color w:val="000000"/>
                <w:sz w:val="15"/>
                <w:szCs w:val="15"/>
              </w:rPr>
            </w:pPr>
            <w:proofErr w:type="spellStart"/>
            <w:r>
              <w:rPr>
                <w:color w:val="000000"/>
                <w:sz w:val="15"/>
                <w:szCs w:val="15"/>
              </w:rPr>
              <w:t>Sangineto</w:t>
            </w:r>
            <w:proofErr w:type="spellEnd"/>
            <w:r>
              <w:rPr>
                <w:color w:val="000000"/>
                <w:sz w:val="15"/>
                <w:szCs w:val="15"/>
              </w:rPr>
              <w:t xml:space="preserve"> et al (2021)</w:t>
            </w:r>
            <w:r>
              <w:rPr>
                <w:color w:val="000000"/>
                <w:sz w:val="15"/>
                <w:szCs w:val="15"/>
              </w:rPr>
              <w:fldChar w:fldCharType="begin"/>
            </w:r>
            <w:r>
              <w:rPr>
                <w:color w:val="000000"/>
                <w:sz w:val="15"/>
                <w:szCs w:val="15"/>
              </w:rPr>
              <w:instrText xml:space="preserve"> ADDIN ZOTERO_ITEM CSL_CITATION {"citationID":"RpFsu0bj","properties":{"unsorted":false,"formattedCitation":"\\super 58\\nosupersub{}","plainCitation":"58","noteIndex":0},"citationItems":[{"id":3823,"uris":["http://zotero.org/users/5317696/items/7AI5CM79"],"itemData":{"id":3823,"type":"article-journal","container-title":"Medicina Clínica","DOI":"10.1016/j.medcli.2020.04.050","ISSN":"00257753","issue":"7","journalAbbreviation":"Medicina Clínica","language":"en","page":"317-323","source":"DOI.org (Crossref)","title":"Analysis of hepatic stiffness after viral eradication in a population with chronic hepatitis C treated with DAAs","URL":"https://linkinghub.elsevier.com/retrieve/pii/S0025775320304565","volume":"156","author":[{"family":"Sangineto","given":"Moris"},{"family":"Luglio","given":"Chiara Valentina"},{"family":"Mastrofilippo","given":"Tommaso"},{"family":"Zingaro","given":"Maria Teresa"},{"family":"Berardi","given":"Elsa"},{"family":"Antonica","given":"Gianfranco"},{"family":"Sabbà","given":"Carlo"},{"family":"Napoli","given":"Nicola"}],"accessed":{"date-parts":[["2026",4,15]]},"issued":{"date-parts":[["2021",4]]}}}],"schema":"https://github.com/citation-style-language/schema/raw/master/csl-citation.json"} </w:instrText>
            </w:r>
            <w:r>
              <w:rPr>
                <w:color w:val="000000"/>
                <w:sz w:val="15"/>
                <w:szCs w:val="15"/>
              </w:rPr>
              <w:fldChar w:fldCharType="separate"/>
            </w:r>
            <w:r w:rsidRPr="00485C7C">
              <w:rPr>
                <w:sz w:val="15"/>
                <w:vertAlign w:val="superscript"/>
              </w:rPr>
              <w:t>58</w:t>
            </w:r>
            <w:r>
              <w:rPr>
                <w:color w:val="000000"/>
                <w:sz w:val="15"/>
                <w:szCs w:val="15"/>
              </w:rPr>
              <w:fldChar w:fldCharType="end"/>
            </w:r>
          </w:p>
        </w:tc>
        <w:tc>
          <w:tcPr>
            <w:tcW w:w="1276" w:type="dxa"/>
            <w:tcBorders>
              <w:top w:val="single" w:sz="4" w:space="0" w:color="auto"/>
              <w:left w:val="single" w:sz="4" w:space="0" w:color="auto"/>
              <w:bottom w:val="single" w:sz="4" w:space="0" w:color="auto"/>
              <w:right w:val="single" w:sz="4" w:space="0" w:color="auto"/>
            </w:tcBorders>
            <w:noWrap/>
            <w:vAlign w:val="center"/>
          </w:tcPr>
          <w:p w14:paraId="3404BC2D" w14:textId="77777777" w:rsidR="00485C7C" w:rsidRPr="00131373" w:rsidRDefault="00485C7C" w:rsidP="009D6B69">
            <w:pPr>
              <w:jc w:val="center"/>
              <w:rPr>
                <w:color w:val="000000"/>
                <w:sz w:val="15"/>
                <w:szCs w:val="15"/>
              </w:rPr>
            </w:pPr>
            <w:r>
              <w:rPr>
                <w:color w:val="000000"/>
                <w:sz w:val="15"/>
                <w:szCs w:val="15"/>
              </w:rPr>
              <w:t>Retrospective</w:t>
            </w:r>
          </w:p>
        </w:tc>
        <w:tc>
          <w:tcPr>
            <w:tcW w:w="709" w:type="dxa"/>
            <w:tcBorders>
              <w:top w:val="single" w:sz="4" w:space="0" w:color="auto"/>
              <w:left w:val="single" w:sz="4" w:space="0" w:color="auto"/>
              <w:bottom w:val="single" w:sz="4" w:space="0" w:color="auto"/>
              <w:right w:val="single" w:sz="4" w:space="0" w:color="auto"/>
            </w:tcBorders>
            <w:noWrap/>
            <w:vAlign w:val="center"/>
          </w:tcPr>
          <w:p w14:paraId="34B3CEE8"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w:t>
            </w:r>
          </w:p>
        </w:tc>
        <w:tc>
          <w:tcPr>
            <w:tcW w:w="1134" w:type="dxa"/>
            <w:tcBorders>
              <w:top w:val="single" w:sz="4" w:space="0" w:color="auto"/>
              <w:left w:val="single" w:sz="4" w:space="0" w:color="auto"/>
              <w:bottom w:val="single" w:sz="4" w:space="0" w:color="auto"/>
              <w:right w:val="single" w:sz="4" w:space="0" w:color="auto"/>
            </w:tcBorders>
            <w:noWrap/>
            <w:vAlign w:val="center"/>
          </w:tcPr>
          <w:p w14:paraId="71157BD6"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û</w:t>
            </w:r>
          </w:p>
        </w:tc>
        <w:tc>
          <w:tcPr>
            <w:tcW w:w="1134" w:type="dxa"/>
            <w:tcBorders>
              <w:top w:val="single" w:sz="4" w:space="0" w:color="auto"/>
              <w:left w:val="single" w:sz="4" w:space="0" w:color="auto"/>
              <w:bottom w:val="single" w:sz="4" w:space="0" w:color="auto"/>
              <w:right w:val="single" w:sz="4" w:space="0" w:color="auto"/>
            </w:tcBorders>
            <w:noWrap/>
            <w:vAlign w:val="center"/>
          </w:tcPr>
          <w:p w14:paraId="603CAD9D"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w:t>
            </w:r>
          </w:p>
        </w:tc>
        <w:tc>
          <w:tcPr>
            <w:tcW w:w="1139" w:type="dxa"/>
            <w:tcBorders>
              <w:top w:val="single" w:sz="4" w:space="0" w:color="auto"/>
              <w:left w:val="single" w:sz="4" w:space="0" w:color="auto"/>
              <w:bottom w:val="single" w:sz="4" w:space="0" w:color="auto"/>
              <w:right w:val="single" w:sz="4" w:space="0" w:color="auto"/>
            </w:tcBorders>
            <w:noWrap/>
            <w:vAlign w:val="center"/>
          </w:tcPr>
          <w:p w14:paraId="12DD3708"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w:t>
            </w:r>
          </w:p>
        </w:tc>
        <w:tc>
          <w:tcPr>
            <w:tcW w:w="1131" w:type="dxa"/>
            <w:tcBorders>
              <w:top w:val="single" w:sz="4" w:space="0" w:color="auto"/>
              <w:left w:val="single" w:sz="4" w:space="0" w:color="auto"/>
              <w:bottom w:val="single" w:sz="4" w:space="0" w:color="auto"/>
              <w:right w:val="single" w:sz="4" w:space="0" w:color="auto"/>
            </w:tcBorders>
            <w:noWrap/>
            <w:vAlign w:val="center"/>
          </w:tcPr>
          <w:p w14:paraId="4B94DCF6"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w:t>
            </w:r>
          </w:p>
        </w:tc>
        <w:tc>
          <w:tcPr>
            <w:tcW w:w="1132" w:type="dxa"/>
            <w:tcBorders>
              <w:top w:val="single" w:sz="4" w:space="0" w:color="auto"/>
              <w:left w:val="single" w:sz="4" w:space="0" w:color="auto"/>
              <w:bottom w:val="single" w:sz="4" w:space="0" w:color="auto"/>
              <w:right w:val="single" w:sz="4" w:space="0" w:color="auto"/>
            </w:tcBorders>
            <w:noWrap/>
            <w:vAlign w:val="center"/>
          </w:tcPr>
          <w:p w14:paraId="28EDA5E8"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w:t>
            </w:r>
          </w:p>
        </w:tc>
        <w:tc>
          <w:tcPr>
            <w:tcW w:w="937" w:type="dxa"/>
            <w:tcBorders>
              <w:top w:val="single" w:sz="4" w:space="0" w:color="auto"/>
              <w:left w:val="single" w:sz="4" w:space="0" w:color="auto"/>
              <w:bottom w:val="single" w:sz="4" w:space="0" w:color="auto"/>
              <w:right w:val="single" w:sz="4" w:space="0" w:color="auto"/>
            </w:tcBorders>
            <w:noWrap/>
            <w:vAlign w:val="center"/>
          </w:tcPr>
          <w:p w14:paraId="40027545"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w:t>
            </w:r>
          </w:p>
        </w:tc>
        <w:tc>
          <w:tcPr>
            <w:tcW w:w="1331" w:type="dxa"/>
            <w:tcBorders>
              <w:top w:val="single" w:sz="4" w:space="0" w:color="auto"/>
              <w:left w:val="single" w:sz="4" w:space="0" w:color="auto"/>
              <w:bottom w:val="single" w:sz="4" w:space="0" w:color="auto"/>
              <w:right w:val="single" w:sz="4" w:space="0" w:color="auto"/>
            </w:tcBorders>
            <w:noWrap/>
            <w:vAlign w:val="center"/>
          </w:tcPr>
          <w:p w14:paraId="3959B68D"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41BD1AEF" w14:textId="77777777" w:rsidR="00485C7C" w:rsidRPr="00131373" w:rsidRDefault="00485C7C" w:rsidP="009D6B69">
            <w:pPr>
              <w:jc w:val="center"/>
              <w:rPr>
                <w:rFonts w:ascii="Wingdings" w:hAnsi="Wingdings"/>
                <w:color w:val="000000"/>
                <w:sz w:val="15"/>
                <w:szCs w:val="15"/>
              </w:rPr>
            </w:pPr>
            <w:r w:rsidRPr="00131373">
              <w:rPr>
                <w:rFonts w:ascii="Wingdings" w:hAnsi="Wingdings"/>
                <w:color w:val="000000"/>
                <w:sz w:val="15"/>
                <w:szCs w:val="15"/>
              </w:rPr>
              <w:t>¶</w:t>
            </w:r>
          </w:p>
        </w:tc>
        <w:tc>
          <w:tcPr>
            <w:tcW w:w="992" w:type="dxa"/>
            <w:tcBorders>
              <w:top w:val="single" w:sz="4" w:space="0" w:color="auto"/>
              <w:left w:val="single" w:sz="4" w:space="0" w:color="auto"/>
              <w:bottom w:val="single" w:sz="4" w:space="0" w:color="auto"/>
              <w:right w:val="single" w:sz="4" w:space="0" w:color="auto"/>
            </w:tcBorders>
            <w:noWrap/>
            <w:vAlign w:val="center"/>
          </w:tcPr>
          <w:p w14:paraId="0EBF2941" w14:textId="77777777" w:rsidR="00485C7C" w:rsidRPr="00131373" w:rsidRDefault="00485C7C" w:rsidP="009D6B69">
            <w:pPr>
              <w:jc w:val="center"/>
              <w:rPr>
                <w:color w:val="000000"/>
                <w:sz w:val="15"/>
                <w:szCs w:val="15"/>
              </w:rPr>
            </w:pPr>
            <w:r>
              <w:rPr>
                <w:color w:val="000000"/>
                <w:sz w:val="15"/>
                <w:szCs w:val="15"/>
              </w:rPr>
              <w:t>8</w:t>
            </w:r>
          </w:p>
        </w:tc>
        <w:tc>
          <w:tcPr>
            <w:tcW w:w="1418" w:type="dxa"/>
            <w:tcBorders>
              <w:top w:val="single" w:sz="4" w:space="0" w:color="auto"/>
              <w:left w:val="single" w:sz="4" w:space="0" w:color="auto"/>
              <w:bottom w:val="single" w:sz="4" w:space="0" w:color="auto"/>
              <w:right w:val="single" w:sz="4" w:space="0" w:color="auto"/>
            </w:tcBorders>
            <w:noWrap/>
            <w:vAlign w:val="center"/>
          </w:tcPr>
          <w:p w14:paraId="569E61B4" w14:textId="77777777" w:rsidR="00485C7C" w:rsidRPr="00131373" w:rsidDel="00AA7D9A" w:rsidRDefault="00485C7C" w:rsidP="009D6B69">
            <w:pPr>
              <w:jc w:val="center"/>
              <w:rPr>
                <w:color w:val="000000"/>
                <w:sz w:val="15"/>
                <w:szCs w:val="15"/>
              </w:rPr>
            </w:pPr>
            <w:r>
              <w:rPr>
                <w:color w:val="000000"/>
                <w:sz w:val="15"/>
                <w:szCs w:val="15"/>
              </w:rPr>
              <w:t>High</w:t>
            </w:r>
          </w:p>
        </w:tc>
      </w:tr>
    </w:tbl>
    <w:p w14:paraId="5DED2D6C" w14:textId="77777777" w:rsidR="00116234" w:rsidRPr="00E20B89" w:rsidRDefault="00116234" w:rsidP="00116234">
      <w:pPr>
        <w:rPr>
          <w:b/>
          <w:bCs/>
          <w:sz w:val="20"/>
          <w:szCs w:val="20"/>
        </w:rPr>
      </w:pPr>
      <w:r w:rsidRPr="00E20B89">
        <w:rPr>
          <w:rFonts w:ascii="Wingdings" w:hAnsi="Wingdings" w:cs="Calibri"/>
          <w:color w:val="000000"/>
          <w:sz w:val="15"/>
          <w:szCs w:val="15"/>
        </w:rPr>
        <w:t>¶</w:t>
      </w:r>
      <w:r w:rsidRPr="00E20B89">
        <w:rPr>
          <w:color w:val="000000"/>
          <w:sz w:val="15"/>
          <w:szCs w:val="15"/>
        </w:rPr>
        <w:t xml:space="preserve">= 1 point, </w:t>
      </w:r>
      <w:r w:rsidRPr="00E20B89">
        <w:rPr>
          <w:rFonts w:ascii="Wingdings" w:hAnsi="Wingdings" w:cs="Calibri"/>
          <w:color w:val="000000"/>
          <w:sz w:val="15"/>
          <w:szCs w:val="15"/>
        </w:rPr>
        <w:t>û</w:t>
      </w:r>
      <w:r w:rsidRPr="00E20B89">
        <w:rPr>
          <w:color w:val="000000"/>
          <w:sz w:val="15"/>
          <w:szCs w:val="15"/>
        </w:rPr>
        <w:t>= 0 point</w:t>
      </w:r>
    </w:p>
    <w:p w14:paraId="5062DD35" w14:textId="77777777" w:rsidR="00B052FE" w:rsidRPr="00E20B89" w:rsidRDefault="00B052FE" w:rsidP="00116234">
      <w:pPr>
        <w:ind w:firstLine="720"/>
        <w:rPr>
          <w:b/>
          <w:bCs/>
          <w:sz w:val="20"/>
          <w:szCs w:val="20"/>
        </w:rPr>
      </w:pPr>
    </w:p>
    <w:p w14:paraId="2DC6ED52" w14:textId="2F7096EF" w:rsidR="00116234" w:rsidRDefault="006C21BE" w:rsidP="006C21BE">
      <w:pPr>
        <w:pStyle w:val="ListParagraph"/>
        <w:numPr>
          <w:ilvl w:val="0"/>
          <w:numId w:val="1"/>
        </w:numPr>
        <w:tabs>
          <w:tab w:val="left" w:pos="656"/>
        </w:tabs>
        <w:rPr>
          <w:sz w:val="20"/>
          <w:szCs w:val="20"/>
        </w:rPr>
      </w:pPr>
      <w:r>
        <w:rPr>
          <w:sz w:val="20"/>
          <w:szCs w:val="20"/>
        </w:rPr>
        <w:t>NOS grading of Liver Biopsy Studies :</w:t>
      </w:r>
    </w:p>
    <w:tbl>
      <w:tblPr>
        <w:tblW w:w="1514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23"/>
        <w:gridCol w:w="1276"/>
        <w:gridCol w:w="709"/>
        <w:gridCol w:w="1134"/>
        <w:gridCol w:w="1134"/>
        <w:gridCol w:w="1139"/>
        <w:gridCol w:w="1131"/>
        <w:gridCol w:w="1132"/>
        <w:gridCol w:w="937"/>
        <w:gridCol w:w="1331"/>
        <w:gridCol w:w="992"/>
        <w:gridCol w:w="992"/>
        <w:gridCol w:w="1418"/>
      </w:tblGrid>
      <w:tr w:rsidR="006C21BE" w:rsidRPr="00131373" w14:paraId="6FF145F4" w14:textId="77777777" w:rsidTr="00274B66">
        <w:trPr>
          <w:trHeight w:val="300"/>
        </w:trPr>
        <w:tc>
          <w:tcPr>
            <w:tcW w:w="1823" w:type="dxa"/>
            <w:noWrap/>
            <w:vAlign w:val="bottom"/>
          </w:tcPr>
          <w:p w14:paraId="4D5DF143" w14:textId="77777777" w:rsidR="006C21BE" w:rsidRPr="00131373" w:rsidRDefault="006C21BE" w:rsidP="009D6B69">
            <w:pPr>
              <w:jc w:val="center"/>
              <w:rPr>
                <w:b/>
                <w:bCs/>
                <w:color w:val="000000"/>
                <w:sz w:val="15"/>
                <w:szCs w:val="15"/>
              </w:rPr>
            </w:pPr>
            <w:r w:rsidRPr="00131373">
              <w:rPr>
                <w:b/>
                <w:bCs/>
                <w:color w:val="000000"/>
                <w:sz w:val="15"/>
                <w:szCs w:val="15"/>
              </w:rPr>
              <w:t>Study</w:t>
            </w:r>
          </w:p>
        </w:tc>
        <w:tc>
          <w:tcPr>
            <w:tcW w:w="1276" w:type="dxa"/>
            <w:noWrap/>
            <w:vAlign w:val="bottom"/>
          </w:tcPr>
          <w:p w14:paraId="27FD790C" w14:textId="77777777" w:rsidR="006C21BE" w:rsidRPr="00131373" w:rsidRDefault="006C21BE" w:rsidP="009D6B69">
            <w:pPr>
              <w:jc w:val="center"/>
              <w:rPr>
                <w:b/>
                <w:bCs/>
                <w:color w:val="000000"/>
                <w:sz w:val="15"/>
                <w:szCs w:val="15"/>
              </w:rPr>
            </w:pPr>
            <w:r w:rsidRPr="00131373">
              <w:rPr>
                <w:b/>
                <w:bCs/>
                <w:color w:val="000000"/>
                <w:sz w:val="15"/>
                <w:szCs w:val="15"/>
              </w:rPr>
              <w:t>Design</w:t>
            </w:r>
          </w:p>
        </w:tc>
        <w:tc>
          <w:tcPr>
            <w:tcW w:w="4116" w:type="dxa"/>
            <w:gridSpan w:val="4"/>
            <w:noWrap/>
            <w:vAlign w:val="bottom"/>
          </w:tcPr>
          <w:p w14:paraId="421995CE" w14:textId="77777777" w:rsidR="006C21BE" w:rsidRPr="00131373" w:rsidRDefault="006C21BE" w:rsidP="009D6B69">
            <w:pPr>
              <w:jc w:val="center"/>
              <w:rPr>
                <w:b/>
                <w:bCs/>
                <w:color w:val="000000"/>
                <w:sz w:val="15"/>
                <w:szCs w:val="15"/>
              </w:rPr>
            </w:pPr>
            <w:r w:rsidRPr="00131373">
              <w:rPr>
                <w:b/>
                <w:bCs/>
                <w:color w:val="000000"/>
                <w:sz w:val="15"/>
                <w:szCs w:val="15"/>
              </w:rPr>
              <w:t>Selection</w:t>
            </w:r>
          </w:p>
        </w:tc>
        <w:tc>
          <w:tcPr>
            <w:tcW w:w="2263" w:type="dxa"/>
            <w:gridSpan w:val="2"/>
            <w:noWrap/>
            <w:vAlign w:val="bottom"/>
          </w:tcPr>
          <w:p w14:paraId="6A94CE82" w14:textId="77777777" w:rsidR="006C21BE" w:rsidRPr="00131373" w:rsidRDefault="006C21BE" w:rsidP="009D6B69">
            <w:pPr>
              <w:jc w:val="center"/>
              <w:rPr>
                <w:b/>
                <w:bCs/>
                <w:color w:val="000000"/>
                <w:sz w:val="15"/>
                <w:szCs w:val="15"/>
              </w:rPr>
            </w:pPr>
            <w:r w:rsidRPr="00131373">
              <w:rPr>
                <w:b/>
                <w:bCs/>
                <w:color w:val="000000"/>
                <w:sz w:val="15"/>
                <w:szCs w:val="15"/>
              </w:rPr>
              <w:t>Comparability</w:t>
            </w:r>
          </w:p>
        </w:tc>
        <w:tc>
          <w:tcPr>
            <w:tcW w:w="3260" w:type="dxa"/>
            <w:gridSpan w:val="3"/>
            <w:noWrap/>
            <w:vAlign w:val="bottom"/>
          </w:tcPr>
          <w:p w14:paraId="69C346C9" w14:textId="77777777" w:rsidR="006C21BE" w:rsidRPr="00131373" w:rsidRDefault="006C21BE" w:rsidP="009D6B69">
            <w:pPr>
              <w:jc w:val="center"/>
              <w:rPr>
                <w:b/>
                <w:bCs/>
                <w:color w:val="000000"/>
                <w:sz w:val="15"/>
                <w:szCs w:val="15"/>
              </w:rPr>
            </w:pPr>
            <w:r w:rsidRPr="00131373">
              <w:rPr>
                <w:b/>
                <w:bCs/>
                <w:color w:val="000000"/>
                <w:sz w:val="15"/>
                <w:szCs w:val="15"/>
              </w:rPr>
              <w:t>Outcome</w:t>
            </w:r>
          </w:p>
        </w:tc>
        <w:tc>
          <w:tcPr>
            <w:tcW w:w="992" w:type="dxa"/>
            <w:noWrap/>
            <w:vAlign w:val="bottom"/>
          </w:tcPr>
          <w:p w14:paraId="037F8D00" w14:textId="77777777" w:rsidR="006C21BE" w:rsidRPr="00131373" w:rsidRDefault="006C21BE" w:rsidP="009D6B69">
            <w:pPr>
              <w:jc w:val="center"/>
              <w:rPr>
                <w:b/>
                <w:bCs/>
                <w:color w:val="000000"/>
                <w:sz w:val="15"/>
                <w:szCs w:val="15"/>
              </w:rPr>
            </w:pPr>
            <w:r w:rsidRPr="00131373">
              <w:rPr>
                <w:b/>
                <w:bCs/>
                <w:color w:val="000000"/>
                <w:sz w:val="15"/>
                <w:szCs w:val="15"/>
              </w:rPr>
              <w:t> </w:t>
            </w:r>
          </w:p>
        </w:tc>
        <w:tc>
          <w:tcPr>
            <w:tcW w:w="1418" w:type="dxa"/>
            <w:noWrap/>
            <w:vAlign w:val="bottom"/>
          </w:tcPr>
          <w:p w14:paraId="4F50F5C4" w14:textId="77777777" w:rsidR="006C21BE" w:rsidRPr="00131373" w:rsidRDefault="006C21BE" w:rsidP="009D6B69">
            <w:pPr>
              <w:jc w:val="center"/>
              <w:rPr>
                <w:b/>
                <w:bCs/>
                <w:color w:val="000000"/>
                <w:sz w:val="15"/>
                <w:szCs w:val="15"/>
              </w:rPr>
            </w:pPr>
            <w:r w:rsidRPr="00131373">
              <w:rPr>
                <w:b/>
                <w:bCs/>
                <w:color w:val="000000"/>
                <w:sz w:val="15"/>
                <w:szCs w:val="15"/>
              </w:rPr>
              <w:t> </w:t>
            </w:r>
          </w:p>
        </w:tc>
      </w:tr>
      <w:tr w:rsidR="006C21BE" w:rsidRPr="00131373" w14:paraId="05FF42F6" w14:textId="77777777" w:rsidTr="00274B66">
        <w:trPr>
          <w:trHeight w:val="300"/>
        </w:trPr>
        <w:tc>
          <w:tcPr>
            <w:tcW w:w="1823" w:type="dxa"/>
            <w:vAlign w:val="bottom"/>
          </w:tcPr>
          <w:p w14:paraId="1615951C" w14:textId="77777777" w:rsidR="006C21BE" w:rsidRPr="00131373" w:rsidRDefault="006C21BE" w:rsidP="009D6B69">
            <w:pPr>
              <w:jc w:val="center"/>
              <w:rPr>
                <w:b/>
                <w:bCs/>
                <w:color w:val="000000"/>
                <w:sz w:val="15"/>
                <w:szCs w:val="15"/>
              </w:rPr>
            </w:pPr>
            <w:r w:rsidRPr="00131373">
              <w:rPr>
                <w:b/>
                <w:bCs/>
                <w:color w:val="000000"/>
                <w:sz w:val="15"/>
                <w:szCs w:val="15"/>
              </w:rPr>
              <w:t> </w:t>
            </w:r>
          </w:p>
        </w:tc>
        <w:tc>
          <w:tcPr>
            <w:tcW w:w="1276" w:type="dxa"/>
            <w:vAlign w:val="bottom"/>
          </w:tcPr>
          <w:p w14:paraId="55060333" w14:textId="77777777" w:rsidR="006C21BE" w:rsidRPr="00131373" w:rsidRDefault="006C21BE" w:rsidP="009D6B69">
            <w:pPr>
              <w:jc w:val="center"/>
              <w:rPr>
                <w:b/>
                <w:bCs/>
                <w:color w:val="000000"/>
                <w:sz w:val="15"/>
                <w:szCs w:val="15"/>
              </w:rPr>
            </w:pPr>
            <w:r w:rsidRPr="00131373">
              <w:rPr>
                <w:b/>
                <w:bCs/>
                <w:color w:val="000000"/>
                <w:sz w:val="15"/>
                <w:szCs w:val="15"/>
              </w:rPr>
              <w:t> </w:t>
            </w:r>
          </w:p>
        </w:tc>
        <w:tc>
          <w:tcPr>
            <w:tcW w:w="709" w:type="dxa"/>
            <w:vAlign w:val="bottom"/>
          </w:tcPr>
          <w:p w14:paraId="62B5A5EC" w14:textId="77777777" w:rsidR="006C21BE" w:rsidRPr="00131373" w:rsidRDefault="006C21BE" w:rsidP="009D6B69">
            <w:pPr>
              <w:jc w:val="center"/>
              <w:rPr>
                <w:b/>
                <w:bCs/>
                <w:color w:val="000000"/>
                <w:sz w:val="15"/>
                <w:szCs w:val="15"/>
              </w:rPr>
            </w:pPr>
            <w:r w:rsidRPr="00131373">
              <w:rPr>
                <w:b/>
                <w:bCs/>
                <w:color w:val="000000"/>
                <w:sz w:val="15"/>
                <w:szCs w:val="15"/>
              </w:rPr>
              <w:t>1</w:t>
            </w:r>
          </w:p>
        </w:tc>
        <w:tc>
          <w:tcPr>
            <w:tcW w:w="1134" w:type="dxa"/>
            <w:vAlign w:val="bottom"/>
          </w:tcPr>
          <w:p w14:paraId="6DAB4C3D" w14:textId="77777777" w:rsidR="006C21BE" w:rsidRPr="00131373" w:rsidRDefault="006C21BE" w:rsidP="009D6B69">
            <w:pPr>
              <w:jc w:val="center"/>
              <w:rPr>
                <w:b/>
                <w:bCs/>
                <w:color w:val="000000"/>
                <w:sz w:val="15"/>
                <w:szCs w:val="15"/>
              </w:rPr>
            </w:pPr>
            <w:r w:rsidRPr="00131373">
              <w:rPr>
                <w:b/>
                <w:bCs/>
                <w:color w:val="000000"/>
                <w:sz w:val="15"/>
                <w:szCs w:val="15"/>
              </w:rPr>
              <w:t>2</w:t>
            </w:r>
          </w:p>
        </w:tc>
        <w:tc>
          <w:tcPr>
            <w:tcW w:w="1134" w:type="dxa"/>
            <w:vAlign w:val="bottom"/>
          </w:tcPr>
          <w:p w14:paraId="5F98A383" w14:textId="77777777" w:rsidR="006C21BE" w:rsidRPr="00131373" w:rsidRDefault="006C21BE" w:rsidP="009D6B69">
            <w:pPr>
              <w:jc w:val="center"/>
              <w:rPr>
                <w:b/>
                <w:bCs/>
                <w:color w:val="000000"/>
                <w:sz w:val="15"/>
                <w:szCs w:val="15"/>
              </w:rPr>
            </w:pPr>
            <w:r w:rsidRPr="00131373">
              <w:rPr>
                <w:b/>
                <w:bCs/>
                <w:color w:val="000000"/>
                <w:sz w:val="15"/>
                <w:szCs w:val="15"/>
              </w:rPr>
              <w:t>3</w:t>
            </w:r>
          </w:p>
        </w:tc>
        <w:tc>
          <w:tcPr>
            <w:tcW w:w="1139" w:type="dxa"/>
            <w:vAlign w:val="bottom"/>
          </w:tcPr>
          <w:p w14:paraId="7DC5D365" w14:textId="77777777" w:rsidR="006C21BE" w:rsidRPr="00131373" w:rsidRDefault="006C21BE" w:rsidP="009D6B69">
            <w:pPr>
              <w:jc w:val="center"/>
              <w:rPr>
                <w:b/>
                <w:bCs/>
                <w:color w:val="000000"/>
                <w:sz w:val="15"/>
                <w:szCs w:val="15"/>
              </w:rPr>
            </w:pPr>
            <w:r w:rsidRPr="00131373">
              <w:rPr>
                <w:b/>
                <w:bCs/>
                <w:color w:val="000000"/>
                <w:sz w:val="15"/>
                <w:szCs w:val="15"/>
              </w:rPr>
              <w:t>4</w:t>
            </w:r>
          </w:p>
        </w:tc>
        <w:tc>
          <w:tcPr>
            <w:tcW w:w="1131" w:type="dxa"/>
            <w:vAlign w:val="bottom"/>
          </w:tcPr>
          <w:p w14:paraId="294BBEBB" w14:textId="77777777" w:rsidR="006C21BE" w:rsidRPr="00131373" w:rsidRDefault="006C21BE" w:rsidP="009D6B69">
            <w:pPr>
              <w:jc w:val="center"/>
              <w:rPr>
                <w:b/>
                <w:bCs/>
                <w:color w:val="000000"/>
                <w:sz w:val="15"/>
                <w:szCs w:val="15"/>
              </w:rPr>
            </w:pPr>
            <w:r w:rsidRPr="00131373">
              <w:rPr>
                <w:b/>
                <w:bCs/>
                <w:color w:val="000000"/>
                <w:sz w:val="15"/>
                <w:szCs w:val="15"/>
              </w:rPr>
              <w:t>5</w:t>
            </w:r>
          </w:p>
        </w:tc>
        <w:tc>
          <w:tcPr>
            <w:tcW w:w="1132" w:type="dxa"/>
            <w:vAlign w:val="bottom"/>
          </w:tcPr>
          <w:p w14:paraId="59E0DB48" w14:textId="2A81E30C" w:rsidR="006C21BE" w:rsidRPr="00131373" w:rsidRDefault="00570FB6" w:rsidP="009D6B69">
            <w:pPr>
              <w:jc w:val="center"/>
              <w:rPr>
                <w:b/>
                <w:bCs/>
                <w:color w:val="000000"/>
                <w:sz w:val="15"/>
                <w:szCs w:val="15"/>
              </w:rPr>
            </w:pPr>
            <w:r>
              <w:rPr>
                <w:b/>
                <w:bCs/>
                <w:color w:val="000000"/>
                <w:sz w:val="15"/>
                <w:szCs w:val="15"/>
              </w:rPr>
              <w:t>6</w:t>
            </w:r>
          </w:p>
        </w:tc>
        <w:tc>
          <w:tcPr>
            <w:tcW w:w="937" w:type="dxa"/>
            <w:vAlign w:val="bottom"/>
          </w:tcPr>
          <w:p w14:paraId="224940B6" w14:textId="13069017" w:rsidR="006C21BE" w:rsidRPr="00131373" w:rsidRDefault="00570FB6" w:rsidP="009D6B69">
            <w:pPr>
              <w:jc w:val="center"/>
              <w:rPr>
                <w:b/>
                <w:bCs/>
                <w:color w:val="000000"/>
                <w:sz w:val="15"/>
                <w:szCs w:val="15"/>
              </w:rPr>
            </w:pPr>
            <w:r>
              <w:rPr>
                <w:b/>
                <w:bCs/>
                <w:color w:val="000000"/>
                <w:sz w:val="15"/>
                <w:szCs w:val="15"/>
              </w:rPr>
              <w:t>7</w:t>
            </w:r>
          </w:p>
        </w:tc>
        <w:tc>
          <w:tcPr>
            <w:tcW w:w="1331" w:type="dxa"/>
            <w:vAlign w:val="bottom"/>
          </w:tcPr>
          <w:p w14:paraId="6F443AA4" w14:textId="25437892" w:rsidR="006C21BE" w:rsidRPr="00131373" w:rsidRDefault="00570FB6" w:rsidP="009D6B69">
            <w:pPr>
              <w:jc w:val="center"/>
              <w:rPr>
                <w:b/>
                <w:bCs/>
                <w:color w:val="000000"/>
                <w:sz w:val="15"/>
                <w:szCs w:val="15"/>
              </w:rPr>
            </w:pPr>
            <w:r>
              <w:rPr>
                <w:b/>
                <w:bCs/>
                <w:color w:val="000000"/>
                <w:sz w:val="15"/>
                <w:szCs w:val="15"/>
              </w:rPr>
              <w:t>8</w:t>
            </w:r>
          </w:p>
        </w:tc>
        <w:tc>
          <w:tcPr>
            <w:tcW w:w="992" w:type="dxa"/>
            <w:vAlign w:val="bottom"/>
          </w:tcPr>
          <w:p w14:paraId="278A8C15" w14:textId="1101FB18" w:rsidR="006C21BE" w:rsidRPr="00131373" w:rsidRDefault="00570FB6" w:rsidP="009D6B69">
            <w:pPr>
              <w:jc w:val="center"/>
              <w:rPr>
                <w:b/>
                <w:bCs/>
                <w:color w:val="000000"/>
                <w:sz w:val="15"/>
                <w:szCs w:val="15"/>
              </w:rPr>
            </w:pPr>
            <w:r>
              <w:rPr>
                <w:b/>
                <w:bCs/>
                <w:color w:val="000000"/>
                <w:sz w:val="15"/>
                <w:szCs w:val="15"/>
              </w:rPr>
              <w:t>9</w:t>
            </w:r>
          </w:p>
        </w:tc>
        <w:tc>
          <w:tcPr>
            <w:tcW w:w="992" w:type="dxa"/>
            <w:vAlign w:val="bottom"/>
          </w:tcPr>
          <w:p w14:paraId="092CC7B1" w14:textId="77777777" w:rsidR="006C21BE" w:rsidRPr="00131373" w:rsidRDefault="006C21BE" w:rsidP="009D6B69">
            <w:pPr>
              <w:jc w:val="center"/>
              <w:rPr>
                <w:b/>
                <w:bCs/>
                <w:color w:val="000000"/>
                <w:sz w:val="15"/>
                <w:szCs w:val="15"/>
              </w:rPr>
            </w:pPr>
            <w:r w:rsidRPr="00131373">
              <w:rPr>
                <w:b/>
                <w:bCs/>
                <w:color w:val="000000"/>
                <w:sz w:val="15"/>
                <w:szCs w:val="15"/>
              </w:rPr>
              <w:t> </w:t>
            </w:r>
          </w:p>
        </w:tc>
        <w:tc>
          <w:tcPr>
            <w:tcW w:w="1418" w:type="dxa"/>
            <w:vAlign w:val="bottom"/>
          </w:tcPr>
          <w:p w14:paraId="15F57E69" w14:textId="77777777" w:rsidR="006C21BE" w:rsidRPr="00131373" w:rsidRDefault="006C21BE" w:rsidP="009D6B69">
            <w:pPr>
              <w:jc w:val="center"/>
              <w:rPr>
                <w:b/>
                <w:bCs/>
                <w:color w:val="000000"/>
                <w:sz w:val="15"/>
                <w:szCs w:val="15"/>
              </w:rPr>
            </w:pPr>
            <w:r w:rsidRPr="00131373">
              <w:rPr>
                <w:b/>
                <w:bCs/>
                <w:color w:val="000000"/>
                <w:sz w:val="15"/>
                <w:szCs w:val="15"/>
              </w:rPr>
              <w:t> </w:t>
            </w:r>
          </w:p>
        </w:tc>
      </w:tr>
      <w:tr w:rsidR="006C21BE" w:rsidRPr="00131373" w14:paraId="273CBD5A" w14:textId="77777777" w:rsidTr="00274B66">
        <w:trPr>
          <w:trHeight w:val="960"/>
        </w:trPr>
        <w:tc>
          <w:tcPr>
            <w:tcW w:w="1823" w:type="dxa"/>
            <w:vAlign w:val="center"/>
          </w:tcPr>
          <w:p w14:paraId="2CB88F6A" w14:textId="77777777" w:rsidR="006C21BE" w:rsidRPr="00131373" w:rsidRDefault="006C21BE" w:rsidP="009D6B69">
            <w:pPr>
              <w:jc w:val="center"/>
              <w:rPr>
                <w:color w:val="000000"/>
                <w:sz w:val="15"/>
                <w:szCs w:val="15"/>
              </w:rPr>
            </w:pPr>
            <w:r w:rsidRPr="00131373">
              <w:rPr>
                <w:color w:val="000000"/>
                <w:sz w:val="15"/>
                <w:szCs w:val="15"/>
              </w:rPr>
              <w:t> </w:t>
            </w:r>
          </w:p>
        </w:tc>
        <w:tc>
          <w:tcPr>
            <w:tcW w:w="1276" w:type="dxa"/>
            <w:vAlign w:val="center"/>
          </w:tcPr>
          <w:p w14:paraId="3F62AA41" w14:textId="77777777" w:rsidR="006C21BE" w:rsidRPr="00131373" w:rsidRDefault="006C21BE" w:rsidP="009D6B69">
            <w:pPr>
              <w:jc w:val="center"/>
              <w:rPr>
                <w:color w:val="000000"/>
                <w:sz w:val="15"/>
                <w:szCs w:val="15"/>
              </w:rPr>
            </w:pPr>
            <w:r w:rsidRPr="00131373">
              <w:rPr>
                <w:color w:val="000000"/>
                <w:sz w:val="15"/>
                <w:szCs w:val="15"/>
              </w:rPr>
              <w:t> </w:t>
            </w:r>
          </w:p>
        </w:tc>
        <w:tc>
          <w:tcPr>
            <w:tcW w:w="709" w:type="dxa"/>
            <w:vAlign w:val="center"/>
          </w:tcPr>
          <w:p w14:paraId="472A43CC" w14:textId="77777777" w:rsidR="006C21BE" w:rsidRPr="00131373" w:rsidRDefault="006C21BE" w:rsidP="009D6B69">
            <w:pPr>
              <w:jc w:val="center"/>
              <w:rPr>
                <w:color w:val="000000"/>
                <w:sz w:val="15"/>
                <w:szCs w:val="15"/>
              </w:rPr>
            </w:pPr>
            <w:r w:rsidRPr="00131373">
              <w:rPr>
                <w:color w:val="000000"/>
                <w:sz w:val="15"/>
                <w:szCs w:val="15"/>
              </w:rPr>
              <w:t>Representativeness of the exposed cohort</w:t>
            </w:r>
          </w:p>
        </w:tc>
        <w:tc>
          <w:tcPr>
            <w:tcW w:w="1134" w:type="dxa"/>
            <w:vAlign w:val="center"/>
          </w:tcPr>
          <w:p w14:paraId="3B77CE30" w14:textId="77777777" w:rsidR="006C21BE" w:rsidRPr="00131373" w:rsidRDefault="006C21BE" w:rsidP="009D6B69">
            <w:pPr>
              <w:jc w:val="center"/>
              <w:rPr>
                <w:color w:val="000000"/>
                <w:sz w:val="15"/>
                <w:szCs w:val="15"/>
              </w:rPr>
            </w:pPr>
            <w:r w:rsidRPr="00131373">
              <w:rPr>
                <w:color w:val="000000"/>
                <w:sz w:val="15"/>
                <w:szCs w:val="15"/>
              </w:rPr>
              <w:t>Selection of the non-exposed cohort</w:t>
            </w:r>
          </w:p>
        </w:tc>
        <w:tc>
          <w:tcPr>
            <w:tcW w:w="1134" w:type="dxa"/>
            <w:vAlign w:val="center"/>
          </w:tcPr>
          <w:p w14:paraId="7E2DE28C" w14:textId="77777777" w:rsidR="006C21BE" w:rsidRPr="00131373" w:rsidRDefault="006C21BE" w:rsidP="009D6B69">
            <w:pPr>
              <w:jc w:val="center"/>
              <w:rPr>
                <w:color w:val="000000"/>
                <w:sz w:val="15"/>
                <w:szCs w:val="15"/>
              </w:rPr>
            </w:pPr>
            <w:r w:rsidRPr="00131373">
              <w:rPr>
                <w:color w:val="000000"/>
                <w:sz w:val="15"/>
                <w:szCs w:val="15"/>
              </w:rPr>
              <w:t>Ascertainment of exposure</w:t>
            </w:r>
          </w:p>
        </w:tc>
        <w:tc>
          <w:tcPr>
            <w:tcW w:w="1139" w:type="dxa"/>
            <w:vAlign w:val="center"/>
          </w:tcPr>
          <w:p w14:paraId="41591044" w14:textId="77777777" w:rsidR="006C21BE" w:rsidRPr="00131373" w:rsidRDefault="006C21BE" w:rsidP="009D6B69">
            <w:pPr>
              <w:jc w:val="center"/>
              <w:rPr>
                <w:color w:val="000000"/>
                <w:sz w:val="15"/>
                <w:szCs w:val="15"/>
              </w:rPr>
            </w:pPr>
            <w:r w:rsidRPr="00131373">
              <w:rPr>
                <w:color w:val="000000"/>
                <w:sz w:val="15"/>
                <w:szCs w:val="15"/>
              </w:rPr>
              <w:t>Demonstration that outcome of interest was not present at start of study</w:t>
            </w:r>
          </w:p>
        </w:tc>
        <w:tc>
          <w:tcPr>
            <w:tcW w:w="1131" w:type="dxa"/>
            <w:vAlign w:val="center"/>
          </w:tcPr>
          <w:p w14:paraId="10D1E0D7" w14:textId="77777777" w:rsidR="006C21BE" w:rsidRPr="00131373" w:rsidRDefault="006C21BE" w:rsidP="009D6B69">
            <w:pPr>
              <w:jc w:val="center"/>
              <w:rPr>
                <w:color w:val="000000"/>
                <w:sz w:val="15"/>
                <w:szCs w:val="15"/>
              </w:rPr>
            </w:pPr>
            <w:r w:rsidRPr="00131373">
              <w:rPr>
                <w:color w:val="000000"/>
                <w:sz w:val="15"/>
                <w:szCs w:val="15"/>
              </w:rPr>
              <w:t>Study controls for (Comparability on Design)</w:t>
            </w:r>
          </w:p>
        </w:tc>
        <w:tc>
          <w:tcPr>
            <w:tcW w:w="1132" w:type="dxa"/>
            <w:vAlign w:val="center"/>
          </w:tcPr>
          <w:p w14:paraId="5EAB4D4E" w14:textId="77777777" w:rsidR="006C21BE" w:rsidRPr="00131373" w:rsidRDefault="006C21BE" w:rsidP="009D6B69">
            <w:pPr>
              <w:jc w:val="center"/>
              <w:rPr>
                <w:color w:val="000000"/>
                <w:sz w:val="15"/>
                <w:szCs w:val="15"/>
              </w:rPr>
            </w:pPr>
            <w:r w:rsidRPr="00131373">
              <w:rPr>
                <w:color w:val="000000"/>
                <w:sz w:val="15"/>
                <w:szCs w:val="15"/>
              </w:rPr>
              <w:t>Study controls for any additional factor (Additional Confounders)</w:t>
            </w:r>
          </w:p>
        </w:tc>
        <w:tc>
          <w:tcPr>
            <w:tcW w:w="937" w:type="dxa"/>
            <w:vAlign w:val="center"/>
          </w:tcPr>
          <w:p w14:paraId="6CC181D3" w14:textId="77777777" w:rsidR="006C21BE" w:rsidRPr="00131373" w:rsidRDefault="006C21BE" w:rsidP="009D6B69">
            <w:pPr>
              <w:jc w:val="center"/>
              <w:rPr>
                <w:color w:val="000000"/>
                <w:sz w:val="15"/>
                <w:szCs w:val="15"/>
              </w:rPr>
            </w:pPr>
            <w:r w:rsidRPr="00131373">
              <w:rPr>
                <w:color w:val="000000"/>
                <w:sz w:val="15"/>
                <w:szCs w:val="15"/>
              </w:rPr>
              <w:t>Assessment of outcome</w:t>
            </w:r>
          </w:p>
        </w:tc>
        <w:tc>
          <w:tcPr>
            <w:tcW w:w="1331" w:type="dxa"/>
            <w:vAlign w:val="center"/>
          </w:tcPr>
          <w:p w14:paraId="569E6959" w14:textId="77777777" w:rsidR="006C21BE" w:rsidRPr="00131373" w:rsidRDefault="006C21BE" w:rsidP="009D6B69">
            <w:pPr>
              <w:jc w:val="center"/>
              <w:rPr>
                <w:color w:val="000000"/>
                <w:sz w:val="15"/>
                <w:szCs w:val="15"/>
              </w:rPr>
            </w:pPr>
            <w:r w:rsidRPr="00131373">
              <w:rPr>
                <w:color w:val="000000"/>
                <w:sz w:val="15"/>
                <w:szCs w:val="15"/>
              </w:rPr>
              <w:t>Was follow-up long enough for outcomes to occur</w:t>
            </w:r>
          </w:p>
        </w:tc>
        <w:tc>
          <w:tcPr>
            <w:tcW w:w="992" w:type="dxa"/>
            <w:vAlign w:val="center"/>
          </w:tcPr>
          <w:p w14:paraId="163C522D" w14:textId="77777777" w:rsidR="006C21BE" w:rsidRPr="00131373" w:rsidRDefault="006C21BE" w:rsidP="009D6B69">
            <w:pPr>
              <w:jc w:val="center"/>
              <w:rPr>
                <w:color w:val="000000"/>
                <w:sz w:val="15"/>
                <w:szCs w:val="15"/>
              </w:rPr>
            </w:pPr>
            <w:r w:rsidRPr="00131373">
              <w:rPr>
                <w:color w:val="000000"/>
                <w:sz w:val="15"/>
                <w:szCs w:val="15"/>
              </w:rPr>
              <w:t>Adequacy of follow up of cohorts</w:t>
            </w:r>
          </w:p>
        </w:tc>
        <w:tc>
          <w:tcPr>
            <w:tcW w:w="992" w:type="dxa"/>
            <w:vAlign w:val="center"/>
          </w:tcPr>
          <w:p w14:paraId="23294FD5" w14:textId="77777777" w:rsidR="006C21BE" w:rsidRPr="00131373" w:rsidRDefault="006C21BE" w:rsidP="009D6B69">
            <w:pPr>
              <w:jc w:val="center"/>
              <w:rPr>
                <w:color w:val="000000"/>
                <w:sz w:val="15"/>
                <w:szCs w:val="15"/>
              </w:rPr>
            </w:pPr>
            <w:r w:rsidRPr="00131373">
              <w:rPr>
                <w:color w:val="000000"/>
                <w:sz w:val="15"/>
                <w:szCs w:val="15"/>
              </w:rPr>
              <w:t>Total NOS Score (Maximum = 9)</w:t>
            </w:r>
          </w:p>
        </w:tc>
        <w:tc>
          <w:tcPr>
            <w:tcW w:w="1418" w:type="dxa"/>
            <w:vAlign w:val="center"/>
          </w:tcPr>
          <w:p w14:paraId="02E85CCC" w14:textId="77777777" w:rsidR="006C21BE" w:rsidRPr="00131373" w:rsidRDefault="006C21BE" w:rsidP="009D6B69">
            <w:pPr>
              <w:jc w:val="center"/>
              <w:rPr>
                <w:color w:val="000000"/>
                <w:sz w:val="15"/>
                <w:szCs w:val="15"/>
              </w:rPr>
            </w:pPr>
            <w:r w:rsidRPr="00131373">
              <w:rPr>
                <w:color w:val="000000"/>
                <w:sz w:val="15"/>
                <w:szCs w:val="15"/>
              </w:rPr>
              <w:t>Quality Rating</w:t>
            </w:r>
          </w:p>
        </w:tc>
      </w:tr>
      <w:tr w:rsidR="006C21BE" w:rsidRPr="00131373" w14:paraId="12ACFBD5" w14:textId="77777777" w:rsidTr="00F72FC0">
        <w:trPr>
          <w:trHeight w:val="300"/>
        </w:trPr>
        <w:tc>
          <w:tcPr>
            <w:tcW w:w="1823" w:type="dxa"/>
            <w:noWrap/>
            <w:vAlign w:val="center"/>
          </w:tcPr>
          <w:p w14:paraId="6038E4DC" w14:textId="6F8E381A" w:rsidR="006C21BE" w:rsidRPr="00131373" w:rsidRDefault="006C21BE" w:rsidP="00F72FC0">
            <w:pPr>
              <w:jc w:val="center"/>
              <w:rPr>
                <w:color w:val="000000"/>
                <w:sz w:val="15"/>
                <w:szCs w:val="15"/>
              </w:rPr>
            </w:pPr>
            <w:r w:rsidRPr="00274B66">
              <w:rPr>
                <w:color w:val="000000"/>
                <w:sz w:val="15"/>
                <w:szCs w:val="15"/>
              </w:rPr>
              <w:t>Putra et al. (2017)</w:t>
            </w:r>
            <w:r w:rsidR="003758D4">
              <w:rPr>
                <w:color w:val="000000"/>
                <w:sz w:val="15"/>
                <w:szCs w:val="15"/>
              </w:rPr>
              <w:fldChar w:fldCharType="begin"/>
            </w:r>
            <w:r w:rsidR="003758D4">
              <w:rPr>
                <w:color w:val="000000"/>
                <w:sz w:val="15"/>
                <w:szCs w:val="15"/>
              </w:rPr>
              <w:instrText xml:space="preserve"> ADDIN ZOTERO_ITEM CSL_CITATION {"citationID":"OwSzM5UB","properties":{"formattedCitation":"\\super 59\\nosupersub{}","plainCitation":"59","noteIndex":0},"citationItems":[{"id":1673,"uris":["http://zotero.org/users/5317696/items/LMGYDWTS"],"itemData":{"id":1673,"type":"article-journal","abstract":"AIMS: The use of direct-acting anti-viral agents (DAAs) has resulted in extremely high sustained virological response (SVR) rates in patients being treated while on liver transplantation (LT) waiting lists. The aim of this study was to evaluate the histological findings of hepatitis C virus (HCV) patients who achieved SVR after receiving DAA treatment [SVR(+)] prior to LT, and compare them with HCV patients who had not achieved SVR [SVR(-)].\nMETHODS AND RESULTS: Fifty-eight adult HCV patients who underwent LT at our institution from 2014 to 2016 were included in the study. Two pathologists, blinded to SVR status, simultaneously evaluated the histological sections. Assessment included the Histology Activity Index (HAI/modified Knodell score), fibrosis stage (Ishak score), and Laennec cirrhosis stage. The study group comprised 25 SVR(+) patients (56% male; mean age, 63.8 years), and the control group comprised 33 SVR(-) patients (69% male; mean age, 61.7 years). There was no significant difference in HAI between the groups (P = 0.414). Patients who achieved SVR also did not show less portal inflammation (P = 0.787), interface hepatitis (P = 0.999), confluent necrosis (P = 0.627) or spotty necrosis (P = 0.093) than the control group. There was a trend towards a higher degree of inflammation in patients who achieved SVR in &lt;24 weeks (P = 0.07). The degree of focal lytic necrosis/apoptosis and portal inflammation was more prominent in SVR(+) patients with shorter SVR-LT intervals.\nCONCLUSIONS: Our study is the first to report persistent inflammation in HCV patients who received DAAs prior to LT. This supports the notion that inflammation is immunologically driven and that inflammation persists despite the absence of virus.","container-title":"Histopathology","DOI":"10.1111/his.13453","ISSN":"1365-2559","issue":"6","journalAbbreviation":"Histopathology","language":"eng","page":"990-996","PMID":"29235144","source":"PubMed","title":"Histological assessment of the liver explant in transplanted hepatitis C virus patients achieving sustained virological response with direct-acting antiviral agents","volume":"72","author":[{"family":"Putra","given":"Juan"},{"family":"Schiano","given":"Thomas D."},{"family":"Fiel","given":"M. Isabel"}],"issued":{"date-parts":[["2018",5]]}}}],"schema":"https://github.com/citation-style-language/schema/raw/master/csl-citation.json"} </w:instrText>
            </w:r>
            <w:r w:rsidR="003758D4">
              <w:rPr>
                <w:color w:val="000000"/>
                <w:sz w:val="15"/>
                <w:szCs w:val="15"/>
              </w:rPr>
              <w:fldChar w:fldCharType="separate"/>
            </w:r>
            <w:r w:rsidR="003758D4" w:rsidRPr="003758D4">
              <w:rPr>
                <w:sz w:val="15"/>
                <w:vertAlign w:val="superscript"/>
              </w:rPr>
              <w:t>59</w:t>
            </w:r>
            <w:r w:rsidR="003758D4">
              <w:rPr>
                <w:color w:val="000000"/>
                <w:sz w:val="15"/>
                <w:szCs w:val="15"/>
              </w:rPr>
              <w:fldChar w:fldCharType="end"/>
            </w:r>
          </w:p>
        </w:tc>
        <w:tc>
          <w:tcPr>
            <w:tcW w:w="1276" w:type="dxa"/>
            <w:noWrap/>
            <w:vAlign w:val="center"/>
          </w:tcPr>
          <w:p w14:paraId="01B0C17D" w14:textId="1533E31B" w:rsidR="006C21BE" w:rsidRPr="00131373" w:rsidRDefault="006C21BE" w:rsidP="00F72FC0">
            <w:pPr>
              <w:jc w:val="center"/>
              <w:rPr>
                <w:color w:val="000000"/>
                <w:sz w:val="15"/>
                <w:szCs w:val="15"/>
              </w:rPr>
            </w:pPr>
            <w:r>
              <w:rPr>
                <w:color w:val="000000"/>
                <w:sz w:val="15"/>
                <w:szCs w:val="15"/>
              </w:rPr>
              <w:t>Retrospective</w:t>
            </w:r>
          </w:p>
        </w:tc>
        <w:tc>
          <w:tcPr>
            <w:tcW w:w="709" w:type="dxa"/>
            <w:noWrap/>
            <w:vAlign w:val="center"/>
          </w:tcPr>
          <w:p w14:paraId="74FB8BA9" w14:textId="2CDE1D25"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7129B586" w14:textId="0A6164B7"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6825D26F" w14:textId="53D9FFB5"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9" w:type="dxa"/>
            <w:noWrap/>
            <w:vAlign w:val="center"/>
          </w:tcPr>
          <w:p w14:paraId="0E06D6CD" w14:textId="3C00E026"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1" w:type="dxa"/>
            <w:noWrap/>
            <w:vAlign w:val="center"/>
          </w:tcPr>
          <w:p w14:paraId="376B2E38" w14:textId="3A678683"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2" w:type="dxa"/>
            <w:noWrap/>
            <w:vAlign w:val="center"/>
          </w:tcPr>
          <w:p w14:paraId="25D8F994" w14:textId="61BC67BD"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37" w:type="dxa"/>
            <w:noWrap/>
            <w:vAlign w:val="center"/>
          </w:tcPr>
          <w:p w14:paraId="0FEB7770" w14:textId="0EBE3A16"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331" w:type="dxa"/>
            <w:noWrap/>
            <w:vAlign w:val="center"/>
          </w:tcPr>
          <w:p w14:paraId="5751C0E7" w14:textId="079A7609"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7662471D" w14:textId="2E00D906"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334F24A3" w14:textId="6B7F576A" w:rsidR="006C21BE" w:rsidRPr="00131373" w:rsidRDefault="006C21BE" w:rsidP="00485C7C">
            <w:pPr>
              <w:jc w:val="center"/>
              <w:rPr>
                <w:color w:val="000000"/>
                <w:sz w:val="15"/>
                <w:szCs w:val="15"/>
              </w:rPr>
            </w:pPr>
            <w:r w:rsidRPr="00274B66">
              <w:rPr>
                <w:color w:val="000000"/>
                <w:sz w:val="15"/>
                <w:szCs w:val="15"/>
              </w:rPr>
              <w:t>9</w:t>
            </w:r>
          </w:p>
        </w:tc>
        <w:tc>
          <w:tcPr>
            <w:tcW w:w="1418" w:type="dxa"/>
            <w:noWrap/>
            <w:vAlign w:val="center"/>
          </w:tcPr>
          <w:p w14:paraId="7E3D59DA" w14:textId="259CE4C9" w:rsidR="006C21BE" w:rsidRPr="00131373" w:rsidRDefault="00AA7D9A" w:rsidP="00485C7C">
            <w:pPr>
              <w:jc w:val="center"/>
              <w:rPr>
                <w:color w:val="000000"/>
                <w:sz w:val="15"/>
                <w:szCs w:val="15"/>
              </w:rPr>
            </w:pPr>
            <w:r>
              <w:rPr>
                <w:color w:val="000000"/>
                <w:sz w:val="15"/>
                <w:szCs w:val="15"/>
              </w:rPr>
              <w:t>High</w:t>
            </w:r>
          </w:p>
        </w:tc>
      </w:tr>
      <w:tr w:rsidR="006C21BE" w:rsidRPr="00131373" w14:paraId="6C428E13" w14:textId="77777777" w:rsidTr="00F72FC0">
        <w:trPr>
          <w:trHeight w:val="300"/>
        </w:trPr>
        <w:tc>
          <w:tcPr>
            <w:tcW w:w="1823" w:type="dxa"/>
            <w:noWrap/>
            <w:vAlign w:val="center"/>
          </w:tcPr>
          <w:p w14:paraId="40DA85CB" w14:textId="233B584A" w:rsidR="006C21BE" w:rsidRPr="00131373" w:rsidRDefault="006C21BE" w:rsidP="00F72FC0">
            <w:pPr>
              <w:jc w:val="center"/>
              <w:rPr>
                <w:color w:val="000000"/>
                <w:sz w:val="15"/>
                <w:szCs w:val="15"/>
              </w:rPr>
            </w:pPr>
            <w:r w:rsidRPr="00274B66">
              <w:rPr>
                <w:color w:val="000000"/>
                <w:sz w:val="15"/>
                <w:szCs w:val="15"/>
              </w:rPr>
              <w:lastRenderedPageBreak/>
              <w:t>Teegen et al. (2019)</w:t>
            </w:r>
            <w:r w:rsidR="003758D4">
              <w:rPr>
                <w:color w:val="000000"/>
                <w:sz w:val="15"/>
                <w:szCs w:val="15"/>
              </w:rPr>
              <w:fldChar w:fldCharType="begin"/>
            </w:r>
            <w:r w:rsidR="003758D4">
              <w:rPr>
                <w:color w:val="000000"/>
                <w:sz w:val="15"/>
                <w:szCs w:val="15"/>
              </w:rPr>
              <w:instrText xml:space="preserve"> ADDIN ZOTERO_ITEM CSL_CITATION {"citationID":"fnErhe5C","properties":{"formattedCitation":"\\super 60\\nosupersub{}","plainCitation":"60","noteIndex":0},"citationItems":[{"id":1671,"uris":["http://zotero.org/users/5317696/items/7UFH2394"],"itemData":{"id":1671,"type":"article-journal","abstract":"Background Direct-acting antivirals allow efficient and safe treatment of hepatitis C (HCV) before and after liver transplantation (LT). However, the impact of sofosbuvir on the graft, diabetes, and on kidney function is not answered yet. Primary endpoint of this analysis was the evaluation of kidney function after antiviral treatment (AVT). Secondary endpoints were the assessment of extrahepatic manifestation of HCV-infection by diabetes mellitus and the histopathological changes in terms of inflammation, content of fat, and fibrosis stage. Methods From 2014 to 4/2015, 100 patients with HCV-recurrence after LT were successfully treated with AVT. Ninety-eight received a sofosbuvir-based regimen. Indication was based on genotype, transplant fibrosis stage, and urgency. Biopsies were evaluated before and after treatment. Renal function and diabetes were assessed before, during, and after AVT. Results All patients achieved sustained virological response. A significant improvement of inflammation (P = 0.001) and fibrosis stage (P = 0.031) were observed. Significantly less insulin was required in 32 patients with diabetes (P &lt; 0.001) to keep Hb1Ac unchanged after AVT. Kidney function was stable during, 12 weeks after and 48 weeks after antiviral therapy. Stages of renal insufficiency were comparable before and after AVT. Conclusion Successful sofosbuvir-based AVT leads to a variety of positive development in transplant patients including a significant improvement of inflammation, fat content and fibrosis, a significant decrease in daily insulin dose and no significant impairment of kidney function.","container-title":"Transplant Infectious Disease","DOI":"10.1111/tid.13020","ISSN":"1399-3062","issue":"1","language":"en","license":"© 2018 John Wiley &amp; Sons A/S. Published by John Wiley &amp; Sons Ltd","note":"_eprint: https://onlinelibrary.wiley.com/doi/pdf/10.1111/tid.13020","page":"e13020","source":"Wiley Online Library","title":"Evaluation of histological dynamics, kidney function and diabetes in liver transplant patients after antiviral treatment with direct-acting antivirals: Therapy of HCV-recurrence","title-short":"Evaluation of histological dynamics, kidney function and diabetes in liver transplant patients after antiviral treatment with direct-acting antivirals","URL":"https://onlinelibrary.wiley.com/doi/abs/10.1111/tid.13020","volume":"21","author":[{"family":"Teegen","given":"Eva M."},{"family":"Dürr","given":"Michael"},{"family":"Maurer","given":"Max M."},{"family":"Eurich","given":"Franziska"},{"family":"Vollbort","given":"Antonia"},{"family":"Globke","given":"Brigitta"},{"family":"Bahra","given":"Marcus"},{"family":"Blaeker","given":"Hendrik"},{"family":"Pratschke","given":"Johann"},{"family":"Eurich","given":"Dennis"}],"accessed":{"date-parts":[["2025",8,21]]},"issued":{"date-parts":[["2019"]]}}}],"schema":"https://github.com/citation-style-language/schema/raw/master/csl-citation.json"} </w:instrText>
            </w:r>
            <w:r w:rsidR="003758D4">
              <w:rPr>
                <w:color w:val="000000"/>
                <w:sz w:val="15"/>
                <w:szCs w:val="15"/>
              </w:rPr>
              <w:fldChar w:fldCharType="separate"/>
            </w:r>
            <w:r w:rsidR="003758D4" w:rsidRPr="003758D4">
              <w:rPr>
                <w:sz w:val="15"/>
                <w:vertAlign w:val="superscript"/>
              </w:rPr>
              <w:t>60</w:t>
            </w:r>
            <w:r w:rsidR="003758D4">
              <w:rPr>
                <w:color w:val="000000"/>
                <w:sz w:val="15"/>
                <w:szCs w:val="15"/>
              </w:rPr>
              <w:fldChar w:fldCharType="end"/>
            </w:r>
          </w:p>
        </w:tc>
        <w:tc>
          <w:tcPr>
            <w:tcW w:w="1276" w:type="dxa"/>
            <w:noWrap/>
            <w:vAlign w:val="center"/>
          </w:tcPr>
          <w:p w14:paraId="1A4B9FF4" w14:textId="519D9769" w:rsidR="006C21BE" w:rsidRPr="00131373" w:rsidRDefault="006C21BE" w:rsidP="00F72FC0">
            <w:pPr>
              <w:jc w:val="center"/>
              <w:rPr>
                <w:color w:val="000000"/>
                <w:sz w:val="15"/>
                <w:szCs w:val="15"/>
              </w:rPr>
            </w:pPr>
            <w:r>
              <w:rPr>
                <w:color w:val="000000"/>
                <w:sz w:val="15"/>
                <w:szCs w:val="15"/>
              </w:rPr>
              <w:t>Retrospective</w:t>
            </w:r>
          </w:p>
        </w:tc>
        <w:tc>
          <w:tcPr>
            <w:tcW w:w="709" w:type="dxa"/>
            <w:noWrap/>
            <w:vAlign w:val="center"/>
          </w:tcPr>
          <w:p w14:paraId="624419FF" w14:textId="7CD1EE23"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69A63AFA" w14:textId="75488EE6"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293185E1" w14:textId="405C611B"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9" w:type="dxa"/>
            <w:noWrap/>
            <w:vAlign w:val="center"/>
          </w:tcPr>
          <w:p w14:paraId="6BE9C248" w14:textId="7240739C"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1" w:type="dxa"/>
            <w:noWrap/>
            <w:vAlign w:val="center"/>
          </w:tcPr>
          <w:p w14:paraId="01CF312E" w14:textId="05717F9E"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2" w:type="dxa"/>
            <w:noWrap/>
            <w:vAlign w:val="center"/>
          </w:tcPr>
          <w:p w14:paraId="049E7048" w14:textId="3A6D5EA1"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37" w:type="dxa"/>
            <w:noWrap/>
            <w:vAlign w:val="center"/>
          </w:tcPr>
          <w:p w14:paraId="4D4620F9" w14:textId="40AEE670"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331" w:type="dxa"/>
            <w:noWrap/>
            <w:vAlign w:val="center"/>
          </w:tcPr>
          <w:p w14:paraId="166BBE60" w14:textId="35CB1FFA"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3E732FD5" w14:textId="4DE79DF9"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63FED8BE" w14:textId="6B8D1105" w:rsidR="006C21BE" w:rsidRPr="00131373" w:rsidRDefault="006C21BE" w:rsidP="00485C7C">
            <w:pPr>
              <w:jc w:val="center"/>
              <w:rPr>
                <w:color w:val="000000"/>
                <w:sz w:val="15"/>
                <w:szCs w:val="15"/>
              </w:rPr>
            </w:pPr>
            <w:r w:rsidRPr="00274B66">
              <w:rPr>
                <w:color w:val="000000"/>
                <w:sz w:val="15"/>
                <w:szCs w:val="15"/>
              </w:rPr>
              <w:t>7</w:t>
            </w:r>
          </w:p>
        </w:tc>
        <w:tc>
          <w:tcPr>
            <w:tcW w:w="1418" w:type="dxa"/>
            <w:noWrap/>
            <w:vAlign w:val="center"/>
          </w:tcPr>
          <w:p w14:paraId="42CDCD1C" w14:textId="7BD9166A" w:rsidR="006C21BE" w:rsidRPr="00131373" w:rsidRDefault="00AA7D9A" w:rsidP="00485C7C">
            <w:pPr>
              <w:jc w:val="center"/>
              <w:rPr>
                <w:color w:val="000000"/>
                <w:sz w:val="15"/>
                <w:szCs w:val="15"/>
              </w:rPr>
            </w:pPr>
            <w:r>
              <w:rPr>
                <w:color w:val="000000"/>
                <w:sz w:val="15"/>
                <w:szCs w:val="15"/>
              </w:rPr>
              <w:t>High</w:t>
            </w:r>
          </w:p>
        </w:tc>
      </w:tr>
      <w:tr w:rsidR="006C21BE" w:rsidRPr="00131373" w14:paraId="3AB9FA89" w14:textId="77777777" w:rsidTr="00F72FC0">
        <w:trPr>
          <w:trHeight w:val="300"/>
        </w:trPr>
        <w:tc>
          <w:tcPr>
            <w:tcW w:w="1823" w:type="dxa"/>
            <w:noWrap/>
            <w:vAlign w:val="center"/>
          </w:tcPr>
          <w:p w14:paraId="5051661D" w14:textId="70C3D705" w:rsidR="006C21BE" w:rsidRPr="00131373" w:rsidRDefault="006C21BE" w:rsidP="00F72FC0">
            <w:pPr>
              <w:jc w:val="center"/>
              <w:rPr>
                <w:color w:val="000000"/>
                <w:sz w:val="15"/>
                <w:szCs w:val="15"/>
              </w:rPr>
            </w:pPr>
            <w:r w:rsidRPr="00274B66">
              <w:rPr>
                <w:color w:val="000000"/>
                <w:sz w:val="15"/>
                <w:szCs w:val="15"/>
              </w:rPr>
              <w:t>Wang et al. (2019)</w:t>
            </w:r>
            <w:r w:rsidR="003758D4">
              <w:rPr>
                <w:color w:val="000000"/>
                <w:sz w:val="15"/>
                <w:szCs w:val="15"/>
              </w:rPr>
              <w:t xml:space="preserve"> </w:t>
            </w:r>
            <w:r w:rsidR="003758D4">
              <w:rPr>
                <w:color w:val="000000"/>
                <w:sz w:val="15"/>
                <w:szCs w:val="15"/>
              </w:rPr>
              <w:fldChar w:fldCharType="begin"/>
            </w:r>
            <w:r w:rsidR="003758D4">
              <w:rPr>
                <w:color w:val="000000"/>
                <w:sz w:val="15"/>
                <w:szCs w:val="15"/>
              </w:rPr>
              <w:instrText xml:space="preserve"> ADDIN ZOTERO_ITEM CSL_CITATION {"citationID":"rlADVZMm","properties":{"formattedCitation":"\\super 61\\nosupersub{}","plainCitation":"61","noteIndex":0},"citationItems":[{"id":1667,"uris":["http://zotero.org/users/5317696/items/CEARE7K5"],"itemData":{"id":1667,"type":"article-journal","abstract":"BACKGROUND: Whether achieving sustained virological response (SVR) in patients with hepatitis C attains complete elimination of hepatitis C virus (HCV) is unknown, because occult HCV infection (OCI), defined as the detection of HCV-RNA in hepatocytes or peripheral blood mononuclear cells (PBMC) in absence of serum HCV-RNA, may occur. We thus investigated the prevalence and clinical relevance of OCI.\nMETHODS: Subjects from three hospitals who had achieved serum HCV clearance, including 60 of Direct-acting antiviral agents (DAAs) induced SVR, 50 of pegylated interferon plus ribavirin (PR) induced SVR, and 30 of spontaneous resolution, were subjected to detect HCV-RNA in liver by robust RNAscope assay and PBMC by qPCR. Paired liver biopsies at baseline and at SVR24 were analyzed.\nRESULTS: OCI was detected in 16 of 140 subjects (11.4%), with 15.0% in DAA-based group, 10.0% in PR group and 6.7% in spontaneously resolved group. In DAA-based subgroups, the incidence of OCI was gradually increased in group of solely DAA(s) therapy, combining DAA and PR therapy and combining DAA and ribavirin therapy. OCI is more frequent in patients with genotype 3. No correlation between baseline viral load, interleukin-28B genotype, baseline transaminases, post-SVR transaminases and OCI were found. However, OCI was significantly linked with severity of fibrosis and active inflammation at post-SVR, even considering basal fibrosis status. In addition, both the magnitude and the frequency of fibrosis regression were lower in patients with OCI than in those without OCI. In the multivariate analysis, PR therapy was identified an independent negative prognostic factor for both hepatic inflammation (P = .022) and fibrosis regression (P = .015). Importantly, we found HCV relapse in one of the OCI patients at 48 weeks after the end of PR treatment.\nCONCLUSIONS: HCV-RNA can persist in hepatocytes and/or PBMC in a certain of patients who achieved spontaneous or treatment-induced HCV RNA clearance from serum and associated with persistent histological abnormality. Our findings provide new insights into cure of HCV and could influence the following-up scenario after SVR.","container-title":"EBioMedicine","DOI":"10.1016/j.ebiom.2019.07.043","ISSN":"2352-3964","journalAbbreviation":"EBioMedicine","language":"eng","page":"227-235","PMID":"31345785","PMCID":"PMC6711338","source":"PubMed","title":"Detection of residual HCV-RNA in patients who have achieved sustained virological response is associated with persistent histological abnormality","volume":"46","author":[{"family":"Wang","given":"Yijin"},{"family":"Rao","given":"Huiying"},{"family":"Chi","given":"Xiumei"},{"family":"Li","given":"Boan"},{"family":"Liu","given":"Hongyang"},{"family":"Wu","given":"Liyuan"},{"family":"Zhang","given":"Hao"},{"family":"Liu","given":"Shuhong"},{"family":"Zhou","given":"Gaungde"},{"family":"Li","given":"Na"},{"family":"Niu","given":"Junqi"},{"family":"Wei","given":"Lai"},{"family":"Zhao","given":"Jingmin"}],"issued":{"date-parts":[["2019",8]]}}}],"schema":"https://github.com/citation-style-language/schema/raw/master/csl-citation.json"} </w:instrText>
            </w:r>
            <w:r w:rsidR="003758D4">
              <w:rPr>
                <w:color w:val="000000"/>
                <w:sz w:val="15"/>
                <w:szCs w:val="15"/>
              </w:rPr>
              <w:fldChar w:fldCharType="separate"/>
            </w:r>
            <w:r w:rsidR="003758D4" w:rsidRPr="003758D4">
              <w:rPr>
                <w:sz w:val="15"/>
                <w:vertAlign w:val="superscript"/>
              </w:rPr>
              <w:t>61</w:t>
            </w:r>
            <w:r w:rsidR="003758D4">
              <w:rPr>
                <w:color w:val="000000"/>
                <w:sz w:val="15"/>
                <w:szCs w:val="15"/>
              </w:rPr>
              <w:fldChar w:fldCharType="end"/>
            </w:r>
          </w:p>
        </w:tc>
        <w:tc>
          <w:tcPr>
            <w:tcW w:w="1276" w:type="dxa"/>
            <w:noWrap/>
            <w:vAlign w:val="center"/>
          </w:tcPr>
          <w:p w14:paraId="5DC74013" w14:textId="4D55337B" w:rsidR="006C21BE" w:rsidRPr="00131373" w:rsidRDefault="006C21BE" w:rsidP="00F72FC0">
            <w:pPr>
              <w:jc w:val="center"/>
              <w:rPr>
                <w:color w:val="000000"/>
                <w:sz w:val="15"/>
                <w:szCs w:val="15"/>
              </w:rPr>
            </w:pPr>
            <w:r>
              <w:rPr>
                <w:color w:val="000000"/>
                <w:sz w:val="15"/>
                <w:szCs w:val="15"/>
              </w:rPr>
              <w:t>Retrospective cohort</w:t>
            </w:r>
          </w:p>
        </w:tc>
        <w:tc>
          <w:tcPr>
            <w:tcW w:w="709" w:type="dxa"/>
            <w:noWrap/>
            <w:vAlign w:val="center"/>
          </w:tcPr>
          <w:p w14:paraId="3FF1F511" w14:textId="4E596812"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405350B0" w14:textId="523517D8"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574B3CAA" w14:textId="64F2FB2D"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9" w:type="dxa"/>
            <w:noWrap/>
            <w:vAlign w:val="center"/>
          </w:tcPr>
          <w:p w14:paraId="7C631F98" w14:textId="542E2D64"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1" w:type="dxa"/>
            <w:noWrap/>
            <w:vAlign w:val="center"/>
          </w:tcPr>
          <w:p w14:paraId="01C00242" w14:textId="23585F86"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2" w:type="dxa"/>
            <w:noWrap/>
            <w:vAlign w:val="center"/>
          </w:tcPr>
          <w:p w14:paraId="3E235127" w14:textId="5D5ED17C"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37" w:type="dxa"/>
            <w:noWrap/>
            <w:vAlign w:val="center"/>
          </w:tcPr>
          <w:p w14:paraId="6BED2154" w14:textId="036FEEFE"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331" w:type="dxa"/>
            <w:noWrap/>
            <w:vAlign w:val="center"/>
          </w:tcPr>
          <w:p w14:paraId="03249465" w14:textId="4B3679C3"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2D5DAA5A" w14:textId="6EDECF59"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7D5D195C" w14:textId="4D4254D0" w:rsidR="006C21BE" w:rsidRPr="00131373" w:rsidRDefault="006C21BE" w:rsidP="00485C7C">
            <w:pPr>
              <w:jc w:val="center"/>
              <w:rPr>
                <w:color w:val="000000"/>
                <w:sz w:val="15"/>
                <w:szCs w:val="15"/>
              </w:rPr>
            </w:pPr>
            <w:r w:rsidRPr="00274B66">
              <w:rPr>
                <w:color w:val="000000"/>
                <w:sz w:val="15"/>
                <w:szCs w:val="15"/>
              </w:rPr>
              <w:t>9</w:t>
            </w:r>
          </w:p>
        </w:tc>
        <w:tc>
          <w:tcPr>
            <w:tcW w:w="1418" w:type="dxa"/>
            <w:noWrap/>
            <w:vAlign w:val="center"/>
          </w:tcPr>
          <w:p w14:paraId="77A2C705" w14:textId="34895117" w:rsidR="006C21BE" w:rsidRPr="00131373" w:rsidRDefault="00AA7D9A" w:rsidP="00485C7C">
            <w:pPr>
              <w:jc w:val="center"/>
              <w:rPr>
                <w:color w:val="000000"/>
                <w:sz w:val="15"/>
                <w:szCs w:val="15"/>
              </w:rPr>
            </w:pPr>
            <w:r>
              <w:rPr>
                <w:color w:val="000000"/>
                <w:sz w:val="15"/>
                <w:szCs w:val="15"/>
              </w:rPr>
              <w:t>High</w:t>
            </w:r>
          </w:p>
        </w:tc>
      </w:tr>
      <w:tr w:rsidR="006C21BE" w:rsidRPr="00131373" w14:paraId="71855FA2" w14:textId="77777777" w:rsidTr="00F72FC0">
        <w:trPr>
          <w:trHeight w:val="300"/>
        </w:trPr>
        <w:tc>
          <w:tcPr>
            <w:tcW w:w="1823" w:type="dxa"/>
            <w:noWrap/>
            <w:vAlign w:val="center"/>
          </w:tcPr>
          <w:p w14:paraId="0BCD2D05" w14:textId="1D408AC0" w:rsidR="006C21BE" w:rsidRPr="00131373" w:rsidRDefault="006C21BE" w:rsidP="00F72FC0">
            <w:pPr>
              <w:jc w:val="center"/>
              <w:rPr>
                <w:color w:val="000000"/>
                <w:sz w:val="15"/>
                <w:szCs w:val="15"/>
              </w:rPr>
            </w:pPr>
            <w:r w:rsidRPr="00274B66">
              <w:rPr>
                <w:color w:val="000000"/>
                <w:sz w:val="15"/>
                <w:szCs w:val="15"/>
              </w:rPr>
              <w:t>Cheng et al. (2021)</w:t>
            </w:r>
            <w:r w:rsidR="003758D4">
              <w:rPr>
                <w:color w:val="000000"/>
                <w:sz w:val="15"/>
                <w:szCs w:val="15"/>
              </w:rPr>
              <w:fldChar w:fldCharType="begin"/>
            </w:r>
            <w:r w:rsidR="003758D4">
              <w:rPr>
                <w:color w:val="000000"/>
                <w:sz w:val="15"/>
                <w:szCs w:val="15"/>
              </w:rPr>
              <w:instrText xml:space="preserve"> ADDIN ZOTERO_ITEM CSL_CITATION {"citationID":"GLvqO1M2","properties":{"formattedCitation":"\\super 62\\nosupersub{}","plainCitation":"62","noteIndex":0},"citationItems":[{"id":1664,"uris":["http://zotero.org/users/5317696/items/UDWGNJY9"],"itemData":{"id":1664,"type":"article-journal","abstract":"BACKGROUND/PURPOSE: Direct-acting antiviral agents achieve sustained virological response in most chronic hepatitis C patients. However, histological responses are not consistent among all patients. We conducted an observational study to analyze the histological changes after direct-acting antiviral agent therapy.\nMETHODS: We recruited 220 patients who achieved sustained virological response after direct-acting antiviral agent. Histology was assessed by liver biopsy and laboratory indices including fibrosis-4 and aspartate aminotransferase to platelet ratio index. Primary outcomes were change in the dynamic laboratory results. Secondary outcomes were histological changes on liver biopsy. We analyzed the factors predictive of histological regression.\nRESULTS: The mean fibrosis-4 index decreased from 4.78 at baseline to 3.30, 3.31, 3.65, and 3.66 at week 4, 8, end of treatment, and 12 weeks after treatment, respectively (all p &lt; 0.01). Mean aspartate aminotransferase to platelet ratio index decreased from 1.62 at baseline to 0.61, 0.66, 0.64, and 0.82 at week 4, 8, end of treatment, and 12 weeks after treatment, respectively (all p &lt; 0.01). Mean Histological Activity Index at baseline and post-treatment was 6.9 ± 1.9 and 5.0 ± 2.3. The METAVIR fibrosis scores improved in 61.9% of the patients. We compared patients who achieved fibrosis-regression with the non-regression group. There was no significant difference in the baseline host/virological factors between the groups.\nCONCLUSION: Reversal of liver inflammation and fibrosis was achieved in a significant number of patients who received direct-acting antiviral agent. No baseline host or virological factor was predictive of histological regression after antiviral treatment.","container-title":"Journal of the Formosan Medical Association = Taiwan Yi Zhi","DOI":"10.1016/j.jfma.2020.11.018","ISSN":"0929-6646","issue":"5","journalAbbreviation":"J Formos Med Assoc","language":"eng","page":"1259-1268","PMID":"33339709","source":"PubMed","title":"Direct-acting antiviral therapy of chronic hepatitis C improves liver fibrosis, assessed by histological examination and laboratory markers","volume":"120","author":[{"family":"Cheng","given":"Chun-Han"},{"family":"Chu","given":"Chia-Ying"},{"family":"Chen","given":"Huan-Lin"},{"family":"Lin","given":"I.-Tsung"},{"family":"Wu","given":"Chia-Hsien"},{"family":"Lee","given":"Yuan-Kai"},{"family":"Hu","given":"Ping-Jen"},{"family":"Bair","given":"Ming-Jong"}],"issued":{"date-parts":[["2021",5]]}}}],"schema":"https://github.com/citation-style-language/schema/raw/master/csl-citation.json"} </w:instrText>
            </w:r>
            <w:r w:rsidR="003758D4">
              <w:rPr>
                <w:color w:val="000000"/>
                <w:sz w:val="15"/>
                <w:szCs w:val="15"/>
              </w:rPr>
              <w:fldChar w:fldCharType="separate"/>
            </w:r>
            <w:r w:rsidR="003758D4" w:rsidRPr="003758D4">
              <w:rPr>
                <w:sz w:val="15"/>
                <w:vertAlign w:val="superscript"/>
              </w:rPr>
              <w:t>62</w:t>
            </w:r>
            <w:r w:rsidR="003758D4">
              <w:rPr>
                <w:color w:val="000000"/>
                <w:sz w:val="15"/>
                <w:szCs w:val="15"/>
              </w:rPr>
              <w:fldChar w:fldCharType="end"/>
            </w:r>
          </w:p>
        </w:tc>
        <w:tc>
          <w:tcPr>
            <w:tcW w:w="1276" w:type="dxa"/>
            <w:noWrap/>
            <w:vAlign w:val="center"/>
          </w:tcPr>
          <w:p w14:paraId="5944C4B9" w14:textId="36B5CFD0" w:rsidR="006C21BE" w:rsidRPr="00131373" w:rsidRDefault="006C21BE" w:rsidP="00F72FC0">
            <w:pPr>
              <w:jc w:val="center"/>
              <w:rPr>
                <w:color w:val="000000"/>
                <w:sz w:val="15"/>
                <w:szCs w:val="15"/>
              </w:rPr>
            </w:pPr>
            <w:r>
              <w:rPr>
                <w:color w:val="000000"/>
                <w:sz w:val="15"/>
                <w:szCs w:val="15"/>
              </w:rPr>
              <w:t xml:space="preserve">Single- </w:t>
            </w:r>
            <w:proofErr w:type="spellStart"/>
            <w:r>
              <w:rPr>
                <w:color w:val="000000"/>
                <w:sz w:val="15"/>
                <w:szCs w:val="15"/>
              </w:rPr>
              <w:t>center</w:t>
            </w:r>
            <w:proofErr w:type="spellEnd"/>
            <w:r>
              <w:rPr>
                <w:color w:val="000000"/>
                <w:sz w:val="15"/>
                <w:szCs w:val="15"/>
              </w:rPr>
              <w:t xml:space="preserve"> observational</w:t>
            </w:r>
          </w:p>
        </w:tc>
        <w:tc>
          <w:tcPr>
            <w:tcW w:w="709" w:type="dxa"/>
            <w:noWrap/>
            <w:vAlign w:val="center"/>
          </w:tcPr>
          <w:p w14:paraId="3E3BD7FB" w14:textId="170B49A3"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18D98BCE" w14:textId="4C569F78"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6CD52C95" w14:textId="78F8A154"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9" w:type="dxa"/>
            <w:noWrap/>
            <w:vAlign w:val="center"/>
          </w:tcPr>
          <w:p w14:paraId="491C4CA9" w14:textId="2E2085E8"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1" w:type="dxa"/>
            <w:noWrap/>
            <w:vAlign w:val="center"/>
          </w:tcPr>
          <w:p w14:paraId="5DB5C509" w14:textId="400E3954"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2" w:type="dxa"/>
            <w:noWrap/>
            <w:vAlign w:val="center"/>
          </w:tcPr>
          <w:p w14:paraId="2154DBB7" w14:textId="019586E3"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37" w:type="dxa"/>
            <w:noWrap/>
            <w:vAlign w:val="center"/>
          </w:tcPr>
          <w:p w14:paraId="4F7DAF1B" w14:textId="054889E0"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331" w:type="dxa"/>
            <w:noWrap/>
            <w:vAlign w:val="center"/>
          </w:tcPr>
          <w:p w14:paraId="23B37E6B" w14:textId="30BC2D93"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3805A005" w14:textId="3F7A488C"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4AD8AECA" w14:textId="3B21B4C2" w:rsidR="006C21BE" w:rsidRPr="00131373" w:rsidRDefault="006C21BE" w:rsidP="00485C7C">
            <w:pPr>
              <w:jc w:val="center"/>
              <w:rPr>
                <w:color w:val="000000"/>
                <w:sz w:val="15"/>
                <w:szCs w:val="15"/>
              </w:rPr>
            </w:pPr>
            <w:r w:rsidRPr="00274B66">
              <w:rPr>
                <w:color w:val="000000"/>
                <w:sz w:val="15"/>
                <w:szCs w:val="15"/>
              </w:rPr>
              <w:t>6</w:t>
            </w:r>
          </w:p>
        </w:tc>
        <w:tc>
          <w:tcPr>
            <w:tcW w:w="1418" w:type="dxa"/>
            <w:noWrap/>
            <w:vAlign w:val="center"/>
          </w:tcPr>
          <w:p w14:paraId="75B66674" w14:textId="415C047F" w:rsidR="006C21BE" w:rsidRPr="00131373" w:rsidRDefault="00AA7D9A" w:rsidP="00485C7C">
            <w:pPr>
              <w:jc w:val="center"/>
              <w:rPr>
                <w:color w:val="000000"/>
                <w:sz w:val="15"/>
                <w:szCs w:val="15"/>
              </w:rPr>
            </w:pPr>
            <w:r>
              <w:rPr>
                <w:color w:val="000000"/>
                <w:sz w:val="15"/>
                <w:szCs w:val="15"/>
              </w:rPr>
              <w:t>Moderate</w:t>
            </w:r>
          </w:p>
        </w:tc>
      </w:tr>
      <w:tr w:rsidR="006C21BE" w:rsidRPr="00131373" w14:paraId="3E2B219E" w14:textId="77777777" w:rsidTr="00F72FC0">
        <w:trPr>
          <w:trHeight w:val="300"/>
        </w:trPr>
        <w:tc>
          <w:tcPr>
            <w:tcW w:w="1823" w:type="dxa"/>
            <w:noWrap/>
            <w:vAlign w:val="center"/>
          </w:tcPr>
          <w:p w14:paraId="24B2AE7B" w14:textId="033C1D51" w:rsidR="006C21BE" w:rsidRPr="00131373" w:rsidRDefault="006C21BE" w:rsidP="00F72FC0">
            <w:pPr>
              <w:jc w:val="center"/>
              <w:rPr>
                <w:color w:val="000000"/>
                <w:sz w:val="15"/>
                <w:szCs w:val="15"/>
              </w:rPr>
            </w:pPr>
            <w:r w:rsidRPr="00274B66">
              <w:rPr>
                <w:color w:val="000000"/>
                <w:sz w:val="15"/>
                <w:szCs w:val="15"/>
              </w:rPr>
              <w:t>Saldarriaga et al. (2021)</w:t>
            </w:r>
            <w:r w:rsidR="003758D4">
              <w:rPr>
                <w:color w:val="000000"/>
                <w:sz w:val="15"/>
                <w:szCs w:val="15"/>
              </w:rPr>
              <w:t xml:space="preserve"> </w:t>
            </w:r>
            <w:r w:rsidR="003758D4">
              <w:rPr>
                <w:color w:val="000000"/>
                <w:sz w:val="15"/>
                <w:szCs w:val="15"/>
              </w:rPr>
              <w:fldChar w:fldCharType="begin"/>
            </w:r>
            <w:r w:rsidR="003758D4">
              <w:rPr>
                <w:color w:val="000000"/>
                <w:sz w:val="15"/>
                <w:szCs w:val="15"/>
              </w:rPr>
              <w:instrText xml:space="preserve"> ADDIN ZOTERO_ITEM CSL_CITATION {"citationID":"uWQv22di","properties":{"formattedCitation":"\\super 63\\nosupersub{}","plainCitation":"63","noteIndex":0},"citationItems":[{"id":1665,"uris":["http://zotero.org/users/5317696/items/H2CIU3X7"],"itemData":{"id":1665,"type":"article-journal","abstract":"Direct-acting antivirals (DAA) have replaced interferon (IFN)-based therapies for hepatitis C virus. In this retrospective clinical study, we examined differences in histopathologic features in paired liver biopsies collected from the same patient before and after DAA and correlated these findings with clinical outcome. Biopsies (n = 19) were evaluated by quantitative imaging analysis to measure steatosis and fibrosis. Most patients had decreased steatosis in their post-treatment, follow-up biopsies. However, one patient had a striking increase in steatosis (from 0.86 to 6.32%) and later developed decompensated cirrhosis and hepatocellular carcinoma (HCC). This patient had a marked increase in fibrosis between biopsies, with a CPA of 6.74 to 32.02. Another patient, who already had bridging fibrosis at the time of her pre-treatment biopsy, developed cholangiocarcinoma after DAA. Even though the overall inflammatory activity in the post-treatment biopsies significantly decreased after treatment, 60% of patients had persistent portal lymphocytic inflammation. In summary, DAAs decreased steatosis and hepatic inflammation in most patients, although some may have persistence of lymphocytic portal inflammation. Patients known to have advanced fibrosis at treatment initiation and who have other risk factors for ongoing liver injury, such as steatosis, should be followed closely for the development of adverse outcomes, such as portal hypertension and primary liver cancers.","container-title":"Scientific Reports","DOI":"10.1038/s41598-021-93881-7","ISSN":"2045-2322","issue":"1","journalAbbreviation":"Sci Rep","language":"en","license":"2021 The Author(s)","page":"14506","publisher":"Nature Publishing Group","source":"www.nature.com","title":"Comparison of liver biopsies before and after direct-acting antiviral therapy for hepatitis C and correlation with clinical outcome","URL":"https://www.nature.com/articles/s41598-021-93881-7","volume":"11","author":[{"family":"Saldarriaga","given":"Omar A."},{"family":"Dye","given":"Bradley"},{"family":"Pham","given":"Judy"},{"family":"Wanninger","given":"Timothy G."},{"family":"Millian","given":"Daniel"},{"family":"Kueht","given":"Michael"},{"family":"Freiberg","given":"Benjamin"},{"family":"Utay","given":"Netanya"},{"family":"Stevenson","given":"Heather L."}],"accessed":{"date-parts":[["2025",8,21]]},"issued":{"date-parts":[["2021",7,15]]}}}],"schema":"https://github.com/citation-style-language/schema/raw/master/csl-citation.json"} </w:instrText>
            </w:r>
            <w:r w:rsidR="003758D4">
              <w:rPr>
                <w:color w:val="000000"/>
                <w:sz w:val="15"/>
                <w:szCs w:val="15"/>
              </w:rPr>
              <w:fldChar w:fldCharType="separate"/>
            </w:r>
            <w:r w:rsidR="003758D4" w:rsidRPr="003758D4">
              <w:rPr>
                <w:sz w:val="15"/>
                <w:vertAlign w:val="superscript"/>
              </w:rPr>
              <w:t>63</w:t>
            </w:r>
            <w:r w:rsidR="003758D4">
              <w:rPr>
                <w:color w:val="000000"/>
                <w:sz w:val="15"/>
                <w:szCs w:val="15"/>
              </w:rPr>
              <w:fldChar w:fldCharType="end"/>
            </w:r>
          </w:p>
        </w:tc>
        <w:tc>
          <w:tcPr>
            <w:tcW w:w="1276" w:type="dxa"/>
            <w:noWrap/>
            <w:vAlign w:val="center"/>
          </w:tcPr>
          <w:p w14:paraId="75DC7C6C" w14:textId="105E2182" w:rsidR="006C21BE" w:rsidRPr="00131373" w:rsidRDefault="006C21BE" w:rsidP="00F72FC0">
            <w:pPr>
              <w:jc w:val="center"/>
              <w:rPr>
                <w:color w:val="000000"/>
                <w:sz w:val="15"/>
                <w:szCs w:val="15"/>
              </w:rPr>
            </w:pPr>
            <w:r>
              <w:rPr>
                <w:color w:val="000000"/>
                <w:sz w:val="15"/>
                <w:szCs w:val="15"/>
              </w:rPr>
              <w:t>Retrospective</w:t>
            </w:r>
          </w:p>
        </w:tc>
        <w:tc>
          <w:tcPr>
            <w:tcW w:w="709" w:type="dxa"/>
            <w:noWrap/>
            <w:vAlign w:val="center"/>
          </w:tcPr>
          <w:p w14:paraId="269E2FF9" w14:textId="75540014"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1DA33D4C" w14:textId="6CE89752"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1A735E49" w14:textId="3D001A9C"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9" w:type="dxa"/>
            <w:noWrap/>
            <w:vAlign w:val="center"/>
          </w:tcPr>
          <w:p w14:paraId="56F4C98B" w14:textId="5D170C65"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1" w:type="dxa"/>
            <w:noWrap/>
            <w:vAlign w:val="center"/>
          </w:tcPr>
          <w:p w14:paraId="07E4CE17" w14:textId="6BE8B1CE"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2" w:type="dxa"/>
            <w:noWrap/>
            <w:vAlign w:val="center"/>
          </w:tcPr>
          <w:p w14:paraId="6FC2EDBE" w14:textId="51ECAEFE"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37" w:type="dxa"/>
            <w:noWrap/>
            <w:vAlign w:val="center"/>
          </w:tcPr>
          <w:p w14:paraId="2427845E" w14:textId="4C71E65A"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331" w:type="dxa"/>
            <w:noWrap/>
            <w:vAlign w:val="center"/>
          </w:tcPr>
          <w:p w14:paraId="1B0DC4D2" w14:textId="4CC58CF8"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7A446861" w14:textId="1EEA6F6A"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2D654501" w14:textId="5EB41A34" w:rsidR="006C21BE" w:rsidRPr="00131373" w:rsidRDefault="006C21BE" w:rsidP="00485C7C">
            <w:pPr>
              <w:jc w:val="center"/>
              <w:rPr>
                <w:color w:val="000000"/>
                <w:sz w:val="15"/>
                <w:szCs w:val="15"/>
              </w:rPr>
            </w:pPr>
            <w:r w:rsidRPr="00274B66">
              <w:rPr>
                <w:color w:val="000000"/>
                <w:sz w:val="15"/>
                <w:szCs w:val="15"/>
              </w:rPr>
              <w:t>5</w:t>
            </w:r>
          </w:p>
        </w:tc>
        <w:tc>
          <w:tcPr>
            <w:tcW w:w="1418" w:type="dxa"/>
            <w:noWrap/>
            <w:vAlign w:val="center"/>
          </w:tcPr>
          <w:p w14:paraId="21150345" w14:textId="25C440F5" w:rsidR="006C21BE" w:rsidRPr="00131373" w:rsidRDefault="00AA7D9A" w:rsidP="00485C7C">
            <w:pPr>
              <w:jc w:val="center"/>
              <w:rPr>
                <w:color w:val="000000"/>
                <w:sz w:val="15"/>
                <w:szCs w:val="15"/>
              </w:rPr>
            </w:pPr>
            <w:r>
              <w:rPr>
                <w:color w:val="000000"/>
                <w:sz w:val="15"/>
                <w:szCs w:val="15"/>
              </w:rPr>
              <w:t>Moderate</w:t>
            </w:r>
          </w:p>
        </w:tc>
      </w:tr>
      <w:tr w:rsidR="006C21BE" w:rsidRPr="00131373" w14:paraId="1E15460D" w14:textId="77777777" w:rsidTr="00F72FC0">
        <w:trPr>
          <w:trHeight w:val="300"/>
        </w:trPr>
        <w:tc>
          <w:tcPr>
            <w:tcW w:w="1823" w:type="dxa"/>
            <w:noWrap/>
            <w:vAlign w:val="center"/>
          </w:tcPr>
          <w:p w14:paraId="17B5830B" w14:textId="61E5C741" w:rsidR="006C21BE" w:rsidRPr="00131373" w:rsidRDefault="006C21BE" w:rsidP="00F72FC0">
            <w:pPr>
              <w:jc w:val="center"/>
              <w:rPr>
                <w:color w:val="000000"/>
                <w:sz w:val="15"/>
                <w:szCs w:val="15"/>
              </w:rPr>
            </w:pPr>
            <w:r w:rsidRPr="00274B66">
              <w:rPr>
                <w:color w:val="000000"/>
                <w:sz w:val="15"/>
                <w:szCs w:val="15"/>
              </w:rPr>
              <w:t>Li et al. (2022)</w:t>
            </w:r>
            <w:r w:rsidR="003758D4">
              <w:rPr>
                <w:color w:val="000000"/>
                <w:sz w:val="15"/>
                <w:szCs w:val="15"/>
              </w:rPr>
              <w:t xml:space="preserve"> </w:t>
            </w:r>
            <w:r w:rsidR="003758D4">
              <w:rPr>
                <w:color w:val="000000"/>
                <w:sz w:val="15"/>
                <w:szCs w:val="15"/>
              </w:rPr>
              <w:fldChar w:fldCharType="begin"/>
            </w:r>
            <w:r w:rsidR="003758D4">
              <w:rPr>
                <w:color w:val="000000"/>
                <w:sz w:val="15"/>
                <w:szCs w:val="15"/>
              </w:rPr>
              <w:instrText xml:space="preserve"> ADDIN ZOTERO_ITEM CSL_CITATION {"citationID":"H49nUHbg","properties":{"formattedCitation":"\\super 64\\nosupersub{}","plainCitation":"64","noteIndex":0},"citationItems":[{"id":1676,"uris":["http://zotero.org/users/5317696/items/7LDUATQE"],"itemData":{"id":1676,"type":"article-journal","abstract":"BACKGROUND\nDirect acting antiviral (DAA) therapy has enabled hepatitis C virus infection to become curable, while histological changes remain uncontained. Few valid non-invasive methods can be confirmed for use in surveillance. Gadolinium-ethoxybenzyl-diethylenetriamine penta-acetic acid (Gd-EOB-DTPA) is a liver-specific magnetic resonance imaging (MRI) contrast, related to liver function in the hepatobiliary phase (HBP). Whether Gd-EOB-DTPA-enhanced MRI can be used in the diagnosis and follow up of hepatic fibrosis in patients with chronic hepatitis C (CHC) has not been investigated. \n\nAIM\nTo investigate the diagnostic and follow-up values of Gd-EOB-DTPA-enhanced MRI for hepatic histology in patients with CHC.\n\nMETHODS\nPatients with CHC were invited to undergo Gd-EOB-DTPA-enhanced MRI and liver biopsy before treatment, and those with paired qualified MRI and liver biopsy specimens were included. Transient elastography (TE) and blood tests were also arranged. Patients treated with DAAs who achieved 24-wk sustained virological response (SVR) underwent Gd-EOB-DTPA-enhanced MRI and liver biopsy again. The signal intensity (SI) of the liver and muscle were measured in the unenhanced phase (UEP) (SIUEP-liver, SIUEP-muscle) and HBP (SIHBP-liver, SIHBP-muscle) via MRI. The contrast enhancement index (CEI) was calculated as [(SIHBP-liver/SIHBP-muscle)]/[(SIUEP-liver/SIUEP-muscle)]. Liver stiffness measurement (LSM) was confirmed with TE. Serologic markers, aspartate aminotransferase-to-platelet ratio index (APRI) and Fibrosis-4 (FIB-4), were also calculated according to blood tests. The grade of inflammation and stage of fibrosis were evaluated with the modified histology activity index (mHAI) and Ishak fibrosis score, respectively. Fibrosis regression was defined as a ≥ 1-point decrease in the Ishak fibrosis score. The correlation between the CEI and liver pathology was evaluated. The diagnostic and follow-up values of the CEI, LSM, and serologic markers were compared.\n\nRESULTS\nThirty-nine patients with CHC were enrolled [average age, 42.3 ± 14.4 years; 20/39 (51.3%) male]. Twenty-one enrolled patients had eligible paired Gd-EOB-DTPA-enhanced MRI and liver tissues after achieving SVR. The mHAI median significantly decreased after SVR [baseline 6.0 (4.5-13.5) vs SVR 2.0 (1.5-5.5), Z = 3.322, P = 0.017], but the median stage of fibrosis did not notably change (P &gt; 0.05). Sixty pairs of qualified MRI and liver tissue samples were available for use to analyze the relationship between the CEI and hepatic pathology. The CEI was negatively correlated with the mHAI (r = -0.56, P &lt; 0.001) and Ishak score (r = -0.69, P &lt; 0.001). Further stratified analysis showed that the value of the CEI decreased with the progression of the stage of fibrosis rather than with the grade of necroinflammation. For patients with Ishak score ≥ 5, the areas under receiver operating characteristics curve of the CEI, LSM, APRI, and FIB-4 were approximately at baseline, 0.87–0.93, and after achieving SVR, 0.83–0.91. The CEI cut-off value was stable (baseline 1.58 and SVR 1.59), but those of the APRI (from 1.05 to 0.24), FIB-4 (from 1.78 to 1.28), and LSM (from 10.8 kpa to 7.1 kpa) decreased dramatically. The APRI and FIB-4 cannot be used as diagnostic means for SVR in patients with Ishak score ≥ 3 (P &gt; 0.05). Seven patients achieved fibrosis regression after achieving SVR. In these patients, the CEI median increased (from 1.71 to 1.83, Z = -1.981, P = 0.048) and those of the APRI (from 1.71 to 1.83, Z = -2.878, P = 0.004) and LSM (from 6.6 to 4.8, Z = -2.366, P = 0.018) decreased. However, in patients without fibrosis regression, the medians of the APRI, FIB-4, and LSM also changed significantly (P &lt; 0.05).\n\nCONCLUSION\nGd-EOB-DTPA-enhanced MRI has good diagnostic value for staging fibrosis in patients with CHC. It can be used for fibrotic-change monitoring post SVR in patients with CHC treated with DAAs.","container-title":"World Journal of Gastroenterology","DOI":"10.3748/wjg.v28.i20.2214","ISSN":"1007-9327","issue":"20","journalAbbreviation":"World J Gastroenterol","page":"2214-2226","PMID":"35721884","PMCID":"PMC9157620","source":"PubMed Central","title":"Gadolinium-ethoxybenzyl-diethylenetriamine penta-acetic acid-enhanced magnetic resonance imaging for evaluating fibrosis regression in chronic hepatitis C patients after direct-acting antiviral","URL":"https://www.ncbi.nlm.nih.gov/pmc/articles/PMC9157620/","volume":"28","author":[{"family":"Li","given":"Xiao-He"},{"family":"Huang","given":"Rui"},{"family":"Yang","given":"Ming"},{"family":"Wang","given":"Jian"},{"family":"Gao","given":"Ying-Hui"},{"family":"Jin","given":"Qian"},{"family":"Ma","given":"Dan-Li"},{"family":"Wei","given":"Lai"},{"family":"Rao","given":"Hui-Ying"}],"accessed":{"date-parts":[["2025",8,21]]},"issued":{"date-parts":[["2022",5,28]]}}}],"schema":"https://github.com/citation-style-language/schema/raw/master/csl-citation.json"} </w:instrText>
            </w:r>
            <w:r w:rsidR="003758D4">
              <w:rPr>
                <w:color w:val="000000"/>
                <w:sz w:val="15"/>
                <w:szCs w:val="15"/>
              </w:rPr>
              <w:fldChar w:fldCharType="separate"/>
            </w:r>
            <w:r w:rsidR="003758D4" w:rsidRPr="003758D4">
              <w:rPr>
                <w:sz w:val="15"/>
                <w:vertAlign w:val="superscript"/>
              </w:rPr>
              <w:t>64</w:t>
            </w:r>
            <w:r w:rsidR="003758D4">
              <w:rPr>
                <w:color w:val="000000"/>
                <w:sz w:val="15"/>
                <w:szCs w:val="15"/>
              </w:rPr>
              <w:fldChar w:fldCharType="end"/>
            </w:r>
          </w:p>
        </w:tc>
        <w:tc>
          <w:tcPr>
            <w:tcW w:w="1276" w:type="dxa"/>
            <w:noWrap/>
            <w:vAlign w:val="center"/>
          </w:tcPr>
          <w:p w14:paraId="2970EBE7" w14:textId="5BEA7D94" w:rsidR="006C21BE" w:rsidRPr="00131373" w:rsidRDefault="006C21BE" w:rsidP="00F72FC0">
            <w:pPr>
              <w:jc w:val="center"/>
              <w:rPr>
                <w:color w:val="000000"/>
                <w:sz w:val="15"/>
                <w:szCs w:val="15"/>
              </w:rPr>
            </w:pPr>
            <w:r>
              <w:rPr>
                <w:color w:val="000000"/>
                <w:sz w:val="15"/>
                <w:szCs w:val="15"/>
              </w:rPr>
              <w:t>Prospective</w:t>
            </w:r>
          </w:p>
        </w:tc>
        <w:tc>
          <w:tcPr>
            <w:tcW w:w="709" w:type="dxa"/>
            <w:noWrap/>
            <w:vAlign w:val="center"/>
          </w:tcPr>
          <w:p w14:paraId="6C16CB84" w14:textId="0E24DB4C"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418A758C" w14:textId="79FE4CFD"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77CC5997" w14:textId="58DDF278"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9" w:type="dxa"/>
            <w:noWrap/>
            <w:vAlign w:val="center"/>
          </w:tcPr>
          <w:p w14:paraId="7595FEF9" w14:textId="7EDC9C30"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1" w:type="dxa"/>
            <w:noWrap/>
            <w:vAlign w:val="center"/>
          </w:tcPr>
          <w:p w14:paraId="16637FE2" w14:textId="084EA03E"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2" w:type="dxa"/>
            <w:noWrap/>
            <w:vAlign w:val="center"/>
          </w:tcPr>
          <w:p w14:paraId="022DCA76" w14:textId="0FD67D71"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37" w:type="dxa"/>
            <w:noWrap/>
            <w:vAlign w:val="center"/>
          </w:tcPr>
          <w:p w14:paraId="31BCBDAD" w14:textId="142EA26C"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331" w:type="dxa"/>
            <w:noWrap/>
            <w:vAlign w:val="center"/>
          </w:tcPr>
          <w:p w14:paraId="30C56127" w14:textId="62456F73"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1F2CF4B4" w14:textId="1A1DD0CB"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1AB46792" w14:textId="506F72EA" w:rsidR="006C21BE" w:rsidRPr="00131373" w:rsidRDefault="006C21BE" w:rsidP="00485C7C">
            <w:pPr>
              <w:jc w:val="center"/>
              <w:rPr>
                <w:color w:val="000000"/>
                <w:sz w:val="15"/>
                <w:szCs w:val="15"/>
              </w:rPr>
            </w:pPr>
            <w:r w:rsidRPr="00274B66">
              <w:rPr>
                <w:color w:val="000000"/>
                <w:sz w:val="15"/>
                <w:szCs w:val="15"/>
              </w:rPr>
              <w:t>6</w:t>
            </w:r>
          </w:p>
        </w:tc>
        <w:tc>
          <w:tcPr>
            <w:tcW w:w="1418" w:type="dxa"/>
            <w:noWrap/>
            <w:vAlign w:val="center"/>
          </w:tcPr>
          <w:p w14:paraId="15F61F23" w14:textId="3AA55983" w:rsidR="006C21BE" w:rsidRPr="00131373" w:rsidRDefault="00AA7D9A" w:rsidP="00485C7C">
            <w:pPr>
              <w:jc w:val="center"/>
              <w:rPr>
                <w:color w:val="000000"/>
                <w:sz w:val="15"/>
                <w:szCs w:val="15"/>
              </w:rPr>
            </w:pPr>
            <w:r>
              <w:rPr>
                <w:color w:val="000000"/>
                <w:sz w:val="15"/>
                <w:szCs w:val="15"/>
              </w:rPr>
              <w:t>Moderate</w:t>
            </w:r>
          </w:p>
        </w:tc>
      </w:tr>
      <w:tr w:rsidR="006C21BE" w:rsidRPr="00131373" w14:paraId="05A90D9B" w14:textId="77777777" w:rsidTr="00F72FC0">
        <w:trPr>
          <w:trHeight w:val="300"/>
        </w:trPr>
        <w:tc>
          <w:tcPr>
            <w:tcW w:w="1823" w:type="dxa"/>
            <w:noWrap/>
            <w:vAlign w:val="center"/>
          </w:tcPr>
          <w:p w14:paraId="312D2D60" w14:textId="4E35CA9B" w:rsidR="006C21BE" w:rsidRPr="00131373" w:rsidRDefault="006C21BE" w:rsidP="00F72FC0">
            <w:pPr>
              <w:jc w:val="center"/>
              <w:rPr>
                <w:color w:val="000000"/>
                <w:sz w:val="15"/>
                <w:szCs w:val="15"/>
              </w:rPr>
            </w:pPr>
            <w:proofErr w:type="spellStart"/>
            <w:r w:rsidRPr="00274B66">
              <w:rPr>
                <w:color w:val="000000"/>
                <w:sz w:val="15"/>
                <w:szCs w:val="15"/>
              </w:rPr>
              <w:t>Coilly</w:t>
            </w:r>
            <w:proofErr w:type="spellEnd"/>
            <w:r w:rsidRPr="00274B66">
              <w:rPr>
                <w:color w:val="000000"/>
                <w:sz w:val="15"/>
                <w:szCs w:val="15"/>
              </w:rPr>
              <w:t xml:space="preserve"> et al. (2022)</w:t>
            </w:r>
            <w:r w:rsidR="003758D4">
              <w:rPr>
                <w:color w:val="000000"/>
                <w:sz w:val="15"/>
                <w:szCs w:val="15"/>
              </w:rPr>
              <w:t xml:space="preserve"> </w:t>
            </w:r>
            <w:r w:rsidR="003758D4">
              <w:rPr>
                <w:color w:val="000000"/>
                <w:sz w:val="15"/>
                <w:szCs w:val="15"/>
              </w:rPr>
              <w:fldChar w:fldCharType="begin"/>
            </w:r>
            <w:r w:rsidR="003758D4">
              <w:rPr>
                <w:color w:val="000000"/>
                <w:sz w:val="15"/>
                <w:szCs w:val="15"/>
              </w:rPr>
              <w:instrText xml:space="preserve"> ADDIN ZOTERO_ITEM CSL_CITATION {"citationID":"hym8Abt9","properties":{"formattedCitation":"\\super 65\\nosupersub{}","plainCitation":"65","noteIndex":0},"citationItems":[{"id":1675,"uris":["http://zotero.org/users/5317696/items/R8943PHY"],"itemData":{"id":1675,"type":"article-journal","abstract":"Introduction\nHepatitis C virus (HCV) may recur after liver transplantation (LT) in the severe form of fibrosing cholestatic hepatitis (FCH). The prognosis dramatically improved by the use of direct acting antivirals (DAAs). The aim of the present study was to describe the change in histological features of FCH after virological eradication.\nMethods\nFrom the ANRS CUPILT cohort we included 17 patients who presented FCH and at least two graft biopsies, one before DAA-treatment and one after. A single expert pathologist, blinded for clinical outcome, retrospectively confirmed the diagnosis of FCH and progression of fibrosis.\nResults\nDiagnosis of FCH was made after a median [IQR] 6.0 [3.1–11.8] months after LT, and the median interval between diagnosis and onset of treatment was 1.2 [0.7–6.1] months. The rate of viral eradication was 94.1%. The median delay between the pre-treatment and the treatment biopsies was 12.5 [11.1–20.0] months. Between the end of treatment and the second biopsy, the delay was 5.3 [0.6–7.4] months. Fibrosis stage worsened in 10 patients (58.8%); 6 patients had cirrhosis (35.3%). Chronic rejection appeared in 4 (23.5%) patients.\nConclusion\nOur results suggest that, despite viral eradication in patients presenting FCH after LT, fibrosis progression was observed in half of patients. This should encourage monitoring fibrosis progression despite HCV cure.","container-title":"Clinics and Research in Hepatology and Gastroenterology","DOI":"10.1016/j.clinre.2022.102024","ISSN":"2210-7401","issue":"9","journalAbbreviation":"Clinics and Research in Hepatology and Gastroenterology","page":"102024","source":"ScienceDirect","title":"HCV eradication does not protect from fibrosis progression in patients with fibrosing cholestatic hepatitis after liver transplantation","URL":"https://www.sciencedirect.com/science/article/pii/S2210740122001589","volume":"46","author":[{"family":"Coilly","given":"Audrey"},{"family":"Sebagh","given":"Mylène"},{"family":"Fougerou-Leurent","given":"Claire"},{"family":"Pageaux","given":"Georges-Philippe"},{"family":"Leroy","given":"Vincent"},{"family":"Radenne","given":"Sylvie"},{"family":"Silvain","given":"Christine"},{"family":"Lebray","given":"Pascal"},{"family":"Houssel-Debry","given":"Pauline"},{"family":"Cagnot","given":"Carole"},{"family":"Rossignol","given":"Emilie"},{"family":"Danjou","given":"Hélène"},{"family":"Veislinger","given":"Aurélie"},{"family":"Samuel","given":"Didier"},{"family":"Duclos-Vallée","given":"Jean-Charles"},{"family":"Dumortier","given":"Jérôme"}],"accessed":{"date-parts":[["2025",8,21]]},"issued":{"date-parts":[["2022",11,1]]}}}],"schema":"https://github.com/citation-style-language/schema/raw/master/csl-citation.json"} </w:instrText>
            </w:r>
            <w:r w:rsidR="003758D4">
              <w:rPr>
                <w:color w:val="000000"/>
                <w:sz w:val="15"/>
                <w:szCs w:val="15"/>
              </w:rPr>
              <w:fldChar w:fldCharType="separate"/>
            </w:r>
            <w:r w:rsidR="003758D4" w:rsidRPr="003758D4">
              <w:rPr>
                <w:sz w:val="15"/>
                <w:vertAlign w:val="superscript"/>
              </w:rPr>
              <w:t>65</w:t>
            </w:r>
            <w:r w:rsidR="003758D4">
              <w:rPr>
                <w:color w:val="000000"/>
                <w:sz w:val="15"/>
                <w:szCs w:val="15"/>
              </w:rPr>
              <w:fldChar w:fldCharType="end"/>
            </w:r>
          </w:p>
        </w:tc>
        <w:tc>
          <w:tcPr>
            <w:tcW w:w="1276" w:type="dxa"/>
            <w:noWrap/>
            <w:vAlign w:val="center"/>
          </w:tcPr>
          <w:p w14:paraId="2D328EBF" w14:textId="220AD61F" w:rsidR="006C21BE" w:rsidRPr="00131373" w:rsidRDefault="006C21BE" w:rsidP="00F72FC0">
            <w:pPr>
              <w:jc w:val="center"/>
              <w:rPr>
                <w:color w:val="000000"/>
                <w:sz w:val="15"/>
                <w:szCs w:val="15"/>
              </w:rPr>
            </w:pPr>
            <w:r>
              <w:rPr>
                <w:color w:val="000000"/>
                <w:sz w:val="15"/>
                <w:szCs w:val="15"/>
              </w:rPr>
              <w:t>Retrospective cohort</w:t>
            </w:r>
          </w:p>
        </w:tc>
        <w:tc>
          <w:tcPr>
            <w:tcW w:w="709" w:type="dxa"/>
            <w:noWrap/>
            <w:vAlign w:val="center"/>
          </w:tcPr>
          <w:p w14:paraId="079B0B2F" w14:textId="280D551A"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6208BCB9" w14:textId="63A14447"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043CFD52" w14:textId="5F803E33"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9" w:type="dxa"/>
            <w:noWrap/>
            <w:vAlign w:val="center"/>
          </w:tcPr>
          <w:p w14:paraId="32CEECC9" w14:textId="560A0A69"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1" w:type="dxa"/>
            <w:noWrap/>
            <w:vAlign w:val="center"/>
          </w:tcPr>
          <w:p w14:paraId="475EA520" w14:textId="1018727F"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2" w:type="dxa"/>
            <w:noWrap/>
            <w:vAlign w:val="center"/>
          </w:tcPr>
          <w:p w14:paraId="14F188C1" w14:textId="51DBF7A6"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37" w:type="dxa"/>
            <w:noWrap/>
            <w:vAlign w:val="center"/>
          </w:tcPr>
          <w:p w14:paraId="11181C92" w14:textId="74978B6E"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331" w:type="dxa"/>
            <w:noWrap/>
            <w:vAlign w:val="center"/>
          </w:tcPr>
          <w:p w14:paraId="650CD950" w14:textId="49665755"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38F9CED2" w14:textId="0B0380E9"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62801252" w14:textId="608BE98B" w:rsidR="006C21BE" w:rsidRPr="00131373" w:rsidRDefault="006C21BE" w:rsidP="00485C7C">
            <w:pPr>
              <w:jc w:val="center"/>
              <w:rPr>
                <w:color w:val="000000"/>
                <w:sz w:val="15"/>
                <w:szCs w:val="15"/>
              </w:rPr>
            </w:pPr>
            <w:r w:rsidRPr="00274B66">
              <w:rPr>
                <w:color w:val="000000"/>
                <w:sz w:val="15"/>
                <w:szCs w:val="15"/>
              </w:rPr>
              <w:t>8</w:t>
            </w:r>
          </w:p>
        </w:tc>
        <w:tc>
          <w:tcPr>
            <w:tcW w:w="1418" w:type="dxa"/>
            <w:noWrap/>
            <w:vAlign w:val="center"/>
          </w:tcPr>
          <w:p w14:paraId="664BD14B" w14:textId="41C6B986" w:rsidR="006C21BE" w:rsidRPr="00131373" w:rsidRDefault="00AA7D9A" w:rsidP="00485C7C">
            <w:pPr>
              <w:jc w:val="center"/>
              <w:rPr>
                <w:color w:val="000000"/>
                <w:sz w:val="15"/>
                <w:szCs w:val="15"/>
              </w:rPr>
            </w:pPr>
            <w:r>
              <w:rPr>
                <w:color w:val="000000"/>
                <w:sz w:val="15"/>
                <w:szCs w:val="15"/>
              </w:rPr>
              <w:t>High</w:t>
            </w:r>
          </w:p>
        </w:tc>
      </w:tr>
      <w:tr w:rsidR="006C21BE" w:rsidRPr="00131373" w14:paraId="485863F5" w14:textId="77777777" w:rsidTr="00F72FC0">
        <w:trPr>
          <w:trHeight w:val="300"/>
        </w:trPr>
        <w:tc>
          <w:tcPr>
            <w:tcW w:w="1823" w:type="dxa"/>
            <w:noWrap/>
            <w:vAlign w:val="center"/>
          </w:tcPr>
          <w:p w14:paraId="580A572C" w14:textId="3BC2A932" w:rsidR="006C21BE" w:rsidRPr="00131373" w:rsidRDefault="006C21BE" w:rsidP="00F72FC0">
            <w:pPr>
              <w:jc w:val="center"/>
              <w:rPr>
                <w:color w:val="000000"/>
                <w:sz w:val="15"/>
                <w:szCs w:val="15"/>
              </w:rPr>
            </w:pPr>
            <w:r w:rsidRPr="00274B66">
              <w:rPr>
                <w:color w:val="000000"/>
                <w:sz w:val="15"/>
                <w:szCs w:val="15"/>
              </w:rPr>
              <w:t>Hsieh et al. (2024)</w:t>
            </w:r>
            <w:r w:rsidR="003758D4">
              <w:rPr>
                <w:color w:val="000000"/>
                <w:sz w:val="15"/>
                <w:szCs w:val="15"/>
              </w:rPr>
              <w:t xml:space="preserve"> </w:t>
            </w:r>
            <w:r w:rsidR="003758D4">
              <w:rPr>
                <w:color w:val="000000"/>
                <w:sz w:val="15"/>
                <w:szCs w:val="15"/>
              </w:rPr>
              <w:fldChar w:fldCharType="begin"/>
            </w:r>
            <w:r w:rsidR="003758D4">
              <w:rPr>
                <w:color w:val="000000"/>
                <w:sz w:val="15"/>
                <w:szCs w:val="15"/>
              </w:rPr>
              <w:instrText xml:space="preserve"> ADDIN ZOTERO_ITEM CSL_CITATION {"citationID":"RSZ7kXqy","properties":{"formattedCitation":"\\super 66\\nosupersub{}","plainCitation":"66","noteIndex":0},"citationItems":[{"id":3820,"uris":["http://zotero.org/users/5317696/items/BRQEDSVW"],"itemData":{"id":3820,"type":"article-journal","abstract":"Background/Purpose\nThere are limited studies performing paired liver biopsies in chronic hepatitis C (CHC) patients treated with direct-acting antivirals (DAA). We aimed to investigate the predictors of liver fibrosis changes assessed by paired liver biopsies in these patients.\nMethods\nFrom March 2017 to March 2020, 113 CHC patients were prospectively enrolled to receive DAA therapy at our hospital. Paired liver biopsies were performed at baseline and 12 weeks after the end of treatment.\nResults\nAmong the entire cohort, the rate of sustained virological response (SVR) was 100%. Four baseline variables independently predicted fibrosis regression, including age &lt;65 years [odds ratio (OR) = 2.725, p = 0.036], fibrosis stages (METAVIR scores) &lt; 3 (OR = 4.874, p = 0.040), hemoglobin levels ≥12.5 g/dL (OR = 3.538, p = 0.029), and platelet counts ≥160 103/μL (OR = 2.958, p = 0.023). Besides, five independent predictors of fibrosis progression included baseline age ≥66 years (OR = 16.351, p = 0.024), body mass index (BMI) ≥26.5 kg/m2 (OR = 21.666, p = 0.009), sofosbuvir/ribavirin use (OR = 29.465, p = 0.031), platelet counts &lt;119 103/μL (OR = 33.739, p = 0.026), and the absence of alanine aminotransferase (ALT) levels declining from &gt;35 U/L at baseline to ≤35 U/L at 4 weeks after baseline (OR = 284.534, p = 0.026).\nConclusion\nFor DAA-treated CHC patients, those with baseline age &lt;65 years, fibrosis stages &lt;3, hemoglobin levels ≥12.5 g/dL, or platelet counts ≥160 103/μL are more likely to attain fibrosis regression. There is a higher risk of fibrosis progression in those with baseline age ≥66 years, BMI ≥26.5 kg/m2, sofosbuvir/ribavirin use, platelet counts &lt;119 103/μL, or the absence of early ALT normalization at 4 weeks after baseline.","container-title":"Journal of Microbiology, Immunology and Infection","DOI":"10.1016/j.jmii.2024.08.005","ISSN":"1684-1182","issue":"6","journalAbbreviation":"Journal of Microbiology, Immunology and Infection","page":"840-853","publisher":"Elsevier","source":"ScienceDirect","title":"Predictors of liver fibrosis changes assessed by paired liver biopsies in chronic hepatitis C patients treated with direct-acting antivirals","URL":"https://www.sciencedirect.com/science/article/pii/S168411822400149X","volume":"57","author":[{"family":"Hsieh","given":"Ming-Han"},{"family":"Kao","given":"Tzu-Yu"},{"family":"Hsieh","given":"Ting-Hui"},{"family":"Kao","given":"Chun-Chi"},{"family":"Peng","given":"Cheng-Yuan"},{"family":"Lai","given":"Hsueh-Chou"},{"family":"Cheng","given":"Hsing-Hung"},{"family":"Ho","given":"Mao-Wang"},{"family":"Chi","given":"Chih-Yu"},{"family":"Kao","given":"Jung-Ta"}],"accessed":{"date-parts":[["2026",4,15]]},"issued":{"date-parts":[["2024",12,1]]}}}],"schema":"https://github.com/citation-style-language/schema/raw/master/csl-citation.json"} </w:instrText>
            </w:r>
            <w:r w:rsidR="003758D4">
              <w:rPr>
                <w:color w:val="000000"/>
                <w:sz w:val="15"/>
                <w:szCs w:val="15"/>
              </w:rPr>
              <w:fldChar w:fldCharType="separate"/>
            </w:r>
            <w:r w:rsidR="003758D4" w:rsidRPr="003758D4">
              <w:rPr>
                <w:sz w:val="15"/>
                <w:vertAlign w:val="superscript"/>
              </w:rPr>
              <w:t>66</w:t>
            </w:r>
            <w:r w:rsidR="003758D4">
              <w:rPr>
                <w:color w:val="000000"/>
                <w:sz w:val="15"/>
                <w:szCs w:val="15"/>
              </w:rPr>
              <w:fldChar w:fldCharType="end"/>
            </w:r>
          </w:p>
        </w:tc>
        <w:tc>
          <w:tcPr>
            <w:tcW w:w="1276" w:type="dxa"/>
            <w:noWrap/>
            <w:vAlign w:val="center"/>
          </w:tcPr>
          <w:p w14:paraId="1FBF0974" w14:textId="54862363" w:rsidR="006C21BE" w:rsidRPr="00131373" w:rsidRDefault="006C21BE" w:rsidP="00F72FC0">
            <w:pPr>
              <w:jc w:val="center"/>
              <w:rPr>
                <w:color w:val="000000"/>
                <w:sz w:val="15"/>
                <w:szCs w:val="15"/>
              </w:rPr>
            </w:pPr>
            <w:r>
              <w:rPr>
                <w:color w:val="000000"/>
                <w:sz w:val="15"/>
                <w:szCs w:val="15"/>
              </w:rPr>
              <w:t>Prospective cohort</w:t>
            </w:r>
          </w:p>
        </w:tc>
        <w:tc>
          <w:tcPr>
            <w:tcW w:w="709" w:type="dxa"/>
            <w:noWrap/>
            <w:vAlign w:val="center"/>
          </w:tcPr>
          <w:p w14:paraId="7EDA7224" w14:textId="2211EAD0"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1D59C877" w14:textId="28E78D1E"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4" w:type="dxa"/>
            <w:noWrap/>
            <w:vAlign w:val="center"/>
          </w:tcPr>
          <w:p w14:paraId="186C3A99" w14:textId="42D6B361"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9" w:type="dxa"/>
            <w:noWrap/>
            <w:vAlign w:val="center"/>
          </w:tcPr>
          <w:p w14:paraId="0B10D05C" w14:textId="3C6D00E8"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1" w:type="dxa"/>
            <w:noWrap/>
            <w:vAlign w:val="center"/>
          </w:tcPr>
          <w:p w14:paraId="1F16058F" w14:textId="7BBEDDF0"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132" w:type="dxa"/>
            <w:noWrap/>
            <w:vAlign w:val="center"/>
          </w:tcPr>
          <w:p w14:paraId="2ADFF1E7" w14:textId="5238B76A"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37" w:type="dxa"/>
            <w:noWrap/>
            <w:vAlign w:val="center"/>
          </w:tcPr>
          <w:p w14:paraId="6C4FF22C" w14:textId="2213F696"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1331" w:type="dxa"/>
            <w:noWrap/>
            <w:vAlign w:val="center"/>
          </w:tcPr>
          <w:p w14:paraId="520A7838" w14:textId="5AA20CFA"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76B2EE75" w14:textId="6C7948EC" w:rsidR="006C21BE" w:rsidRPr="00AA7D9A" w:rsidRDefault="006C21BE" w:rsidP="00485C7C">
            <w:pPr>
              <w:jc w:val="center"/>
              <w:rPr>
                <w:rFonts w:ascii="Wingdings" w:hAnsi="Wingdings"/>
                <w:color w:val="000000"/>
                <w:sz w:val="15"/>
                <w:szCs w:val="15"/>
              </w:rPr>
            </w:pPr>
            <w:r w:rsidRPr="00274B66">
              <w:rPr>
                <w:rFonts w:ascii="Wingdings" w:hAnsi="Wingdings"/>
                <w:sz w:val="15"/>
                <w:szCs w:val="15"/>
              </w:rPr>
              <w:t></w:t>
            </w:r>
          </w:p>
        </w:tc>
        <w:tc>
          <w:tcPr>
            <w:tcW w:w="992" w:type="dxa"/>
            <w:noWrap/>
            <w:vAlign w:val="center"/>
          </w:tcPr>
          <w:p w14:paraId="4972F0D8" w14:textId="5D0DEF4D" w:rsidR="006C21BE" w:rsidRPr="00131373" w:rsidRDefault="006C21BE" w:rsidP="00485C7C">
            <w:pPr>
              <w:jc w:val="center"/>
              <w:rPr>
                <w:color w:val="000000"/>
                <w:sz w:val="15"/>
                <w:szCs w:val="15"/>
              </w:rPr>
            </w:pPr>
            <w:r w:rsidRPr="00274B66">
              <w:rPr>
                <w:color w:val="000000"/>
                <w:sz w:val="15"/>
                <w:szCs w:val="15"/>
              </w:rPr>
              <w:t>9</w:t>
            </w:r>
          </w:p>
        </w:tc>
        <w:tc>
          <w:tcPr>
            <w:tcW w:w="1418" w:type="dxa"/>
            <w:noWrap/>
            <w:vAlign w:val="center"/>
          </w:tcPr>
          <w:p w14:paraId="598E6F80" w14:textId="15352CBE" w:rsidR="006C21BE" w:rsidRPr="00131373" w:rsidRDefault="00AA7D9A" w:rsidP="00485C7C">
            <w:pPr>
              <w:jc w:val="center"/>
              <w:rPr>
                <w:color w:val="000000"/>
                <w:sz w:val="15"/>
                <w:szCs w:val="15"/>
              </w:rPr>
            </w:pPr>
            <w:r>
              <w:rPr>
                <w:color w:val="000000"/>
                <w:sz w:val="15"/>
                <w:szCs w:val="15"/>
              </w:rPr>
              <w:t>High</w:t>
            </w:r>
          </w:p>
        </w:tc>
      </w:tr>
    </w:tbl>
    <w:p w14:paraId="304347DA" w14:textId="77777777" w:rsidR="006C21BE" w:rsidRDefault="006C21BE" w:rsidP="006C21BE">
      <w:pPr>
        <w:tabs>
          <w:tab w:val="left" w:pos="656"/>
        </w:tabs>
        <w:rPr>
          <w:sz w:val="20"/>
          <w:szCs w:val="20"/>
        </w:rPr>
      </w:pPr>
    </w:p>
    <w:p w14:paraId="0A7D7572" w14:textId="469E4405" w:rsidR="006C21BE" w:rsidRDefault="006C21BE" w:rsidP="006C21BE">
      <w:pPr>
        <w:pStyle w:val="NormalWeb"/>
      </w:pPr>
    </w:p>
    <w:p w14:paraId="2D89DD3A" w14:textId="75D81485" w:rsidR="006C21BE" w:rsidRPr="00274B66" w:rsidRDefault="006C21BE" w:rsidP="006C21BE">
      <w:pPr>
        <w:tabs>
          <w:tab w:val="left" w:pos="656"/>
        </w:tabs>
        <w:rPr>
          <w:sz w:val="20"/>
          <w:szCs w:val="20"/>
        </w:rPr>
        <w:sectPr w:rsidR="006C21BE" w:rsidRPr="00274B66">
          <w:pgSz w:w="16838" w:h="11906" w:orient="landscape"/>
          <w:pgMar w:top="1440" w:right="1440" w:bottom="1440" w:left="1440" w:header="709" w:footer="709" w:gutter="0"/>
          <w:cols w:space="708"/>
          <w:docGrid w:linePitch="360"/>
        </w:sectPr>
      </w:pPr>
    </w:p>
    <w:p w14:paraId="7894FB9F" w14:textId="2C0EE07D" w:rsidR="00C13109" w:rsidRDefault="00CB73A9">
      <w:pPr>
        <w:rPr>
          <w:b/>
          <w:bCs/>
          <w:sz w:val="20"/>
          <w:szCs w:val="20"/>
        </w:rPr>
      </w:pPr>
      <w:r w:rsidRPr="00E20B89">
        <w:rPr>
          <w:b/>
          <w:bCs/>
          <w:sz w:val="20"/>
          <w:szCs w:val="20"/>
        </w:rPr>
        <w:lastRenderedPageBreak/>
        <w:t>Appendix III:</w:t>
      </w:r>
      <w:r w:rsidR="00C13109">
        <w:rPr>
          <w:b/>
          <w:bCs/>
          <w:sz w:val="20"/>
          <w:szCs w:val="20"/>
        </w:rPr>
        <w:t xml:space="preserve"> </w:t>
      </w:r>
      <w:r w:rsidRPr="00E20B89">
        <w:rPr>
          <w:b/>
          <w:bCs/>
          <w:sz w:val="20"/>
          <w:szCs w:val="20"/>
        </w:rPr>
        <w:t xml:space="preserve"> </w:t>
      </w:r>
      <w:r w:rsidR="00C13109">
        <w:rPr>
          <w:b/>
          <w:bCs/>
          <w:sz w:val="20"/>
          <w:szCs w:val="20"/>
        </w:rPr>
        <w:t>Within Study Pre-post Correlation</w:t>
      </w:r>
    </w:p>
    <w:p w14:paraId="3CF71A09" w14:textId="77777777" w:rsidR="00C13109" w:rsidRDefault="00C13109">
      <w:pPr>
        <w:rPr>
          <w:b/>
          <w:bCs/>
          <w:sz w:val="20"/>
          <w:szCs w:val="20"/>
        </w:rPr>
      </w:pPr>
    </w:p>
    <w:tbl>
      <w:tblPr>
        <w:tblStyle w:val="TableGrid"/>
        <w:tblW w:w="0" w:type="auto"/>
        <w:tblLook w:val="04A0" w:firstRow="1" w:lastRow="0" w:firstColumn="1" w:lastColumn="0" w:noHBand="0" w:noVBand="1"/>
      </w:tblPr>
      <w:tblGrid>
        <w:gridCol w:w="2263"/>
        <w:gridCol w:w="1721"/>
        <w:gridCol w:w="1992"/>
        <w:gridCol w:w="1993"/>
        <w:gridCol w:w="1993"/>
        <w:gridCol w:w="1993"/>
        <w:gridCol w:w="1993"/>
      </w:tblGrid>
      <w:tr w:rsidR="00C13109" w:rsidRPr="00C13109" w14:paraId="6877784C" w14:textId="77777777" w:rsidTr="00274B66">
        <w:tc>
          <w:tcPr>
            <w:tcW w:w="2263" w:type="dxa"/>
          </w:tcPr>
          <w:p w14:paraId="67343616" w14:textId="53D3F425" w:rsidR="00C13109" w:rsidRPr="00C13109" w:rsidRDefault="00C13109">
            <w:pPr>
              <w:rPr>
                <w:b/>
                <w:bCs/>
                <w:sz w:val="20"/>
                <w:szCs w:val="20"/>
              </w:rPr>
            </w:pPr>
            <w:r w:rsidRPr="00C13109">
              <w:rPr>
                <w:b/>
                <w:bCs/>
                <w:sz w:val="20"/>
                <w:szCs w:val="20"/>
              </w:rPr>
              <w:t>Study</w:t>
            </w:r>
          </w:p>
        </w:tc>
        <w:tc>
          <w:tcPr>
            <w:tcW w:w="1721" w:type="dxa"/>
          </w:tcPr>
          <w:p w14:paraId="590BE300" w14:textId="4923254C" w:rsidR="00C13109" w:rsidRPr="00C13109" w:rsidRDefault="00C13109">
            <w:pPr>
              <w:rPr>
                <w:b/>
                <w:bCs/>
                <w:sz w:val="20"/>
                <w:szCs w:val="20"/>
              </w:rPr>
            </w:pPr>
            <w:r w:rsidRPr="00C13109">
              <w:rPr>
                <w:b/>
                <w:bCs/>
                <w:sz w:val="20"/>
                <w:szCs w:val="20"/>
              </w:rPr>
              <w:t>Mean Change</w:t>
            </w:r>
          </w:p>
        </w:tc>
        <w:tc>
          <w:tcPr>
            <w:tcW w:w="1992" w:type="dxa"/>
          </w:tcPr>
          <w:p w14:paraId="38105E41" w14:textId="2A7B4EB6" w:rsidR="00C13109" w:rsidRPr="00C13109" w:rsidRDefault="00C13109">
            <w:pPr>
              <w:rPr>
                <w:b/>
                <w:bCs/>
                <w:sz w:val="20"/>
                <w:szCs w:val="20"/>
              </w:rPr>
            </w:pPr>
            <w:r w:rsidRPr="00C13109">
              <w:rPr>
                <w:b/>
                <w:bCs/>
                <w:sz w:val="20"/>
                <w:szCs w:val="20"/>
              </w:rPr>
              <w:t>95% CI/ Range /SD Change</w:t>
            </w:r>
          </w:p>
        </w:tc>
        <w:tc>
          <w:tcPr>
            <w:tcW w:w="1993" w:type="dxa"/>
          </w:tcPr>
          <w:p w14:paraId="66FCA2A0" w14:textId="29A3E62C" w:rsidR="00C13109" w:rsidRPr="00C13109" w:rsidRDefault="00C13109">
            <w:pPr>
              <w:rPr>
                <w:b/>
                <w:bCs/>
                <w:sz w:val="20"/>
                <w:szCs w:val="20"/>
              </w:rPr>
            </w:pPr>
            <w:r w:rsidRPr="00C13109">
              <w:rPr>
                <w:b/>
                <w:bCs/>
                <w:sz w:val="20"/>
                <w:szCs w:val="20"/>
              </w:rPr>
              <w:t>n</w:t>
            </w:r>
          </w:p>
        </w:tc>
        <w:tc>
          <w:tcPr>
            <w:tcW w:w="1993" w:type="dxa"/>
          </w:tcPr>
          <w:p w14:paraId="04F7CB1D" w14:textId="3D028405" w:rsidR="00C13109" w:rsidRPr="00C13109" w:rsidRDefault="00C13109">
            <w:pPr>
              <w:rPr>
                <w:b/>
                <w:bCs/>
                <w:sz w:val="20"/>
                <w:szCs w:val="20"/>
              </w:rPr>
            </w:pPr>
            <w:proofErr w:type="gramStart"/>
            <w:r w:rsidRPr="00C13109">
              <w:rPr>
                <w:b/>
                <w:bCs/>
                <w:sz w:val="20"/>
                <w:szCs w:val="20"/>
              </w:rPr>
              <w:t>pre SD</w:t>
            </w:r>
            <w:proofErr w:type="gramEnd"/>
          </w:p>
        </w:tc>
        <w:tc>
          <w:tcPr>
            <w:tcW w:w="1993" w:type="dxa"/>
          </w:tcPr>
          <w:p w14:paraId="3137DC19" w14:textId="47DFBC8D" w:rsidR="00C13109" w:rsidRPr="00C13109" w:rsidRDefault="00C13109">
            <w:pPr>
              <w:rPr>
                <w:b/>
                <w:bCs/>
                <w:sz w:val="20"/>
                <w:szCs w:val="20"/>
              </w:rPr>
            </w:pPr>
            <w:r w:rsidRPr="00C13109">
              <w:rPr>
                <w:b/>
                <w:bCs/>
                <w:sz w:val="20"/>
                <w:szCs w:val="20"/>
              </w:rPr>
              <w:t>post SD</w:t>
            </w:r>
          </w:p>
        </w:tc>
        <w:tc>
          <w:tcPr>
            <w:tcW w:w="1993" w:type="dxa"/>
          </w:tcPr>
          <w:p w14:paraId="47036646" w14:textId="37A395D7" w:rsidR="00C13109" w:rsidRPr="00C13109" w:rsidRDefault="00C13109">
            <w:pPr>
              <w:rPr>
                <w:b/>
                <w:bCs/>
                <w:sz w:val="20"/>
                <w:szCs w:val="20"/>
              </w:rPr>
            </w:pPr>
            <w:r w:rsidRPr="00C13109">
              <w:rPr>
                <w:b/>
                <w:bCs/>
                <w:sz w:val="20"/>
                <w:szCs w:val="20"/>
              </w:rPr>
              <w:t>Correlation Coefficient</w:t>
            </w:r>
            <w:r w:rsidR="005B6C31">
              <w:rPr>
                <w:b/>
                <w:bCs/>
                <w:sz w:val="20"/>
                <w:szCs w:val="20"/>
              </w:rPr>
              <w:t xml:space="preserve"> </w:t>
            </w:r>
            <w:r w:rsidR="00BE325E">
              <w:rPr>
                <w:b/>
                <w:bCs/>
                <w:sz w:val="20"/>
                <w:szCs w:val="20"/>
              </w:rPr>
              <w:t>(r)</w:t>
            </w:r>
          </w:p>
        </w:tc>
      </w:tr>
      <w:tr w:rsidR="005B6C31" w:rsidRPr="00C13109" w14:paraId="233F397D" w14:textId="77777777" w:rsidTr="00274B66">
        <w:tc>
          <w:tcPr>
            <w:tcW w:w="2263" w:type="dxa"/>
            <w:vAlign w:val="bottom"/>
          </w:tcPr>
          <w:p w14:paraId="70218519" w14:textId="19228972" w:rsidR="005B6C31" w:rsidRPr="00274B66" w:rsidRDefault="005B6C31" w:rsidP="005B6C31">
            <w:pPr>
              <w:rPr>
                <w:sz w:val="20"/>
                <w:szCs w:val="20"/>
              </w:rPr>
            </w:pPr>
            <w:r w:rsidRPr="00274B66">
              <w:rPr>
                <w:color w:val="000000"/>
                <w:sz w:val="22"/>
                <w:szCs w:val="22"/>
              </w:rPr>
              <w:t>Huang et al 2020</w:t>
            </w:r>
            <w:r w:rsidR="003758D4">
              <w:rPr>
                <w:color w:val="000000"/>
                <w:sz w:val="22"/>
                <w:szCs w:val="22"/>
              </w:rPr>
              <w:t xml:space="preserve"> </w:t>
            </w:r>
            <w:r w:rsidR="003758D4">
              <w:rPr>
                <w:color w:val="000000"/>
                <w:sz w:val="22"/>
                <w:szCs w:val="22"/>
              </w:rPr>
              <w:fldChar w:fldCharType="begin"/>
            </w:r>
            <w:r w:rsidR="003758D4">
              <w:rPr>
                <w:color w:val="000000"/>
                <w:sz w:val="22"/>
                <w:szCs w:val="22"/>
              </w:rPr>
              <w:instrText xml:space="preserve"> ADDIN ZOTERO_ITEM CSL_CITATION {"citationID":"MJIHribG","properties":{"formattedCitation":"\\super 67\\nosupersub{}","plainCitation":"67","noteIndex":0},"citationItems":[{"id":1574,"uris":["http://zotero.org/users/5317696/items/SQ7RVB2F"],"itemData":{"id":1574,"type":"article-journal","abstract":"Background Short-time usage of direct-acting antiviral agents (DAA) limited knowledge regarding histological outcomes and predictive values of noninvasive measurements in patients with hepatitis C virus (HCV) after sustained virologic response (SVR) with DAA. Aims This study aimed to indicate histological changes and assess predictive value of noninvasive measurements for fibrosis in these patients.\nMethods HCV patients who achieved SVR by DAA were identified. Pre- and post-SVR clinical and histological data were collected.\nResults Of patients, 83% (33/40), 38% (15/40) and 83% (33/40) achieved inflammation improvement, fibrosis regression and histological improvement, respectively. Liver stiffness measurements (LSM), APRI, and FIB-4 could predict post-SVR fibrosis well without significant differences. Areas under receiver operating characteristic curves of LSM, APRI, and FIB-4 were 0.78, 0.81, and 0.87 for post-SVR advanced fibrosis (≥ F4) and 0.86, 0.86, and 0.85 for post-SVR cirrhosis (≥ F5), respectively. Pre-SVR LSM, APRI, and FIB-4 values were significantly lower in patients with fibrosis regression (P = 0.003–0.012), while FIB-4 was significantly lower in patients with histological improvement (P= 0.012–0.033). Patients with higher pre-SVR Ishak scores tended to have bigger decline in APRI (P = 0.025) and FIB-4 (P = 0.024) after SVR.\nConclusions DAA could improve liver inflammation and fibrosis of HCV patients in a short time after SVR. LSM, APRI, and FIB-4 predict fibrosis well even after SVR by DAA. Most of the cutoff values for advanced fibrosis (≥ F4) and cirrhosis (≥ F5) of these noninvasive measurements decreased significantly after SVR, maybe because of the inflammation improvement.","container-title":"Digestive Diseases and Sciences","DOI":"10.1007/s10620-019-05886-y","ISSN":"0163-2116, 1573-2568","issue":"5","journalAbbreviation":"Dig Dis Sci","language":"en","page":"1491-1500","source":"DOI.org (Crossref)","title":"Noninvasive Measurements Predict Liver Fibrosis Well in Hepatitis C Virus Patients After Direct-Acting Antiviral Therapy","URL":"http://link.springer.com/10.1007/s10620-019-05886-y","volume":"65","author":[{"family":"Huang","given":"Rui"},{"family":"Rao","given":"Huiying"},{"family":"Yang","given":"Ming"},{"family":"Gao","given":"Yinghui"},{"family":"Wang","given":"Jian"},{"family":"Jin","given":"Qian"},{"family":"Ma","given":"Danli"},{"family":"Wei","given":"Lai"}],"accessed":{"date-parts":[["2025",5,15]]},"issued":{"date-parts":[["2020",5]]}}}],"schema":"https://github.com/citation-style-language/schema/raw/master/csl-citation.json"} </w:instrText>
            </w:r>
            <w:r w:rsidR="003758D4">
              <w:rPr>
                <w:color w:val="000000"/>
                <w:sz w:val="22"/>
                <w:szCs w:val="22"/>
              </w:rPr>
              <w:fldChar w:fldCharType="separate"/>
            </w:r>
            <w:r w:rsidR="003758D4" w:rsidRPr="003758D4">
              <w:rPr>
                <w:sz w:val="22"/>
                <w:vertAlign w:val="superscript"/>
              </w:rPr>
              <w:t>67</w:t>
            </w:r>
            <w:r w:rsidR="003758D4">
              <w:rPr>
                <w:color w:val="000000"/>
                <w:sz w:val="22"/>
                <w:szCs w:val="22"/>
              </w:rPr>
              <w:fldChar w:fldCharType="end"/>
            </w:r>
          </w:p>
        </w:tc>
        <w:tc>
          <w:tcPr>
            <w:tcW w:w="1721" w:type="dxa"/>
            <w:vAlign w:val="bottom"/>
          </w:tcPr>
          <w:p w14:paraId="50FC0EC9" w14:textId="4102C58C" w:rsidR="005B6C31" w:rsidRPr="00274B66" w:rsidRDefault="005B6C31" w:rsidP="005B6C31">
            <w:pPr>
              <w:rPr>
                <w:sz w:val="20"/>
                <w:szCs w:val="20"/>
              </w:rPr>
            </w:pPr>
            <w:r w:rsidRPr="00274B66">
              <w:rPr>
                <w:color w:val="000000"/>
                <w:sz w:val="22"/>
                <w:szCs w:val="22"/>
              </w:rPr>
              <w:t>-2.1</w:t>
            </w:r>
          </w:p>
        </w:tc>
        <w:tc>
          <w:tcPr>
            <w:tcW w:w="1992" w:type="dxa"/>
            <w:vAlign w:val="bottom"/>
          </w:tcPr>
          <w:p w14:paraId="70D014DA" w14:textId="003185F4" w:rsidR="005B6C31" w:rsidRPr="00274B66" w:rsidRDefault="005B6C31" w:rsidP="005B6C31">
            <w:pPr>
              <w:rPr>
                <w:sz w:val="20"/>
                <w:szCs w:val="20"/>
                <w:vertAlign w:val="superscript"/>
              </w:rPr>
            </w:pPr>
            <w:r w:rsidRPr="00274B66">
              <w:rPr>
                <w:color w:val="000000"/>
                <w:sz w:val="22"/>
                <w:szCs w:val="22"/>
              </w:rPr>
              <w:t>1.88</w:t>
            </w:r>
            <w:r w:rsidRPr="00274B66">
              <w:rPr>
                <w:color w:val="000000"/>
                <w:sz w:val="22"/>
                <w:szCs w:val="22"/>
                <w:vertAlign w:val="superscript"/>
              </w:rPr>
              <w:t>$</w:t>
            </w:r>
          </w:p>
        </w:tc>
        <w:tc>
          <w:tcPr>
            <w:tcW w:w="1993" w:type="dxa"/>
          </w:tcPr>
          <w:p w14:paraId="79BCD53F" w14:textId="167AD859" w:rsidR="005B6C31" w:rsidRPr="00274B66" w:rsidRDefault="004D6E5E" w:rsidP="005B6C31">
            <w:pPr>
              <w:rPr>
                <w:sz w:val="20"/>
                <w:szCs w:val="20"/>
              </w:rPr>
            </w:pPr>
            <w:r>
              <w:rPr>
                <w:sz w:val="20"/>
                <w:szCs w:val="20"/>
              </w:rPr>
              <w:t>15</w:t>
            </w:r>
          </w:p>
        </w:tc>
        <w:tc>
          <w:tcPr>
            <w:tcW w:w="1993" w:type="dxa"/>
            <w:vAlign w:val="bottom"/>
          </w:tcPr>
          <w:p w14:paraId="5C4DBB02" w14:textId="343EB161" w:rsidR="005B6C31" w:rsidRPr="00274B66" w:rsidRDefault="005B6C31" w:rsidP="005B6C31">
            <w:pPr>
              <w:rPr>
                <w:sz w:val="20"/>
                <w:szCs w:val="20"/>
              </w:rPr>
            </w:pPr>
            <w:r>
              <w:rPr>
                <w:rFonts w:ascii="Calibri" w:hAnsi="Calibri" w:cs="Calibri"/>
                <w:color w:val="000000"/>
                <w:sz w:val="22"/>
                <w:szCs w:val="22"/>
              </w:rPr>
              <w:t>2.8</w:t>
            </w:r>
          </w:p>
        </w:tc>
        <w:tc>
          <w:tcPr>
            <w:tcW w:w="1993" w:type="dxa"/>
            <w:vAlign w:val="bottom"/>
          </w:tcPr>
          <w:p w14:paraId="2D0C35F0" w14:textId="642794A7" w:rsidR="005B6C31" w:rsidRPr="00274B66" w:rsidRDefault="005B6C31" w:rsidP="005B6C31">
            <w:pPr>
              <w:rPr>
                <w:sz w:val="20"/>
                <w:szCs w:val="20"/>
              </w:rPr>
            </w:pPr>
            <w:r>
              <w:rPr>
                <w:rFonts w:ascii="Calibri" w:hAnsi="Calibri" w:cs="Calibri"/>
                <w:color w:val="000000"/>
                <w:sz w:val="22"/>
                <w:szCs w:val="22"/>
              </w:rPr>
              <w:t>1.9</w:t>
            </w:r>
          </w:p>
        </w:tc>
        <w:tc>
          <w:tcPr>
            <w:tcW w:w="1993" w:type="dxa"/>
            <w:vAlign w:val="bottom"/>
          </w:tcPr>
          <w:p w14:paraId="487DF57B" w14:textId="649DE1E9" w:rsidR="005B6C31" w:rsidRPr="00274B66" w:rsidRDefault="005B6C31" w:rsidP="005B6C31">
            <w:pPr>
              <w:rPr>
                <w:sz w:val="20"/>
                <w:szCs w:val="20"/>
              </w:rPr>
            </w:pPr>
            <w:r>
              <w:rPr>
                <w:rFonts w:ascii="Calibri" w:hAnsi="Calibri" w:cs="Calibri"/>
                <w:color w:val="000000"/>
                <w:sz w:val="22"/>
                <w:szCs w:val="22"/>
              </w:rPr>
              <w:t>0.7439</w:t>
            </w:r>
          </w:p>
        </w:tc>
      </w:tr>
      <w:tr w:rsidR="005B6C31" w:rsidRPr="00C13109" w14:paraId="16629C4C" w14:textId="77777777" w:rsidTr="00274B66">
        <w:tc>
          <w:tcPr>
            <w:tcW w:w="2263" w:type="dxa"/>
            <w:vAlign w:val="bottom"/>
          </w:tcPr>
          <w:p w14:paraId="6E93B0C8" w14:textId="153644C0" w:rsidR="005B6C31" w:rsidRPr="00274B66" w:rsidRDefault="005B6C31" w:rsidP="005B6C31">
            <w:pPr>
              <w:rPr>
                <w:sz w:val="20"/>
                <w:szCs w:val="20"/>
              </w:rPr>
            </w:pPr>
            <w:r w:rsidRPr="00274B66">
              <w:rPr>
                <w:color w:val="000000"/>
                <w:sz w:val="22"/>
                <w:szCs w:val="22"/>
              </w:rPr>
              <w:t>Huang et al 2020</w:t>
            </w:r>
            <w:r w:rsidR="003758D4">
              <w:rPr>
                <w:color w:val="000000"/>
                <w:sz w:val="22"/>
                <w:szCs w:val="22"/>
              </w:rPr>
              <w:t xml:space="preserve"> </w:t>
            </w:r>
            <w:r w:rsidR="003758D4">
              <w:rPr>
                <w:color w:val="000000"/>
                <w:sz w:val="22"/>
                <w:szCs w:val="22"/>
              </w:rPr>
              <w:fldChar w:fldCharType="begin"/>
            </w:r>
            <w:r w:rsidR="003758D4">
              <w:rPr>
                <w:color w:val="000000"/>
                <w:sz w:val="22"/>
                <w:szCs w:val="22"/>
              </w:rPr>
              <w:instrText xml:space="preserve"> ADDIN ZOTERO_ITEM CSL_CITATION {"citationID":"JlcsCXYX","properties":{"formattedCitation":"\\super 67\\nosupersub{}","plainCitation":"67","noteIndex":0},"citationItems":[{"id":1574,"uris":["http://zotero.org/users/5317696/items/SQ7RVB2F"],"itemData":{"id":1574,"type":"article-journal","abstract":"Background Short-time usage of direct-acting antiviral agents (DAA) limited knowledge regarding histological outcomes and predictive values of noninvasive measurements in patients with hepatitis C virus (HCV) after sustained virologic response (SVR) with DAA. Aims This study aimed to indicate histological changes and assess predictive value of noninvasive measurements for fibrosis in these patients.\nMethods HCV patients who achieved SVR by DAA were identified. Pre- and post-SVR clinical and histological data were collected.\nResults Of patients, 83% (33/40), 38% (15/40) and 83% (33/40) achieved inflammation improvement, fibrosis regression and histological improvement, respectively. Liver stiffness measurements (LSM), APRI, and FIB-4 could predict post-SVR fibrosis well without significant differences. Areas under receiver operating characteristic curves of LSM, APRI, and FIB-4 were 0.78, 0.81, and 0.87 for post-SVR advanced fibrosis (≥ F4) and 0.86, 0.86, and 0.85 for post-SVR cirrhosis (≥ F5), respectively. Pre-SVR LSM, APRI, and FIB-4 values were significantly lower in patients with fibrosis regression (P = 0.003–0.012), while FIB-4 was significantly lower in patients with histological improvement (P= 0.012–0.033). Patients with higher pre-SVR Ishak scores tended to have bigger decline in APRI (P = 0.025) and FIB-4 (P = 0.024) after SVR.\nConclusions DAA could improve liver inflammation and fibrosis of HCV patients in a short time after SVR. LSM, APRI, and FIB-4 predict fibrosis well even after SVR by DAA. Most of the cutoff values for advanced fibrosis (≥ F4) and cirrhosis (≥ F5) of these noninvasive measurements decreased significantly after SVR, maybe because of the inflammation improvement.","container-title":"Digestive Diseases and Sciences","DOI":"10.1007/s10620-019-05886-y","ISSN":"0163-2116, 1573-2568","issue":"5","journalAbbreviation":"Dig Dis Sci","language":"en","page":"1491-1500","source":"DOI.org (Crossref)","title":"Noninvasive Measurements Predict Liver Fibrosis Well in Hepatitis C Virus Patients After Direct-Acting Antiviral Therapy","URL":"http://link.springer.com/10.1007/s10620-019-05886-y","volume":"65","author":[{"family":"Huang","given":"Rui"},{"family":"Rao","given":"Huiying"},{"family":"Yang","given":"Ming"},{"family":"Gao","given":"Yinghui"},{"family":"Wang","given":"Jian"},{"family":"Jin","given":"Qian"},{"family":"Ma","given":"Danli"},{"family":"Wei","given":"Lai"}],"accessed":{"date-parts":[["2025",5,15]]},"issued":{"date-parts":[["2020",5]]}}}],"schema":"https://github.com/citation-style-language/schema/raw/master/csl-citation.json"} </w:instrText>
            </w:r>
            <w:r w:rsidR="003758D4">
              <w:rPr>
                <w:color w:val="000000"/>
                <w:sz w:val="22"/>
                <w:szCs w:val="22"/>
              </w:rPr>
              <w:fldChar w:fldCharType="separate"/>
            </w:r>
            <w:r w:rsidR="003758D4" w:rsidRPr="003758D4">
              <w:rPr>
                <w:sz w:val="22"/>
                <w:vertAlign w:val="superscript"/>
              </w:rPr>
              <w:t>67</w:t>
            </w:r>
            <w:r w:rsidR="003758D4">
              <w:rPr>
                <w:color w:val="000000"/>
                <w:sz w:val="22"/>
                <w:szCs w:val="22"/>
              </w:rPr>
              <w:fldChar w:fldCharType="end"/>
            </w:r>
          </w:p>
        </w:tc>
        <w:tc>
          <w:tcPr>
            <w:tcW w:w="1721" w:type="dxa"/>
            <w:vAlign w:val="bottom"/>
          </w:tcPr>
          <w:p w14:paraId="32F1D514" w14:textId="22616421" w:rsidR="005B6C31" w:rsidRPr="00274B66" w:rsidRDefault="005B6C31" w:rsidP="005B6C31">
            <w:pPr>
              <w:rPr>
                <w:sz w:val="20"/>
                <w:szCs w:val="20"/>
              </w:rPr>
            </w:pPr>
            <w:r w:rsidRPr="00274B66">
              <w:rPr>
                <w:color w:val="000000"/>
                <w:sz w:val="22"/>
                <w:szCs w:val="22"/>
              </w:rPr>
              <w:t>-3.1</w:t>
            </w:r>
          </w:p>
        </w:tc>
        <w:tc>
          <w:tcPr>
            <w:tcW w:w="1992" w:type="dxa"/>
            <w:vAlign w:val="bottom"/>
          </w:tcPr>
          <w:p w14:paraId="028833D1" w14:textId="096E5FA9" w:rsidR="005B6C31" w:rsidRPr="00274B66" w:rsidRDefault="005B6C31" w:rsidP="005B6C31">
            <w:pPr>
              <w:rPr>
                <w:sz w:val="20"/>
                <w:szCs w:val="20"/>
                <w:vertAlign w:val="superscript"/>
              </w:rPr>
            </w:pPr>
            <w:r w:rsidRPr="00274B66">
              <w:rPr>
                <w:color w:val="000000"/>
                <w:sz w:val="22"/>
                <w:szCs w:val="22"/>
              </w:rPr>
              <w:t>4.9</w:t>
            </w:r>
            <w:r w:rsidRPr="00274B66">
              <w:rPr>
                <w:color w:val="000000"/>
                <w:sz w:val="22"/>
                <w:szCs w:val="22"/>
                <w:vertAlign w:val="superscript"/>
              </w:rPr>
              <w:t>$</w:t>
            </w:r>
          </w:p>
        </w:tc>
        <w:tc>
          <w:tcPr>
            <w:tcW w:w="1993" w:type="dxa"/>
          </w:tcPr>
          <w:p w14:paraId="3E387A58" w14:textId="3D2C8938" w:rsidR="005B6C31" w:rsidRPr="00274B66" w:rsidRDefault="004D6E5E" w:rsidP="005B6C31">
            <w:pPr>
              <w:rPr>
                <w:sz w:val="20"/>
                <w:szCs w:val="20"/>
              </w:rPr>
            </w:pPr>
            <w:r>
              <w:rPr>
                <w:sz w:val="20"/>
                <w:szCs w:val="20"/>
              </w:rPr>
              <w:t>25</w:t>
            </w:r>
          </w:p>
        </w:tc>
        <w:tc>
          <w:tcPr>
            <w:tcW w:w="1993" w:type="dxa"/>
            <w:vAlign w:val="bottom"/>
          </w:tcPr>
          <w:p w14:paraId="17BA5C43" w14:textId="5D7EB045" w:rsidR="005B6C31" w:rsidRPr="00274B66" w:rsidRDefault="005B6C31" w:rsidP="005B6C31">
            <w:pPr>
              <w:rPr>
                <w:sz w:val="20"/>
                <w:szCs w:val="20"/>
              </w:rPr>
            </w:pPr>
            <w:r>
              <w:rPr>
                <w:rFonts w:ascii="Calibri" w:hAnsi="Calibri" w:cs="Calibri"/>
                <w:color w:val="000000"/>
                <w:sz w:val="22"/>
                <w:szCs w:val="22"/>
              </w:rPr>
              <w:t>8.1</w:t>
            </w:r>
          </w:p>
        </w:tc>
        <w:tc>
          <w:tcPr>
            <w:tcW w:w="1993" w:type="dxa"/>
            <w:vAlign w:val="bottom"/>
          </w:tcPr>
          <w:p w14:paraId="63723C19" w14:textId="603D2C98" w:rsidR="005B6C31" w:rsidRPr="00274B66" w:rsidRDefault="005B6C31" w:rsidP="005B6C31">
            <w:pPr>
              <w:rPr>
                <w:sz w:val="20"/>
                <w:szCs w:val="20"/>
              </w:rPr>
            </w:pPr>
            <w:r>
              <w:rPr>
                <w:rFonts w:ascii="Calibri" w:hAnsi="Calibri" w:cs="Calibri"/>
                <w:color w:val="000000"/>
                <w:sz w:val="22"/>
                <w:szCs w:val="22"/>
              </w:rPr>
              <w:t>5.7</w:t>
            </w:r>
          </w:p>
        </w:tc>
        <w:tc>
          <w:tcPr>
            <w:tcW w:w="1993" w:type="dxa"/>
            <w:vAlign w:val="bottom"/>
          </w:tcPr>
          <w:p w14:paraId="3078690B" w14:textId="17F085FB" w:rsidR="005B6C31" w:rsidRPr="00274B66" w:rsidRDefault="005B6C31" w:rsidP="005B6C31">
            <w:pPr>
              <w:rPr>
                <w:sz w:val="20"/>
                <w:szCs w:val="20"/>
              </w:rPr>
            </w:pPr>
            <w:r>
              <w:rPr>
                <w:rFonts w:ascii="Calibri" w:hAnsi="Calibri" w:cs="Calibri"/>
                <w:color w:val="000000"/>
                <w:sz w:val="22"/>
                <w:szCs w:val="22"/>
              </w:rPr>
              <w:t>0.8024</w:t>
            </w:r>
          </w:p>
        </w:tc>
      </w:tr>
      <w:tr w:rsidR="005B6C31" w:rsidRPr="00C13109" w14:paraId="6B705C79" w14:textId="77777777" w:rsidTr="00274B66">
        <w:tc>
          <w:tcPr>
            <w:tcW w:w="2263" w:type="dxa"/>
            <w:vAlign w:val="bottom"/>
          </w:tcPr>
          <w:p w14:paraId="59265DA2" w14:textId="7B5008E2" w:rsidR="005B6C31" w:rsidRPr="00274B66" w:rsidRDefault="005B6C31" w:rsidP="005B6C31">
            <w:pPr>
              <w:rPr>
                <w:sz w:val="20"/>
                <w:szCs w:val="20"/>
              </w:rPr>
            </w:pPr>
            <w:r w:rsidRPr="00274B66">
              <w:rPr>
                <w:color w:val="000000"/>
                <w:sz w:val="22"/>
                <w:szCs w:val="22"/>
              </w:rPr>
              <w:t>Yoo et al 2022</w:t>
            </w:r>
            <w:r w:rsidR="003758D4">
              <w:rPr>
                <w:color w:val="000000"/>
                <w:sz w:val="22"/>
                <w:szCs w:val="22"/>
              </w:rPr>
              <w:t xml:space="preserve"> </w:t>
            </w:r>
            <w:r w:rsidR="003758D4">
              <w:rPr>
                <w:color w:val="000000"/>
                <w:sz w:val="22"/>
                <w:szCs w:val="22"/>
              </w:rPr>
              <w:fldChar w:fldCharType="begin"/>
            </w:r>
            <w:r w:rsidR="003758D4">
              <w:rPr>
                <w:color w:val="000000"/>
                <w:sz w:val="22"/>
                <w:szCs w:val="22"/>
              </w:rPr>
              <w:instrText xml:space="preserve"> ADDIN ZOTERO_ITEM CSL_CITATION {"citationID":"iUCUcnV1","properties":{"formattedCitation":"\\super 27\\nosupersub{}","plainCitation":"27","noteIndex":0},"citationItems":[{"id":1567,"uris":["http://zotero.org/users/5317696/items/XA5FHCDU"],"itemData":{"id":1567,"type":"article-journal","abstract":"Abstract\n            \n              We prospectively investigated the changes of liver stiffness (LS) and the occurrence of hepatocellular carcinoma (HCC) after hepatitis C virus (HCV) eradication using direct antiviral agents (DAA) over three years. LS measurement using transient elastography and serum fibrosis surrogate markers before treatment and at 48, 96, 144 weeks after starting direct-acting antivirals (DAA) according to the protocol were evaluated. Patients were also compared with historical cohort treated with pegylated interferon (peg-IFN). Sustained viral response (SVR) was observed in 95.8%. LS value in the patients achieving SVR significantly decreased over time (19.4 ± 12.9 kPa [baseline], 13.9 ± 9.1 kPa [48 weeks], 11.7 ± 8.2 kPa [96 weeks], 10.09 ± 6.23 [144 weeks], all\n              p\n               &lt; 0.001). With matched analysis, the decrease in LS value was significantly larger in DAA group than peg-IFN group at both 48 weeks (29% vs. 9%) and 96 weeks (39% vs. 17%). The incidence of HCC was not significantly different between DAA and peg-IFN groups (5.5% vs. 5.4%) at 144 weeks. HCV eradication with DAA can lead to improvement of liver stiffness over time. The regression of fibrosis was greater in the group with DAA than peg-IFN.\n            \n            Clinical trials registration: ClinicalTrials.gov (NCT02865369).","container-title":"Scientific Reports","DOI":"10.1038/s41598-021-03272-1","ISSN":"2045-2322","issue":"1","journalAbbreviation":"Sci Rep","language":"en","page":"193","PMID":"34996920","PMCID":"PMC8742091","source":"DOI.org (Crossref)","title":"Regression of liver fibrosis and hepatocellular carcinoma development after HCV eradication with oral antiviral agents","URL":"https://www.nature.com/articles/s41598-021-03272-1","volume":"12","author":[{"family":"Yoo","given":"Hae Won"},{"family":"Park","given":"Jun Yong"},{"family":"Kim","given":"Sang Gyune"},{"family":"Jung","given":"Young Kul"},{"family":"Lee","given":"Sae Hwan"},{"family":"Kim","given":"Moon Young"},{"family":"Jun","given":"Dae Won"},{"family":"Jang","given":"Jae Young"},{"family":"Lee","given":"Jin Woo"},{"family":"Kwon","given":"Oh Sang"}],"accessed":{"date-parts":[["2025",5,15]]},"issued":{"date-parts":[["2022",1,7]]}}}],"schema":"https://github.com/citation-style-language/schema/raw/master/csl-citation.json"} </w:instrText>
            </w:r>
            <w:r w:rsidR="003758D4">
              <w:rPr>
                <w:color w:val="000000"/>
                <w:sz w:val="22"/>
                <w:szCs w:val="22"/>
              </w:rPr>
              <w:fldChar w:fldCharType="separate"/>
            </w:r>
            <w:r w:rsidR="003758D4" w:rsidRPr="003758D4">
              <w:rPr>
                <w:sz w:val="22"/>
                <w:vertAlign w:val="superscript"/>
              </w:rPr>
              <w:t>27</w:t>
            </w:r>
            <w:r w:rsidR="003758D4">
              <w:rPr>
                <w:color w:val="000000"/>
                <w:sz w:val="22"/>
                <w:szCs w:val="22"/>
              </w:rPr>
              <w:fldChar w:fldCharType="end"/>
            </w:r>
          </w:p>
        </w:tc>
        <w:tc>
          <w:tcPr>
            <w:tcW w:w="1721" w:type="dxa"/>
            <w:vAlign w:val="bottom"/>
          </w:tcPr>
          <w:p w14:paraId="2FE2E2E0" w14:textId="0D4AF86B" w:rsidR="005B6C31" w:rsidRPr="00274B66" w:rsidRDefault="005B6C31" w:rsidP="005B6C31">
            <w:pPr>
              <w:rPr>
                <w:sz w:val="20"/>
                <w:szCs w:val="20"/>
              </w:rPr>
            </w:pPr>
            <w:r w:rsidRPr="00274B66">
              <w:rPr>
                <w:color w:val="000000"/>
                <w:sz w:val="22"/>
                <w:szCs w:val="22"/>
              </w:rPr>
              <w:t>5.78</w:t>
            </w:r>
          </w:p>
        </w:tc>
        <w:tc>
          <w:tcPr>
            <w:tcW w:w="1992" w:type="dxa"/>
            <w:vAlign w:val="bottom"/>
          </w:tcPr>
          <w:p w14:paraId="2E2668BE" w14:textId="0ED53EB4" w:rsidR="005B6C31" w:rsidRPr="00274B66" w:rsidRDefault="005B6C31" w:rsidP="005B6C31">
            <w:pPr>
              <w:rPr>
                <w:sz w:val="20"/>
                <w:szCs w:val="20"/>
                <w:vertAlign w:val="superscript"/>
              </w:rPr>
            </w:pPr>
            <w:r w:rsidRPr="00274B66">
              <w:rPr>
                <w:color w:val="000000"/>
                <w:sz w:val="22"/>
                <w:szCs w:val="22"/>
              </w:rPr>
              <w:t>7.69</w:t>
            </w:r>
            <w:r w:rsidRPr="00274B66">
              <w:rPr>
                <w:color w:val="000000"/>
                <w:sz w:val="22"/>
                <w:szCs w:val="22"/>
                <w:vertAlign w:val="superscript"/>
              </w:rPr>
              <w:t>$</w:t>
            </w:r>
          </w:p>
        </w:tc>
        <w:tc>
          <w:tcPr>
            <w:tcW w:w="1993" w:type="dxa"/>
          </w:tcPr>
          <w:p w14:paraId="128D11CD" w14:textId="18A05659" w:rsidR="005B6C31" w:rsidRPr="00274B66" w:rsidRDefault="004D6E5E" w:rsidP="005B6C31">
            <w:pPr>
              <w:rPr>
                <w:sz w:val="20"/>
                <w:szCs w:val="20"/>
              </w:rPr>
            </w:pPr>
            <w:r>
              <w:rPr>
                <w:sz w:val="20"/>
                <w:szCs w:val="20"/>
              </w:rPr>
              <w:t>82</w:t>
            </w:r>
          </w:p>
        </w:tc>
        <w:tc>
          <w:tcPr>
            <w:tcW w:w="1993" w:type="dxa"/>
            <w:vAlign w:val="bottom"/>
          </w:tcPr>
          <w:p w14:paraId="48F0919B" w14:textId="25E4A1C8" w:rsidR="005B6C31" w:rsidRPr="00274B66" w:rsidRDefault="005B6C31" w:rsidP="005B6C31">
            <w:pPr>
              <w:rPr>
                <w:sz w:val="20"/>
                <w:szCs w:val="20"/>
              </w:rPr>
            </w:pPr>
            <w:r>
              <w:rPr>
                <w:rFonts w:ascii="Calibri" w:hAnsi="Calibri" w:cs="Calibri"/>
                <w:color w:val="000000"/>
                <w:sz w:val="22"/>
                <w:szCs w:val="22"/>
              </w:rPr>
              <w:t>12.86</w:t>
            </w:r>
          </w:p>
        </w:tc>
        <w:tc>
          <w:tcPr>
            <w:tcW w:w="1993" w:type="dxa"/>
            <w:vAlign w:val="bottom"/>
          </w:tcPr>
          <w:p w14:paraId="500EC09F" w14:textId="4F1F31F9" w:rsidR="005B6C31" w:rsidRPr="00274B66" w:rsidRDefault="005B6C31" w:rsidP="005B6C31">
            <w:pPr>
              <w:rPr>
                <w:sz w:val="20"/>
                <w:szCs w:val="20"/>
              </w:rPr>
            </w:pPr>
            <w:r>
              <w:rPr>
                <w:rFonts w:ascii="Calibri" w:hAnsi="Calibri" w:cs="Calibri"/>
                <w:color w:val="000000"/>
                <w:sz w:val="22"/>
                <w:szCs w:val="22"/>
              </w:rPr>
              <w:t>9.13</w:t>
            </w:r>
          </w:p>
        </w:tc>
        <w:tc>
          <w:tcPr>
            <w:tcW w:w="1993" w:type="dxa"/>
            <w:vAlign w:val="bottom"/>
          </w:tcPr>
          <w:p w14:paraId="61008161" w14:textId="0150BBF7" w:rsidR="005B6C31" w:rsidRPr="00274B66" w:rsidRDefault="005B6C31" w:rsidP="005B6C31">
            <w:pPr>
              <w:rPr>
                <w:sz w:val="20"/>
                <w:szCs w:val="20"/>
              </w:rPr>
            </w:pPr>
            <w:r>
              <w:rPr>
                <w:rFonts w:ascii="Calibri" w:hAnsi="Calibri" w:cs="Calibri"/>
                <w:color w:val="000000"/>
                <w:sz w:val="22"/>
                <w:szCs w:val="22"/>
              </w:rPr>
              <w:t>0.8074</w:t>
            </w:r>
          </w:p>
        </w:tc>
      </w:tr>
      <w:tr w:rsidR="005B6C31" w:rsidRPr="00C13109" w14:paraId="10F66C89" w14:textId="77777777" w:rsidTr="00274B66">
        <w:tc>
          <w:tcPr>
            <w:tcW w:w="2263" w:type="dxa"/>
            <w:vAlign w:val="bottom"/>
          </w:tcPr>
          <w:p w14:paraId="79E61615" w14:textId="7878929C" w:rsidR="005B6C31" w:rsidRPr="00274B66" w:rsidRDefault="005B6C31" w:rsidP="005B6C31">
            <w:pPr>
              <w:rPr>
                <w:sz w:val="20"/>
                <w:szCs w:val="20"/>
              </w:rPr>
            </w:pPr>
            <w:r w:rsidRPr="00274B66">
              <w:rPr>
                <w:color w:val="000000"/>
                <w:sz w:val="22"/>
                <w:szCs w:val="22"/>
              </w:rPr>
              <w:t>Nozaki et al 2021</w:t>
            </w:r>
            <w:r w:rsidR="003758D4">
              <w:rPr>
                <w:color w:val="000000"/>
                <w:sz w:val="22"/>
                <w:szCs w:val="22"/>
              </w:rPr>
              <w:t xml:space="preserve"> </w:t>
            </w:r>
            <w:r w:rsidR="003758D4">
              <w:rPr>
                <w:color w:val="000000"/>
                <w:sz w:val="22"/>
                <w:szCs w:val="22"/>
              </w:rPr>
              <w:fldChar w:fldCharType="begin"/>
            </w:r>
            <w:r w:rsidR="003758D4">
              <w:rPr>
                <w:color w:val="000000"/>
                <w:sz w:val="22"/>
                <w:szCs w:val="22"/>
              </w:rPr>
              <w:instrText xml:space="preserve"> ADDIN ZOTERO_ITEM CSL_CITATION {"citationID":"9LSNftBA","properties":{"formattedCitation":"\\super 29\\nosupersub{}","plainCitation":"29","noteIndex":0},"citationItems":[{"id":1563,"uris":["http://zotero.org/users/5317696/items/SCT3FN36"],"itemData":{"id":1563,"type":"article-journal","abstract":"Oral direct-acting antiviral (DAA) treatment leads to &gt;95% sustained virological response (SVR) and could be clinically useful in regression of liver ﬁbrosis in chronic hepatitis C virus (HCV) infection. We evaluated if ledipasvir/sofosbuvir or sofosbuvir + ribavirin is associated with regression of ﬁbrosis in HCV patients who achieved SVR.","container-title":"Medicine","DOI":"10.1097/MD.0000000000025110","ISSN":"0025-7974, 1536-5964","issue":"12","language":"en","page":"e25110","source":"DOI.org (Crossref)","title":"Sofosbuvir-based therapies associated with regression of liver fibrosis in patients with hepatitis C virus infection: A prospective observational study","title-short":"Sofosbuvir-based therapies associated with regression of liver fibrosis in patients with hepatitis C virus infection","URL":"https://journals.lww.com/10.1097/MD.0000000000025110","volume":"100","author":[{"family":"Nozaki","given":"Akito"},{"family":"Chuma","given":"Makoto"},{"family":"Hara","given":"Koji"},{"family":"Moriya","given":"Satoshi"},{"family":"Fukuda","given":"Hiroyuki"},{"family":"Numata","given":"Kazushi"},{"family":"Tanaka","given":"Katsuaki"},{"family":"Morimoto","given":"Manabu"},{"family":"Sakamaki","given":"Kentaro"},{"family":"Yamanaka","given":"Takeharu"},{"family":"Kondo","given":"Masaaki"},{"family":"Maeda","given":"Shin"}],"accessed":{"date-parts":[["2025",5,15]]},"issued":{"date-parts":[["2021",3,26]]}}}],"schema":"https://github.com/citation-style-language/schema/raw/master/csl-citation.json"} </w:instrText>
            </w:r>
            <w:r w:rsidR="003758D4">
              <w:rPr>
                <w:color w:val="000000"/>
                <w:sz w:val="22"/>
                <w:szCs w:val="22"/>
              </w:rPr>
              <w:fldChar w:fldCharType="separate"/>
            </w:r>
            <w:r w:rsidR="003758D4" w:rsidRPr="003758D4">
              <w:rPr>
                <w:sz w:val="22"/>
                <w:vertAlign w:val="superscript"/>
              </w:rPr>
              <w:t>29</w:t>
            </w:r>
            <w:r w:rsidR="003758D4">
              <w:rPr>
                <w:color w:val="000000"/>
                <w:sz w:val="22"/>
                <w:szCs w:val="22"/>
              </w:rPr>
              <w:fldChar w:fldCharType="end"/>
            </w:r>
          </w:p>
        </w:tc>
        <w:tc>
          <w:tcPr>
            <w:tcW w:w="1721" w:type="dxa"/>
            <w:vAlign w:val="bottom"/>
          </w:tcPr>
          <w:p w14:paraId="0AEA2AF4" w14:textId="1028DDB7" w:rsidR="005B6C31" w:rsidRPr="00274B66" w:rsidRDefault="005B6C31" w:rsidP="005B6C31">
            <w:pPr>
              <w:rPr>
                <w:sz w:val="20"/>
                <w:szCs w:val="20"/>
              </w:rPr>
            </w:pPr>
            <w:r w:rsidRPr="00274B66">
              <w:rPr>
                <w:color w:val="000000"/>
                <w:sz w:val="22"/>
                <w:szCs w:val="22"/>
              </w:rPr>
              <w:t>-5.9</w:t>
            </w:r>
          </w:p>
        </w:tc>
        <w:tc>
          <w:tcPr>
            <w:tcW w:w="1992" w:type="dxa"/>
            <w:vAlign w:val="bottom"/>
          </w:tcPr>
          <w:p w14:paraId="547E87EA" w14:textId="64A1F6EB" w:rsidR="005B6C31" w:rsidRPr="00274B66" w:rsidRDefault="005B6C31" w:rsidP="005B6C31">
            <w:pPr>
              <w:rPr>
                <w:sz w:val="20"/>
                <w:szCs w:val="20"/>
                <w:vertAlign w:val="superscript"/>
              </w:rPr>
            </w:pPr>
            <w:r w:rsidRPr="00274B66">
              <w:rPr>
                <w:color w:val="000000"/>
                <w:sz w:val="22"/>
                <w:szCs w:val="22"/>
              </w:rPr>
              <w:t>6.4</w:t>
            </w:r>
            <w:r w:rsidRPr="00274B66">
              <w:rPr>
                <w:color w:val="000000"/>
                <w:sz w:val="22"/>
                <w:szCs w:val="22"/>
                <w:vertAlign w:val="superscript"/>
              </w:rPr>
              <w:t>$</w:t>
            </w:r>
          </w:p>
        </w:tc>
        <w:tc>
          <w:tcPr>
            <w:tcW w:w="1993" w:type="dxa"/>
          </w:tcPr>
          <w:p w14:paraId="1530FB78" w14:textId="0CF036B9" w:rsidR="005B6C31" w:rsidRPr="00274B66" w:rsidRDefault="004D6E5E" w:rsidP="005B6C31">
            <w:pPr>
              <w:rPr>
                <w:sz w:val="20"/>
                <w:szCs w:val="20"/>
              </w:rPr>
            </w:pPr>
            <w:r>
              <w:rPr>
                <w:sz w:val="20"/>
                <w:szCs w:val="20"/>
              </w:rPr>
              <w:t>44</w:t>
            </w:r>
          </w:p>
        </w:tc>
        <w:tc>
          <w:tcPr>
            <w:tcW w:w="1993" w:type="dxa"/>
            <w:vAlign w:val="bottom"/>
          </w:tcPr>
          <w:p w14:paraId="132BEDCF" w14:textId="7ACCFFC2" w:rsidR="005B6C31" w:rsidRPr="00274B66" w:rsidRDefault="005B6C31" w:rsidP="005B6C31">
            <w:pPr>
              <w:rPr>
                <w:sz w:val="20"/>
                <w:szCs w:val="20"/>
              </w:rPr>
            </w:pPr>
            <w:r>
              <w:rPr>
                <w:rFonts w:ascii="Calibri" w:hAnsi="Calibri" w:cs="Calibri"/>
                <w:color w:val="000000"/>
                <w:sz w:val="22"/>
                <w:szCs w:val="22"/>
              </w:rPr>
              <w:t>9.7</w:t>
            </w:r>
          </w:p>
        </w:tc>
        <w:tc>
          <w:tcPr>
            <w:tcW w:w="1993" w:type="dxa"/>
            <w:vAlign w:val="bottom"/>
          </w:tcPr>
          <w:p w14:paraId="174ECF0E" w14:textId="257CC1AB" w:rsidR="005B6C31" w:rsidRPr="00274B66" w:rsidRDefault="005B6C31" w:rsidP="005B6C31">
            <w:pPr>
              <w:rPr>
                <w:sz w:val="20"/>
                <w:szCs w:val="20"/>
              </w:rPr>
            </w:pPr>
            <w:r>
              <w:rPr>
                <w:rFonts w:ascii="Calibri" w:hAnsi="Calibri" w:cs="Calibri"/>
                <w:color w:val="000000"/>
                <w:sz w:val="22"/>
                <w:szCs w:val="22"/>
              </w:rPr>
              <w:t>5.1</w:t>
            </w:r>
          </w:p>
        </w:tc>
        <w:tc>
          <w:tcPr>
            <w:tcW w:w="1993" w:type="dxa"/>
            <w:vAlign w:val="bottom"/>
          </w:tcPr>
          <w:p w14:paraId="456A100C" w14:textId="114794AD" w:rsidR="005B6C31" w:rsidRPr="00274B66" w:rsidRDefault="005B6C31" w:rsidP="005B6C31">
            <w:pPr>
              <w:rPr>
                <w:sz w:val="20"/>
                <w:szCs w:val="20"/>
              </w:rPr>
            </w:pPr>
            <w:r>
              <w:rPr>
                <w:rFonts w:ascii="Calibri" w:hAnsi="Calibri" w:cs="Calibri"/>
                <w:color w:val="000000"/>
                <w:sz w:val="22"/>
                <w:szCs w:val="22"/>
              </w:rPr>
              <w:t>0.7999</w:t>
            </w:r>
          </w:p>
        </w:tc>
      </w:tr>
      <w:tr w:rsidR="00C13109" w:rsidRPr="00C13109" w14:paraId="73ADA8C3" w14:textId="77777777" w:rsidTr="009D6B69">
        <w:tc>
          <w:tcPr>
            <w:tcW w:w="13948" w:type="dxa"/>
            <w:gridSpan w:val="7"/>
          </w:tcPr>
          <w:p w14:paraId="32835702" w14:textId="016DB62A" w:rsidR="00C13109" w:rsidRPr="00274B66" w:rsidRDefault="00C13109">
            <w:pPr>
              <w:rPr>
                <w:sz w:val="20"/>
                <w:szCs w:val="20"/>
              </w:rPr>
            </w:pPr>
            <w:r w:rsidRPr="00274B66">
              <w:rPr>
                <w:sz w:val="20"/>
                <w:szCs w:val="20"/>
                <w:vertAlign w:val="superscript"/>
              </w:rPr>
              <w:t>*</w:t>
            </w:r>
            <w:r w:rsidRPr="00274B66">
              <w:rPr>
                <w:sz w:val="20"/>
                <w:szCs w:val="20"/>
              </w:rPr>
              <w:t xml:space="preserve">- 95% CI, </w:t>
            </w:r>
            <w:r w:rsidRPr="00274B66">
              <w:rPr>
                <w:sz w:val="20"/>
                <w:szCs w:val="20"/>
                <w:vertAlign w:val="superscript"/>
              </w:rPr>
              <w:t>#</w:t>
            </w:r>
            <w:r w:rsidRPr="00274B66">
              <w:rPr>
                <w:sz w:val="20"/>
                <w:szCs w:val="20"/>
              </w:rPr>
              <w:t xml:space="preserve"> - Range </w:t>
            </w:r>
            <w:r w:rsidRPr="00274B66">
              <w:rPr>
                <w:sz w:val="20"/>
                <w:szCs w:val="20"/>
                <w:vertAlign w:val="superscript"/>
              </w:rPr>
              <w:t>$</w:t>
            </w:r>
            <w:r w:rsidRPr="00274B66">
              <w:rPr>
                <w:sz w:val="20"/>
                <w:szCs w:val="20"/>
              </w:rPr>
              <w:t>- SD Change</w:t>
            </w:r>
          </w:p>
        </w:tc>
      </w:tr>
    </w:tbl>
    <w:p w14:paraId="0958239F" w14:textId="77777777" w:rsidR="00C13109" w:rsidRDefault="00C13109">
      <w:pPr>
        <w:rPr>
          <w:b/>
          <w:bCs/>
          <w:sz w:val="20"/>
          <w:szCs w:val="20"/>
        </w:rPr>
      </w:pPr>
    </w:p>
    <w:p w14:paraId="3958F7B1" w14:textId="77777777" w:rsidR="005B6C31" w:rsidRDefault="005B6C31">
      <w:pPr>
        <w:rPr>
          <w:b/>
          <w:bCs/>
          <w:sz w:val="20"/>
          <w:szCs w:val="20"/>
        </w:rPr>
      </w:pPr>
    </w:p>
    <w:p w14:paraId="763EFFEB" w14:textId="078E3403" w:rsidR="005B6C31" w:rsidRDefault="005B6C31">
      <w:pPr>
        <w:rPr>
          <w:sz w:val="20"/>
          <w:szCs w:val="20"/>
        </w:rPr>
      </w:pPr>
      <w:r>
        <w:rPr>
          <w:sz w:val="20"/>
          <w:szCs w:val="20"/>
        </w:rPr>
        <w:t>Formulae for calculation of correlation coefficient:</w:t>
      </w:r>
    </w:p>
    <w:p w14:paraId="5F5F0C75" w14:textId="77777777" w:rsidR="005B6C31" w:rsidRDefault="005B6C31">
      <w:pPr>
        <w:rPr>
          <w:sz w:val="20"/>
          <w:szCs w:val="20"/>
        </w:rPr>
      </w:pPr>
    </w:p>
    <w:p w14:paraId="55DB3B4A" w14:textId="27DB9C74" w:rsidR="005B6C31" w:rsidRPr="00274B66" w:rsidRDefault="005B6C31" w:rsidP="00274B66">
      <w:pPr>
        <w:pStyle w:val="ListParagraph"/>
        <w:numPr>
          <w:ilvl w:val="0"/>
          <w:numId w:val="5"/>
        </w:numPr>
        <w:rPr>
          <w:sz w:val="20"/>
          <w:szCs w:val="20"/>
        </w:rPr>
      </w:pPr>
      <w:r>
        <w:rPr>
          <w:sz w:val="20"/>
          <w:szCs w:val="20"/>
        </w:rPr>
        <w:t>When mean and SD for change as well as pre-post measurements is available.</w:t>
      </w:r>
    </w:p>
    <w:p w14:paraId="4433CE7C" w14:textId="77777777" w:rsidR="005B6C31" w:rsidRPr="00760208" w:rsidRDefault="005B6C31">
      <w:pPr>
        <w:rPr>
          <w:b/>
          <w:bCs/>
          <w:sz w:val="20"/>
          <w:szCs w:val="20"/>
        </w:rPr>
      </w:pPr>
      <m:oMathPara>
        <m:oMath>
          <m:r>
            <m:rPr>
              <m:sty m:val="bi"/>
            </m:rPr>
            <w:rPr>
              <w:rFonts w:ascii="Cambria Math" w:hAnsi="Cambria Math"/>
              <w:sz w:val="20"/>
              <w:szCs w:val="20"/>
            </w:rPr>
            <m:t xml:space="preserve">r= </m:t>
          </m:r>
          <m:f>
            <m:fPr>
              <m:ctrlPr>
                <w:rPr>
                  <w:rFonts w:ascii="Cambria Math" w:hAnsi="Cambria Math"/>
                  <w:b/>
                  <w:bCs/>
                  <w:i/>
                  <w:sz w:val="20"/>
                  <w:szCs w:val="20"/>
                </w:rPr>
              </m:ctrlPr>
            </m:fPr>
            <m:num>
              <m:sSubSup>
                <m:sSubSupPr>
                  <m:ctrlPr>
                    <w:rPr>
                      <w:rFonts w:ascii="Cambria Math" w:hAnsi="Cambria Math"/>
                      <w:b/>
                      <w:bCs/>
                      <w:i/>
                      <w:sz w:val="20"/>
                      <w:szCs w:val="20"/>
                    </w:rPr>
                  </m:ctrlPr>
                </m:sSubSupPr>
                <m:e>
                  <m:r>
                    <m:rPr>
                      <m:sty m:val="bi"/>
                    </m:rPr>
                    <w:rPr>
                      <w:rFonts w:ascii="Cambria Math" w:hAnsi="Cambria Math"/>
                      <w:sz w:val="20"/>
                      <w:szCs w:val="20"/>
                    </w:rPr>
                    <m:t>SD</m:t>
                  </m:r>
                </m:e>
                <m:sub>
                  <m:r>
                    <m:rPr>
                      <m:sty m:val="bi"/>
                    </m:rPr>
                    <w:rPr>
                      <w:rFonts w:ascii="Cambria Math" w:hAnsi="Cambria Math"/>
                      <w:sz w:val="20"/>
                      <w:szCs w:val="20"/>
                    </w:rPr>
                    <m:t>pre</m:t>
                  </m:r>
                </m:sub>
                <m:sup>
                  <m:r>
                    <m:rPr>
                      <m:sty m:val="bi"/>
                    </m:rPr>
                    <w:rPr>
                      <w:rFonts w:ascii="Cambria Math" w:hAnsi="Cambria Math"/>
                      <w:sz w:val="20"/>
                      <w:szCs w:val="20"/>
                    </w:rPr>
                    <m:t>2</m:t>
                  </m:r>
                </m:sup>
              </m:sSubSup>
              <m:r>
                <m:rPr>
                  <m:sty m:val="bi"/>
                </m:rPr>
                <w:rPr>
                  <w:rFonts w:ascii="Cambria Math" w:hAnsi="Cambria Math"/>
                  <w:sz w:val="20"/>
                  <w:szCs w:val="20"/>
                </w:rPr>
                <m:t xml:space="preserve">+ </m:t>
              </m:r>
              <m:sSubSup>
                <m:sSubSupPr>
                  <m:ctrlPr>
                    <w:rPr>
                      <w:rFonts w:ascii="Cambria Math" w:hAnsi="Cambria Math"/>
                      <w:b/>
                      <w:bCs/>
                      <w:i/>
                      <w:sz w:val="20"/>
                      <w:szCs w:val="20"/>
                    </w:rPr>
                  </m:ctrlPr>
                </m:sSubSupPr>
                <m:e>
                  <m:r>
                    <m:rPr>
                      <m:sty m:val="bi"/>
                    </m:rPr>
                    <w:rPr>
                      <w:rFonts w:ascii="Cambria Math" w:hAnsi="Cambria Math"/>
                      <w:sz w:val="20"/>
                      <w:szCs w:val="20"/>
                    </w:rPr>
                    <m:t>SD</m:t>
                  </m:r>
                </m:e>
                <m:sub>
                  <m:r>
                    <m:rPr>
                      <m:sty m:val="bi"/>
                    </m:rPr>
                    <w:rPr>
                      <w:rFonts w:ascii="Cambria Math" w:hAnsi="Cambria Math"/>
                      <w:sz w:val="20"/>
                      <w:szCs w:val="20"/>
                    </w:rPr>
                    <m:t>post</m:t>
                  </m:r>
                </m:sub>
                <m:sup>
                  <m:r>
                    <m:rPr>
                      <m:sty m:val="bi"/>
                    </m:rPr>
                    <w:rPr>
                      <w:rFonts w:ascii="Cambria Math" w:hAnsi="Cambria Math"/>
                      <w:sz w:val="20"/>
                      <w:szCs w:val="20"/>
                    </w:rPr>
                    <m:t>2</m:t>
                  </m:r>
                </m:sup>
              </m:sSubSup>
              <m:r>
                <m:rPr>
                  <m:sty m:val="bi"/>
                </m:rPr>
                <w:rPr>
                  <w:rFonts w:ascii="Cambria Math" w:hAnsi="Cambria Math"/>
                  <w:sz w:val="20"/>
                  <w:szCs w:val="20"/>
                </w:rPr>
                <m:t>-</m:t>
              </m:r>
              <m:sSubSup>
                <m:sSubSupPr>
                  <m:ctrlPr>
                    <w:rPr>
                      <w:rFonts w:ascii="Cambria Math" w:hAnsi="Cambria Math"/>
                      <w:b/>
                      <w:bCs/>
                      <w:i/>
                      <w:sz w:val="20"/>
                      <w:szCs w:val="20"/>
                    </w:rPr>
                  </m:ctrlPr>
                </m:sSubSupPr>
                <m:e>
                  <m:r>
                    <m:rPr>
                      <m:sty m:val="bi"/>
                    </m:rPr>
                    <w:rPr>
                      <w:rFonts w:ascii="Cambria Math" w:hAnsi="Cambria Math"/>
                      <w:sz w:val="20"/>
                      <w:szCs w:val="20"/>
                    </w:rPr>
                    <m:t>SD</m:t>
                  </m:r>
                </m:e>
                <m:sub>
                  <m:r>
                    <m:rPr>
                      <m:sty m:val="bi"/>
                    </m:rPr>
                    <w:rPr>
                      <w:rFonts w:ascii="Cambria Math" w:hAnsi="Cambria Math"/>
                      <w:sz w:val="20"/>
                      <w:szCs w:val="20"/>
                    </w:rPr>
                    <m:t>change</m:t>
                  </m:r>
                </m:sub>
                <m:sup>
                  <m:r>
                    <m:rPr>
                      <m:sty m:val="bi"/>
                    </m:rPr>
                    <w:rPr>
                      <w:rFonts w:ascii="Cambria Math" w:hAnsi="Cambria Math"/>
                      <w:sz w:val="20"/>
                      <w:szCs w:val="20"/>
                    </w:rPr>
                    <m:t>2</m:t>
                  </m:r>
                </m:sup>
              </m:sSubSup>
            </m:num>
            <m:den>
              <m:r>
                <m:rPr>
                  <m:sty m:val="bi"/>
                </m:rPr>
                <w:rPr>
                  <w:rFonts w:ascii="Cambria Math" w:hAnsi="Cambria Math"/>
                  <w:sz w:val="20"/>
                  <w:szCs w:val="20"/>
                </w:rPr>
                <m:t xml:space="preserve">2 × </m:t>
              </m:r>
              <m:sSub>
                <m:sSubPr>
                  <m:ctrlPr>
                    <w:rPr>
                      <w:rFonts w:ascii="Cambria Math" w:hAnsi="Cambria Math"/>
                      <w:b/>
                      <w:bCs/>
                      <w:i/>
                      <w:sz w:val="20"/>
                      <w:szCs w:val="20"/>
                    </w:rPr>
                  </m:ctrlPr>
                </m:sSubPr>
                <m:e>
                  <m:r>
                    <m:rPr>
                      <m:sty m:val="bi"/>
                    </m:rPr>
                    <w:rPr>
                      <w:rFonts w:ascii="Cambria Math" w:hAnsi="Cambria Math"/>
                      <w:sz w:val="20"/>
                      <w:szCs w:val="20"/>
                    </w:rPr>
                    <m:t>SD</m:t>
                  </m:r>
                </m:e>
                <m:sub>
                  <m:r>
                    <m:rPr>
                      <m:sty m:val="bi"/>
                    </m:rPr>
                    <w:rPr>
                      <w:rFonts w:ascii="Cambria Math" w:hAnsi="Cambria Math"/>
                      <w:sz w:val="20"/>
                      <w:szCs w:val="20"/>
                    </w:rPr>
                    <m:t>pre</m:t>
                  </m:r>
                </m:sub>
              </m:sSub>
              <m:r>
                <m:rPr>
                  <m:sty m:val="bi"/>
                </m:rPr>
                <w:rPr>
                  <w:rFonts w:ascii="Cambria Math" w:hAnsi="Cambria Math"/>
                  <w:sz w:val="20"/>
                  <w:szCs w:val="20"/>
                </w:rPr>
                <m:t>×</m:t>
              </m:r>
              <m:sSub>
                <m:sSubPr>
                  <m:ctrlPr>
                    <w:rPr>
                      <w:rFonts w:ascii="Cambria Math" w:hAnsi="Cambria Math"/>
                      <w:b/>
                      <w:bCs/>
                      <w:i/>
                      <w:sz w:val="20"/>
                      <w:szCs w:val="20"/>
                    </w:rPr>
                  </m:ctrlPr>
                </m:sSubPr>
                <m:e>
                  <m:r>
                    <m:rPr>
                      <m:sty m:val="bi"/>
                    </m:rPr>
                    <w:rPr>
                      <w:rFonts w:ascii="Cambria Math" w:hAnsi="Cambria Math"/>
                      <w:sz w:val="20"/>
                      <w:szCs w:val="20"/>
                    </w:rPr>
                    <m:t>SD</m:t>
                  </m:r>
                </m:e>
                <m:sub>
                  <m:r>
                    <m:rPr>
                      <m:sty m:val="bi"/>
                    </m:rPr>
                    <w:rPr>
                      <w:rFonts w:ascii="Cambria Math" w:hAnsi="Cambria Math"/>
                      <w:sz w:val="20"/>
                      <w:szCs w:val="20"/>
                    </w:rPr>
                    <m:t>post</m:t>
                  </m:r>
                </m:sub>
              </m:sSub>
            </m:den>
          </m:f>
        </m:oMath>
      </m:oMathPara>
    </w:p>
    <w:p w14:paraId="484A1A3D" w14:textId="05906F55" w:rsidR="00760208" w:rsidRDefault="00760208">
      <w:pPr>
        <w:rPr>
          <w:sz w:val="20"/>
          <w:szCs w:val="20"/>
        </w:rPr>
      </w:pPr>
      <w:r>
        <w:rPr>
          <w:sz w:val="20"/>
          <w:szCs w:val="20"/>
        </w:rPr>
        <w:t>The weighted average of the calculated correlation coefficients was computed to be 0.799</w:t>
      </w:r>
      <w:r w:rsidR="009B17EA">
        <w:rPr>
          <w:sz w:val="20"/>
          <w:szCs w:val="20"/>
        </w:rPr>
        <w:t>5 and hence the assumed correlation co-efficient for pre-post change was fixed at 0.8.</w:t>
      </w:r>
    </w:p>
    <w:p w14:paraId="536B7254" w14:textId="77777777" w:rsidR="00C662C2" w:rsidRDefault="00C662C2">
      <w:pPr>
        <w:rPr>
          <w:sz w:val="20"/>
          <w:szCs w:val="20"/>
        </w:rPr>
      </w:pPr>
    </w:p>
    <w:p w14:paraId="1078E386" w14:textId="396DB24D" w:rsidR="00C662C2" w:rsidRPr="00F72FC0" w:rsidRDefault="00C662C2">
      <w:pPr>
        <w:rPr>
          <w:b/>
          <w:bCs/>
          <w:sz w:val="20"/>
          <w:szCs w:val="20"/>
        </w:rPr>
      </w:pPr>
      <w:r w:rsidRPr="00F72FC0">
        <w:rPr>
          <w:b/>
          <w:bCs/>
          <w:sz w:val="20"/>
          <w:szCs w:val="20"/>
        </w:rPr>
        <w:t>Sensitivity analysis for different correlation co-</w:t>
      </w:r>
      <w:proofErr w:type="spellStart"/>
      <w:r w:rsidRPr="00F72FC0">
        <w:rPr>
          <w:b/>
          <w:bCs/>
          <w:sz w:val="20"/>
          <w:szCs w:val="20"/>
        </w:rPr>
        <w:t>efficients</w:t>
      </w:r>
      <w:proofErr w:type="spellEnd"/>
      <w:r w:rsidRPr="00F72FC0">
        <w:rPr>
          <w:b/>
          <w:bCs/>
          <w:sz w:val="20"/>
          <w:szCs w:val="20"/>
        </w:rPr>
        <w:t>:</w:t>
      </w:r>
    </w:p>
    <w:p w14:paraId="5734E0B2" w14:textId="2AB85634" w:rsidR="005B6C31" w:rsidRDefault="005B6C31" w:rsidP="00274B66">
      <w:pPr>
        <w:rPr>
          <w:b/>
          <w:bCs/>
          <w:sz w:val="20"/>
          <w:szCs w:val="20"/>
        </w:rPr>
      </w:pPr>
    </w:p>
    <w:tbl>
      <w:tblPr>
        <w:tblStyle w:val="TableGrid"/>
        <w:tblW w:w="0" w:type="auto"/>
        <w:tblLook w:val="04A0" w:firstRow="1" w:lastRow="0" w:firstColumn="1" w:lastColumn="0" w:noHBand="0" w:noVBand="1"/>
      </w:tblPr>
      <w:tblGrid>
        <w:gridCol w:w="2789"/>
        <w:gridCol w:w="2789"/>
        <w:gridCol w:w="2790"/>
        <w:gridCol w:w="2790"/>
        <w:gridCol w:w="2790"/>
      </w:tblGrid>
      <w:tr w:rsidR="00C662C2" w14:paraId="6EFE2966" w14:textId="77777777" w:rsidTr="00F72FC0">
        <w:tc>
          <w:tcPr>
            <w:tcW w:w="2789" w:type="dxa"/>
            <w:vAlign w:val="center"/>
          </w:tcPr>
          <w:p w14:paraId="7F9645F9" w14:textId="396B1005" w:rsidR="00C662C2" w:rsidRDefault="00C662C2" w:rsidP="00C662C2">
            <w:pPr>
              <w:rPr>
                <w:b/>
                <w:bCs/>
                <w:sz w:val="20"/>
                <w:szCs w:val="20"/>
              </w:rPr>
            </w:pPr>
            <w:r>
              <w:rPr>
                <w:b/>
                <w:bCs/>
              </w:rPr>
              <w:t>r</w:t>
            </w:r>
          </w:p>
        </w:tc>
        <w:tc>
          <w:tcPr>
            <w:tcW w:w="2789" w:type="dxa"/>
            <w:vAlign w:val="center"/>
          </w:tcPr>
          <w:p w14:paraId="43075CA4" w14:textId="5B52586C" w:rsidR="00C662C2" w:rsidRDefault="00C662C2" w:rsidP="00C662C2">
            <w:pPr>
              <w:rPr>
                <w:b/>
                <w:bCs/>
                <w:sz w:val="20"/>
                <w:szCs w:val="20"/>
              </w:rPr>
            </w:pPr>
            <w:r>
              <w:rPr>
                <w:b/>
                <w:bCs/>
              </w:rPr>
              <w:t>SMC</w:t>
            </w:r>
          </w:p>
        </w:tc>
        <w:tc>
          <w:tcPr>
            <w:tcW w:w="2790" w:type="dxa"/>
            <w:vAlign w:val="center"/>
          </w:tcPr>
          <w:p w14:paraId="0C79E1D0" w14:textId="01170174" w:rsidR="00C662C2" w:rsidRDefault="00C662C2" w:rsidP="00C662C2">
            <w:pPr>
              <w:rPr>
                <w:b/>
                <w:bCs/>
                <w:sz w:val="20"/>
                <w:szCs w:val="20"/>
              </w:rPr>
            </w:pPr>
            <w:r>
              <w:rPr>
                <w:b/>
                <w:bCs/>
              </w:rPr>
              <w:t>95% CI</w:t>
            </w:r>
          </w:p>
        </w:tc>
        <w:tc>
          <w:tcPr>
            <w:tcW w:w="2790" w:type="dxa"/>
            <w:vAlign w:val="center"/>
          </w:tcPr>
          <w:p w14:paraId="3AD8A10F" w14:textId="6A9F66ED" w:rsidR="00C662C2" w:rsidRDefault="00C662C2" w:rsidP="00C662C2">
            <w:pPr>
              <w:rPr>
                <w:b/>
                <w:bCs/>
                <w:sz w:val="20"/>
                <w:szCs w:val="20"/>
              </w:rPr>
            </w:pPr>
            <w:r>
              <w:rPr>
                <w:b/>
                <w:bCs/>
              </w:rPr>
              <w:t>I²</w:t>
            </w:r>
          </w:p>
        </w:tc>
        <w:tc>
          <w:tcPr>
            <w:tcW w:w="2790" w:type="dxa"/>
            <w:vAlign w:val="center"/>
          </w:tcPr>
          <w:p w14:paraId="23A794A4" w14:textId="003C7D40" w:rsidR="00C662C2" w:rsidRDefault="00C662C2" w:rsidP="00C662C2">
            <w:pPr>
              <w:rPr>
                <w:b/>
                <w:bCs/>
                <w:sz w:val="20"/>
                <w:szCs w:val="20"/>
              </w:rPr>
            </w:pPr>
            <w:r>
              <w:rPr>
                <w:b/>
                <w:bCs/>
              </w:rPr>
              <w:t>τ²</w:t>
            </w:r>
          </w:p>
        </w:tc>
      </w:tr>
      <w:tr w:rsidR="00C662C2" w14:paraId="105B3269" w14:textId="77777777" w:rsidTr="00F72FC0">
        <w:tc>
          <w:tcPr>
            <w:tcW w:w="2789" w:type="dxa"/>
            <w:vAlign w:val="center"/>
          </w:tcPr>
          <w:p w14:paraId="27871562" w14:textId="2B9DB573" w:rsidR="00C662C2" w:rsidRDefault="00C662C2" w:rsidP="00C662C2">
            <w:pPr>
              <w:rPr>
                <w:b/>
                <w:bCs/>
                <w:sz w:val="20"/>
                <w:szCs w:val="20"/>
              </w:rPr>
            </w:pPr>
            <w:r>
              <w:t>0.5</w:t>
            </w:r>
          </w:p>
        </w:tc>
        <w:tc>
          <w:tcPr>
            <w:tcW w:w="2789" w:type="dxa"/>
            <w:vAlign w:val="center"/>
          </w:tcPr>
          <w:p w14:paraId="044C16AA" w14:textId="5C46D545" w:rsidR="00C662C2" w:rsidRDefault="00C662C2" w:rsidP="00C662C2">
            <w:pPr>
              <w:rPr>
                <w:b/>
                <w:bCs/>
                <w:sz w:val="20"/>
                <w:szCs w:val="20"/>
              </w:rPr>
            </w:pPr>
            <w:r>
              <w:t>0.534</w:t>
            </w:r>
          </w:p>
        </w:tc>
        <w:tc>
          <w:tcPr>
            <w:tcW w:w="2790" w:type="dxa"/>
            <w:vAlign w:val="center"/>
          </w:tcPr>
          <w:p w14:paraId="760E24DD" w14:textId="24708DC9" w:rsidR="00C662C2" w:rsidRDefault="00C662C2" w:rsidP="00C662C2">
            <w:pPr>
              <w:rPr>
                <w:b/>
                <w:bCs/>
                <w:sz w:val="20"/>
                <w:szCs w:val="20"/>
              </w:rPr>
            </w:pPr>
            <w:r>
              <w:t>0.376–0.692</w:t>
            </w:r>
          </w:p>
        </w:tc>
        <w:tc>
          <w:tcPr>
            <w:tcW w:w="2790" w:type="dxa"/>
            <w:vAlign w:val="center"/>
          </w:tcPr>
          <w:p w14:paraId="17A91977" w14:textId="0CFC2A12" w:rsidR="00C662C2" w:rsidRDefault="00C662C2" w:rsidP="00C662C2">
            <w:pPr>
              <w:rPr>
                <w:b/>
                <w:bCs/>
                <w:sz w:val="20"/>
                <w:szCs w:val="20"/>
              </w:rPr>
            </w:pPr>
            <w:r>
              <w:t>97.94%</w:t>
            </w:r>
          </w:p>
        </w:tc>
        <w:tc>
          <w:tcPr>
            <w:tcW w:w="2790" w:type="dxa"/>
            <w:vAlign w:val="center"/>
          </w:tcPr>
          <w:p w14:paraId="4D42A25A" w14:textId="40E6A40B" w:rsidR="00C662C2" w:rsidRDefault="00C662C2" w:rsidP="00C662C2">
            <w:pPr>
              <w:rPr>
                <w:b/>
                <w:bCs/>
                <w:sz w:val="20"/>
                <w:szCs w:val="20"/>
              </w:rPr>
            </w:pPr>
            <w:r>
              <w:t>0.134</w:t>
            </w:r>
          </w:p>
        </w:tc>
      </w:tr>
      <w:tr w:rsidR="00C662C2" w14:paraId="445DD990" w14:textId="77777777" w:rsidTr="00F72FC0">
        <w:tc>
          <w:tcPr>
            <w:tcW w:w="2789" w:type="dxa"/>
            <w:vAlign w:val="center"/>
          </w:tcPr>
          <w:p w14:paraId="15A9A636" w14:textId="6B3019FA" w:rsidR="00C662C2" w:rsidRDefault="00C662C2" w:rsidP="00C662C2">
            <w:pPr>
              <w:rPr>
                <w:b/>
                <w:bCs/>
                <w:sz w:val="20"/>
                <w:szCs w:val="20"/>
              </w:rPr>
            </w:pPr>
            <w:r>
              <w:t>0.6</w:t>
            </w:r>
          </w:p>
        </w:tc>
        <w:tc>
          <w:tcPr>
            <w:tcW w:w="2789" w:type="dxa"/>
            <w:vAlign w:val="center"/>
          </w:tcPr>
          <w:p w14:paraId="285A24B5" w14:textId="2F617FD0" w:rsidR="00C662C2" w:rsidRDefault="00C662C2" w:rsidP="00C662C2">
            <w:pPr>
              <w:rPr>
                <w:b/>
                <w:bCs/>
                <w:sz w:val="20"/>
                <w:szCs w:val="20"/>
              </w:rPr>
            </w:pPr>
            <w:r>
              <w:t>0.534</w:t>
            </w:r>
          </w:p>
        </w:tc>
        <w:tc>
          <w:tcPr>
            <w:tcW w:w="2790" w:type="dxa"/>
            <w:vAlign w:val="center"/>
          </w:tcPr>
          <w:p w14:paraId="253F0B59" w14:textId="4A7108EE" w:rsidR="00C662C2" w:rsidRDefault="00C662C2" w:rsidP="00C662C2">
            <w:pPr>
              <w:rPr>
                <w:b/>
                <w:bCs/>
                <w:sz w:val="20"/>
                <w:szCs w:val="20"/>
              </w:rPr>
            </w:pPr>
            <w:r>
              <w:t>0.376–0.691</w:t>
            </w:r>
          </w:p>
        </w:tc>
        <w:tc>
          <w:tcPr>
            <w:tcW w:w="2790" w:type="dxa"/>
            <w:vAlign w:val="center"/>
          </w:tcPr>
          <w:p w14:paraId="7EA315C4" w14:textId="6D707F67" w:rsidR="00C662C2" w:rsidRDefault="00C662C2" w:rsidP="00C662C2">
            <w:pPr>
              <w:rPr>
                <w:b/>
                <w:bCs/>
                <w:sz w:val="20"/>
                <w:szCs w:val="20"/>
              </w:rPr>
            </w:pPr>
            <w:r>
              <w:t>98.32%</w:t>
            </w:r>
          </w:p>
        </w:tc>
        <w:tc>
          <w:tcPr>
            <w:tcW w:w="2790" w:type="dxa"/>
            <w:vAlign w:val="center"/>
          </w:tcPr>
          <w:p w14:paraId="5187087F" w14:textId="0FD496AB" w:rsidR="00C662C2" w:rsidRDefault="00C662C2" w:rsidP="00C662C2">
            <w:pPr>
              <w:rPr>
                <w:b/>
                <w:bCs/>
                <w:sz w:val="20"/>
                <w:szCs w:val="20"/>
              </w:rPr>
            </w:pPr>
            <w:r>
              <w:t>0.136</w:t>
            </w:r>
          </w:p>
        </w:tc>
      </w:tr>
      <w:tr w:rsidR="00C662C2" w14:paraId="34D501CA" w14:textId="77777777" w:rsidTr="00F72FC0">
        <w:tc>
          <w:tcPr>
            <w:tcW w:w="2789" w:type="dxa"/>
            <w:vAlign w:val="center"/>
          </w:tcPr>
          <w:p w14:paraId="5F703297" w14:textId="69A4E886" w:rsidR="00C662C2" w:rsidRDefault="00C662C2" w:rsidP="00C662C2">
            <w:pPr>
              <w:rPr>
                <w:b/>
                <w:bCs/>
                <w:sz w:val="20"/>
                <w:szCs w:val="20"/>
              </w:rPr>
            </w:pPr>
            <w:r>
              <w:t>0.7</w:t>
            </w:r>
          </w:p>
        </w:tc>
        <w:tc>
          <w:tcPr>
            <w:tcW w:w="2789" w:type="dxa"/>
            <w:vAlign w:val="center"/>
          </w:tcPr>
          <w:p w14:paraId="6E51BD6B" w14:textId="767944AD" w:rsidR="00C662C2" w:rsidRDefault="00C662C2" w:rsidP="00C662C2">
            <w:pPr>
              <w:rPr>
                <w:b/>
                <w:bCs/>
                <w:sz w:val="20"/>
                <w:szCs w:val="20"/>
              </w:rPr>
            </w:pPr>
            <w:r>
              <w:t>0.534</w:t>
            </w:r>
          </w:p>
        </w:tc>
        <w:tc>
          <w:tcPr>
            <w:tcW w:w="2790" w:type="dxa"/>
            <w:vAlign w:val="center"/>
          </w:tcPr>
          <w:p w14:paraId="50DCA7A8" w14:textId="254CA58C" w:rsidR="00C662C2" w:rsidRDefault="00C662C2" w:rsidP="00C662C2">
            <w:pPr>
              <w:rPr>
                <w:b/>
                <w:bCs/>
                <w:sz w:val="20"/>
                <w:szCs w:val="20"/>
              </w:rPr>
            </w:pPr>
            <w:r>
              <w:t>0.377–0.691</w:t>
            </w:r>
          </w:p>
        </w:tc>
        <w:tc>
          <w:tcPr>
            <w:tcW w:w="2790" w:type="dxa"/>
            <w:vAlign w:val="center"/>
          </w:tcPr>
          <w:p w14:paraId="3C18C68D" w14:textId="0877B9B7" w:rsidR="00C662C2" w:rsidRDefault="00C662C2" w:rsidP="00C662C2">
            <w:pPr>
              <w:rPr>
                <w:b/>
                <w:bCs/>
                <w:sz w:val="20"/>
                <w:szCs w:val="20"/>
              </w:rPr>
            </w:pPr>
            <w:r>
              <w:t>98.70%</w:t>
            </w:r>
          </w:p>
        </w:tc>
        <w:tc>
          <w:tcPr>
            <w:tcW w:w="2790" w:type="dxa"/>
            <w:vAlign w:val="center"/>
          </w:tcPr>
          <w:p w14:paraId="1D85E5FE" w14:textId="741C4A63" w:rsidR="00C662C2" w:rsidRDefault="00C662C2" w:rsidP="00C662C2">
            <w:pPr>
              <w:rPr>
                <w:b/>
                <w:bCs/>
                <w:sz w:val="20"/>
                <w:szCs w:val="20"/>
              </w:rPr>
            </w:pPr>
            <w:r>
              <w:t>0.138</w:t>
            </w:r>
          </w:p>
        </w:tc>
      </w:tr>
      <w:tr w:rsidR="00C662C2" w14:paraId="2B5589DF" w14:textId="77777777" w:rsidTr="00F72FC0">
        <w:tc>
          <w:tcPr>
            <w:tcW w:w="2789" w:type="dxa"/>
            <w:vAlign w:val="center"/>
          </w:tcPr>
          <w:p w14:paraId="6AB264EB" w14:textId="7C5EBEE8" w:rsidR="00C662C2" w:rsidRDefault="00C662C2" w:rsidP="00C662C2">
            <w:pPr>
              <w:rPr>
                <w:b/>
                <w:bCs/>
                <w:sz w:val="20"/>
                <w:szCs w:val="20"/>
              </w:rPr>
            </w:pPr>
            <w:r>
              <w:t>0.8 (primary)</w:t>
            </w:r>
          </w:p>
        </w:tc>
        <w:tc>
          <w:tcPr>
            <w:tcW w:w="2789" w:type="dxa"/>
            <w:vAlign w:val="center"/>
          </w:tcPr>
          <w:p w14:paraId="58D67099" w14:textId="59CECFBA" w:rsidR="00C662C2" w:rsidRDefault="00C662C2" w:rsidP="00C662C2">
            <w:pPr>
              <w:rPr>
                <w:b/>
                <w:bCs/>
                <w:sz w:val="20"/>
                <w:szCs w:val="20"/>
              </w:rPr>
            </w:pPr>
            <w:r>
              <w:t>0.533</w:t>
            </w:r>
          </w:p>
        </w:tc>
        <w:tc>
          <w:tcPr>
            <w:tcW w:w="2790" w:type="dxa"/>
            <w:vAlign w:val="center"/>
          </w:tcPr>
          <w:p w14:paraId="35AA86A2" w14:textId="6E03FFBD" w:rsidR="00C662C2" w:rsidRDefault="00C662C2" w:rsidP="00C662C2">
            <w:pPr>
              <w:rPr>
                <w:b/>
                <w:bCs/>
                <w:sz w:val="20"/>
                <w:szCs w:val="20"/>
              </w:rPr>
            </w:pPr>
            <w:r>
              <w:t>0.377–0.690</w:t>
            </w:r>
          </w:p>
        </w:tc>
        <w:tc>
          <w:tcPr>
            <w:tcW w:w="2790" w:type="dxa"/>
            <w:vAlign w:val="center"/>
          </w:tcPr>
          <w:p w14:paraId="69FBC1A7" w14:textId="2A76E874" w:rsidR="00C662C2" w:rsidRDefault="00C662C2" w:rsidP="00C662C2">
            <w:pPr>
              <w:rPr>
                <w:b/>
                <w:bCs/>
                <w:sz w:val="20"/>
                <w:szCs w:val="20"/>
              </w:rPr>
            </w:pPr>
            <w:r>
              <w:t>99.08%</w:t>
            </w:r>
          </w:p>
        </w:tc>
        <w:tc>
          <w:tcPr>
            <w:tcW w:w="2790" w:type="dxa"/>
            <w:vAlign w:val="center"/>
          </w:tcPr>
          <w:p w14:paraId="7A410479" w14:textId="2EC0681C" w:rsidR="00C662C2" w:rsidRDefault="00C662C2" w:rsidP="00C662C2">
            <w:pPr>
              <w:rPr>
                <w:b/>
                <w:bCs/>
                <w:sz w:val="20"/>
                <w:szCs w:val="20"/>
              </w:rPr>
            </w:pPr>
            <w:r>
              <w:t>0.140</w:t>
            </w:r>
          </w:p>
        </w:tc>
      </w:tr>
      <w:tr w:rsidR="00C662C2" w14:paraId="0F982BD4" w14:textId="77777777" w:rsidTr="00F72FC0">
        <w:tc>
          <w:tcPr>
            <w:tcW w:w="2789" w:type="dxa"/>
            <w:vAlign w:val="center"/>
          </w:tcPr>
          <w:p w14:paraId="0B9709DB" w14:textId="2666B5F7" w:rsidR="00C662C2" w:rsidRDefault="00C662C2" w:rsidP="00C662C2">
            <w:pPr>
              <w:rPr>
                <w:b/>
                <w:bCs/>
                <w:sz w:val="20"/>
                <w:szCs w:val="20"/>
              </w:rPr>
            </w:pPr>
            <w:r>
              <w:t>0.9</w:t>
            </w:r>
          </w:p>
        </w:tc>
        <w:tc>
          <w:tcPr>
            <w:tcW w:w="2789" w:type="dxa"/>
            <w:vAlign w:val="center"/>
          </w:tcPr>
          <w:p w14:paraId="3C61C1DE" w14:textId="4D5F9C9F" w:rsidR="00C662C2" w:rsidRDefault="00C662C2" w:rsidP="00C662C2">
            <w:pPr>
              <w:rPr>
                <w:b/>
                <w:bCs/>
                <w:sz w:val="20"/>
                <w:szCs w:val="20"/>
              </w:rPr>
            </w:pPr>
            <w:r>
              <w:t>0.533</w:t>
            </w:r>
          </w:p>
        </w:tc>
        <w:tc>
          <w:tcPr>
            <w:tcW w:w="2790" w:type="dxa"/>
            <w:vAlign w:val="center"/>
          </w:tcPr>
          <w:p w14:paraId="0D573B0B" w14:textId="68085C12" w:rsidR="00C662C2" w:rsidRDefault="00C662C2" w:rsidP="00C662C2">
            <w:pPr>
              <w:rPr>
                <w:b/>
                <w:bCs/>
                <w:sz w:val="20"/>
                <w:szCs w:val="20"/>
              </w:rPr>
            </w:pPr>
            <w:r>
              <w:t>0.377–0.689</w:t>
            </w:r>
          </w:p>
        </w:tc>
        <w:tc>
          <w:tcPr>
            <w:tcW w:w="2790" w:type="dxa"/>
            <w:vAlign w:val="center"/>
          </w:tcPr>
          <w:p w14:paraId="6680BCDB" w14:textId="23C1165A" w:rsidR="00C662C2" w:rsidRDefault="00C662C2" w:rsidP="00C662C2">
            <w:pPr>
              <w:rPr>
                <w:b/>
                <w:bCs/>
                <w:sz w:val="20"/>
                <w:szCs w:val="20"/>
              </w:rPr>
            </w:pPr>
            <w:r>
              <w:t>99.45%</w:t>
            </w:r>
          </w:p>
        </w:tc>
        <w:tc>
          <w:tcPr>
            <w:tcW w:w="2790" w:type="dxa"/>
            <w:vAlign w:val="center"/>
          </w:tcPr>
          <w:p w14:paraId="73DA0FAC" w14:textId="41833F2E" w:rsidR="00C662C2" w:rsidRDefault="00C662C2" w:rsidP="00C662C2">
            <w:pPr>
              <w:rPr>
                <w:b/>
                <w:bCs/>
                <w:sz w:val="20"/>
                <w:szCs w:val="20"/>
              </w:rPr>
            </w:pPr>
            <w:r>
              <w:t>0.142</w:t>
            </w:r>
          </w:p>
        </w:tc>
      </w:tr>
    </w:tbl>
    <w:p w14:paraId="09D2744E" w14:textId="77777777" w:rsidR="00C662C2" w:rsidRPr="00274B66" w:rsidRDefault="00C662C2" w:rsidP="00274B66">
      <w:pPr>
        <w:rPr>
          <w:b/>
          <w:bCs/>
          <w:sz w:val="20"/>
          <w:szCs w:val="20"/>
        </w:rPr>
      </w:pPr>
    </w:p>
    <w:p w14:paraId="5CF05DB4" w14:textId="3C7E5FFA" w:rsidR="00C13109" w:rsidRPr="00274B66" w:rsidRDefault="00C13109" w:rsidP="00274B66">
      <w:pPr>
        <w:pStyle w:val="ListParagraph"/>
        <w:numPr>
          <w:ilvl w:val="0"/>
          <w:numId w:val="5"/>
        </w:numPr>
        <w:rPr>
          <w:b/>
          <w:bCs/>
          <w:sz w:val="20"/>
          <w:szCs w:val="20"/>
        </w:rPr>
      </w:pPr>
      <w:r w:rsidRPr="00274B66">
        <w:rPr>
          <w:b/>
          <w:bCs/>
          <w:sz w:val="20"/>
          <w:szCs w:val="20"/>
        </w:rPr>
        <w:br w:type="page"/>
      </w:r>
    </w:p>
    <w:p w14:paraId="1CF8D0B1" w14:textId="380D9944" w:rsidR="00B052FE" w:rsidRPr="00E20B89" w:rsidRDefault="00C13109">
      <w:pPr>
        <w:rPr>
          <w:b/>
          <w:bCs/>
          <w:sz w:val="20"/>
          <w:szCs w:val="20"/>
        </w:rPr>
      </w:pPr>
      <w:r>
        <w:rPr>
          <w:b/>
          <w:bCs/>
          <w:sz w:val="20"/>
          <w:szCs w:val="20"/>
        </w:rPr>
        <w:lastRenderedPageBreak/>
        <w:t xml:space="preserve">Appendix IV: </w:t>
      </w:r>
      <w:r w:rsidRPr="00E20B89">
        <w:rPr>
          <w:b/>
          <w:bCs/>
          <w:sz w:val="20"/>
          <w:szCs w:val="20"/>
        </w:rPr>
        <w:t>Pooled Estimates for other liver function parameters</w:t>
      </w:r>
    </w:p>
    <w:p w14:paraId="106AC8E1" w14:textId="77777777" w:rsidR="00B052FE" w:rsidRPr="00E20B89" w:rsidRDefault="00B052FE">
      <w:pPr>
        <w:rPr>
          <w:b/>
          <w:bCs/>
          <w:sz w:val="20"/>
          <w:szCs w:val="20"/>
        </w:rPr>
      </w:pPr>
    </w:p>
    <w:p w14:paraId="6BA92A84" w14:textId="7AA897F4" w:rsidR="00B052FE" w:rsidRPr="00E20B89" w:rsidRDefault="00CB73A9">
      <w:pPr>
        <w:pStyle w:val="ListParagraph"/>
        <w:numPr>
          <w:ilvl w:val="0"/>
          <w:numId w:val="2"/>
        </w:numPr>
        <w:rPr>
          <w:b/>
          <w:bCs/>
          <w:sz w:val="20"/>
          <w:szCs w:val="20"/>
        </w:rPr>
      </w:pPr>
      <w:r w:rsidRPr="00E20B89">
        <w:rPr>
          <w:b/>
          <w:bCs/>
          <w:sz w:val="20"/>
          <w:szCs w:val="20"/>
        </w:rPr>
        <w:t>Pooled estimates for Albumin at SVR12 and 24</w:t>
      </w:r>
    </w:p>
    <w:p w14:paraId="53D0EE6E" w14:textId="0D5B1C74" w:rsidR="00B052FE" w:rsidRPr="00E20B89" w:rsidRDefault="00AA52DF">
      <w:pPr>
        <w:rPr>
          <w:b/>
          <w:bCs/>
          <w:sz w:val="20"/>
          <w:szCs w:val="20"/>
        </w:rPr>
      </w:pPr>
      <w:r>
        <w:rPr>
          <w:b/>
          <w:bCs/>
          <w:noProof/>
          <w:sz w:val="20"/>
          <w:szCs w:val="20"/>
        </w:rPr>
        <w:drawing>
          <wp:inline distT="0" distB="0" distL="0" distR="0" wp14:anchorId="6AE6BAA2" wp14:editId="1D168A41">
            <wp:extent cx="8863330" cy="4496435"/>
            <wp:effectExtent l="0" t="0" r="0" b="0"/>
            <wp:docPr id="697280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280817" name="Picture 697280817"/>
                    <pic:cNvPicPr/>
                  </pic:nvPicPr>
                  <pic:blipFill>
                    <a:blip r:embed="rId9">
                      <a:extLst>
                        <a:ext uri="{28A0092B-C50C-407E-A947-70E740481C1C}">
                          <a14:useLocalDpi xmlns:a14="http://schemas.microsoft.com/office/drawing/2010/main" val="0"/>
                        </a:ext>
                      </a:extLst>
                    </a:blip>
                    <a:stretch>
                      <a:fillRect/>
                    </a:stretch>
                  </pic:blipFill>
                  <pic:spPr>
                    <a:xfrm>
                      <a:off x="0" y="0"/>
                      <a:ext cx="8863330" cy="4496435"/>
                    </a:xfrm>
                    <a:prstGeom prst="rect">
                      <a:avLst/>
                    </a:prstGeom>
                  </pic:spPr>
                </pic:pic>
              </a:graphicData>
            </a:graphic>
          </wp:inline>
        </w:drawing>
      </w:r>
    </w:p>
    <w:p w14:paraId="1157E222" w14:textId="77777777" w:rsidR="00B052FE" w:rsidRPr="00E20B89" w:rsidRDefault="00B052FE">
      <w:pPr>
        <w:rPr>
          <w:b/>
          <w:bCs/>
          <w:sz w:val="20"/>
          <w:szCs w:val="20"/>
        </w:rPr>
      </w:pPr>
    </w:p>
    <w:p w14:paraId="5668B972" w14:textId="77777777" w:rsidR="008E5395" w:rsidRPr="00E20B89" w:rsidRDefault="008E5395">
      <w:pPr>
        <w:rPr>
          <w:b/>
          <w:bCs/>
          <w:sz w:val="20"/>
          <w:szCs w:val="20"/>
        </w:rPr>
      </w:pPr>
    </w:p>
    <w:p w14:paraId="166CA138" w14:textId="77777777" w:rsidR="008E5395" w:rsidRPr="00E20B89" w:rsidRDefault="008E5395">
      <w:pPr>
        <w:rPr>
          <w:b/>
          <w:bCs/>
          <w:sz w:val="20"/>
          <w:szCs w:val="20"/>
        </w:rPr>
      </w:pPr>
    </w:p>
    <w:p w14:paraId="01F3BC1E" w14:textId="77777777" w:rsidR="008E5395" w:rsidRPr="00E20B89" w:rsidRDefault="008E5395">
      <w:pPr>
        <w:rPr>
          <w:b/>
          <w:bCs/>
          <w:sz w:val="20"/>
          <w:szCs w:val="20"/>
        </w:rPr>
      </w:pPr>
    </w:p>
    <w:p w14:paraId="3CE26FB0" w14:textId="77777777" w:rsidR="008E5395" w:rsidRPr="00E20B89" w:rsidRDefault="008E5395">
      <w:pPr>
        <w:rPr>
          <w:b/>
          <w:bCs/>
          <w:sz w:val="20"/>
          <w:szCs w:val="20"/>
        </w:rPr>
      </w:pPr>
    </w:p>
    <w:p w14:paraId="430910AF" w14:textId="77777777" w:rsidR="008E5395" w:rsidRPr="00E20B89" w:rsidRDefault="008E5395">
      <w:pPr>
        <w:rPr>
          <w:b/>
          <w:bCs/>
          <w:sz w:val="20"/>
          <w:szCs w:val="20"/>
        </w:rPr>
      </w:pPr>
    </w:p>
    <w:p w14:paraId="093EDD7A" w14:textId="77777777" w:rsidR="008E5395" w:rsidRPr="00E20B89" w:rsidRDefault="008E5395">
      <w:pPr>
        <w:rPr>
          <w:b/>
          <w:bCs/>
          <w:sz w:val="20"/>
          <w:szCs w:val="20"/>
        </w:rPr>
      </w:pPr>
    </w:p>
    <w:p w14:paraId="069F3A78" w14:textId="77777777" w:rsidR="008E5395" w:rsidRPr="00E20B89" w:rsidRDefault="008E5395">
      <w:pPr>
        <w:rPr>
          <w:b/>
          <w:bCs/>
          <w:sz w:val="20"/>
          <w:szCs w:val="20"/>
        </w:rPr>
      </w:pPr>
    </w:p>
    <w:p w14:paraId="738AE29A" w14:textId="77777777" w:rsidR="00B052FE" w:rsidRPr="00E20B89" w:rsidRDefault="00CB73A9">
      <w:pPr>
        <w:pStyle w:val="ListParagraph"/>
        <w:numPr>
          <w:ilvl w:val="0"/>
          <w:numId w:val="2"/>
        </w:numPr>
        <w:rPr>
          <w:b/>
          <w:bCs/>
          <w:sz w:val="20"/>
          <w:szCs w:val="20"/>
        </w:rPr>
      </w:pPr>
      <w:r w:rsidRPr="00E20B89">
        <w:rPr>
          <w:b/>
          <w:bCs/>
          <w:sz w:val="20"/>
          <w:szCs w:val="20"/>
        </w:rPr>
        <w:t>Pooled estimates for ALT at SVR12 and 24</w:t>
      </w:r>
    </w:p>
    <w:p w14:paraId="32242D40" w14:textId="77777777" w:rsidR="00B052FE" w:rsidRPr="00E20B89" w:rsidRDefault="00B052FE">
      <w:pPr>
        <w:rPr>
          <w:b/>
          <w:bCs/>
          <w:sz w:val="20"/>
          <w:szCs w:val="20"/>
        </w:rPr>
      </w:pPr>
    </w:p>
    <w:p w14:paraId="30E8BB1B" w14:textId="7B5F4882" w:rsidR="00B052FE" w:rsidRPr="00E20B89" w:rsidRDefault="00AA52DF">
      <w:pPr>
        <w:rPr>
          <w:b/>
          <w:bCs/>
          <w:sz w:val="20"/>
          <w:szCs w:val="20"/>
        </w:rPr>
      </w:pPr>
      <w:r>
        <w:rPr>
          <w:b/>
          <w:bCs/>
          <w:noProof/>
          <w:sz w:val="20"/>
          <w:szCs w:val="20"/>
        </w:rPr>
        <w:drawing>
          <wp:inline distT="0" distB="0" distL="0" distR="0" wp14:anchorId="2227E262" wp14:editId="335C447D">
            <wp:extent cx="8863330" cy="4496435"/>
            <wp:effectExtent l="0" t="0" r="0" b="0"/>
            <wp:docPr id="10166189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18948" name="Picture 1016618948"/>
                    <pic:cNvPicPr/>
                  </pic:nvPicPr>
                  <pic:blipFill>
                    <a:blip r:embed="rId10">
                      <a:extLst>
                        <a:ext uri="{28A0092B-C50C-407E-A947-70E740481C1C}">
                          <a14:useLocalDpi xmlns:a14="http://schemas.microsoft.com/office/drawing/2010/main" val="0"/>
                        </a:ext>
                      </a:extLst>
                    </a:blip>
                    <a:stretch>
                      <a:fillRect/>
                    </a:stretch>
                  </pic:blipFill>
                  <pic:spPr>
                    <a:xfrm>
                      <a:off x="0" y="0"/>
                      <a:ext cx="8863330" cy="4496435"/>
                    </a:xfrm>
                    <a:prstGeom prst="rect">
                      <a:avLst/>
                    </a:prstGeom>
                  </pic:spPr>
                </pic:pic>
              </a:graphicData>
            </a:graphic>
          </wp:inline>
        </w:drawing>
      </w:r>
    </w:p>
    <w:p w14:paraId="6E3BBB95" w14:textId="77777777" w:rsidR="008E5395" w:rsidRPr="00E20B89" w:rsidRDefault="008E5395">
      <w:pPr>
        <w:rPr>
          <w:b/>
          <w:bCs/>
          <w:sz w:val="20"/>
          <w:szCs w:val="20"/>
        </w:rPr>
      </w:pPr>
    </w:p>
    <w:p w14:paraId="5E61FC63" w14:textId="77777777" w:rsidR="008E5395" w:rsidRPr="00E20B89" w:rsidRDefault="008E5395">
      <w:pPr>
        <w:rPr>
          <w:b/>
          <w:bCs/>
          <w:sz w:val="20"/>
          <w:szCs w:val="20"/>
        </w:rPr>
      </w:pPr>
    </w:p>
    <w:p w14:paraId="08E06E68" w14:textId="77777777" w:rsidR="008E5395" w:rsidRPr="00E20B89" w:rsidRDefault="008E5395">
      <w:pPr>
        <w:rPr>
          <w:b/>
          <w:bCs/>
          <w:sz w:val="20"/>
          <w:szCs w:val="20"/>
        </w:rPr>
      </w:pPr>
    </w:p>
    <w:p w14:paraId="624F1C45" w14:textId="77777777" w:rsidR="008E5395" w:rsidRPr="00E20B89" w:rsidRDefault="008E5395">
      <w:pPr>
        <w:rPr>
          <w:b/>
          <w:bCs/>
          <w:sz w:val="20"/>
          <w:szCs w:val="20"/>
        </w:rPr>
      </w:pPr>
    </w:p>
    <w:p w14:paraId="5F7F4236" w14:textId="77777777" w:rsidR="008E5395" w:rsidRPr="00E20B89" w:rsidRDefault="008E5395">
      <w:pPr>
        <w:rPr>
          <w:b/>
          <w:bCs/>
          <w:sz w:val="20"/>
          <w:szCs w:val="20"/>
        </w:rPr>
      </w:pPr>
    </w:p>
    <w:p w14:paraId="3B4FABBA" w14:textId="77777777" w:rsidR="008E5395" w:rsidRPr="00E20B89" w:rsidRDefault="008E5395">
      <w:pPr>
        <w:rPr>
          <w:b/>
          <w:bCs/>
          <w:sz w:val="20"/>
          <w:szCs w:val="20"/>
        </w:rPr>
      </w:pPr>
    </w:p>
    <w:p w14:paraId="7B1BD1F8" w14:textId="77777777" w:rsidR="008E5395" w:rsidRPr="00E20B89" w:rsidRDefault="008E5395">
      <w:pPr>
        <w:rPr>
          <w:b/>
          <w:bCs/>
          <w:sz w:val="20"/>
          <w:szCs w:val="20"/>
        </w:rPr>
      </w:pPr>
    </w:p>
    <w:p w14:paraId="006B2A8D" w14:textId="77777777" w:rsidR="00B052FE" w:rsidRPr="00E20B89" w:rsidRDefault="00CB73A9">
      <w:pPr>
        <w:pStyle w:val="ListParagraph"/>
        <w:numPr>
          <w:ilvl w:val="0"/>
          <w:numId w:val="2"/>
        </w:numPr>
        <w:rPr>
          <w:b/>
          <w:bCs/>
          <w:sz w:val="20"/>
          <w:szCs w:val="20"/>
        </w:rPr>
      </w:pPr>
      <w:r w:rsidRPr="00E20B89">
        <w:rPr>
          <w:b/>
          <w:bCs/>
          <w:sz w:val="20"/>
          <w:szCs w:val="20"/>
        </w:rPr>
        <w:t>Pooled estimates for AST at SVR12 and 24</w:t>
      </w:r>
    </w:p>
    <w:p w14:paraId="2A4C14E7" w14:textId="77777777" w:rsidR="00B052FE" w:rsidRPr="00E20B89" w:rsidRDefault="00B052FE">
      <w:pPr>
        <w:rPr>
          <w:b/>
          <w:bCs/>
          <w:sz w:val="20"/>
          <w:szCs w:val="20"/>
        </w:rPr>
      </w:pPr>
    </w:p>
    <w:p w14:paraId="43CAA5CE" w14:textId="116D902D" w:rsidR="00B052FE" w:rsidRPr="00E20B89" w:rsidRDefault="00AA52DF">
      <w:pPr>
        <w:rPr>
          <w:b/>
          <w:bCs/>
          <w:sz w:val="20"/>
          <w:szCs w:val="20"/>
        </w:rPr>
      </w:pPr>
      <w:r>
        <w:rPr>
          <w:b/>
          <w:bCs/>
          <w:noProof/>
          <w:sz w:val="20"/>
          <w:szCs w:val="20"/>
        </w:rPr>
        <w:drawing>
          <wp:inline distT="0" distB="0" distL="0" distR="0" wp14:anchorId="06306CA5" wp14:editId="57D882F2">
            <wp:extent cx="8863330" cy="4496435"/>
            <wp:effectExtent l="0" t="0" r="0" b="0"/>
            <wp:docPr id="99307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0721" name="Picture 9930721"/>
                    <pic:cNvPicPr/>
                  </pic:nvPicPr>
                  <pic:blipFill>
                    <a:blip r:embed="rId11">
                      <a:extLst>
                        <a:ext uri="{28A0092B-C50C-407E-A947-70E740481C1C}">
                          <a14:useLocalDpi xmlns:a14="http://schemas.microsoft.com/office/drawing/2010/main" val="0"/>
                        </a:ext>
                      </a:extLst>
                    </a:blip>
                    <a:stretch>
                      <a:fillRect/>
                    </a:stretch>
                  </pic:blipFill>
                  <pic:spPr>
                    <a:xfrm>
                      <a:off x="0" y="0"/>
                      <a:ext cx="8863330" cy="4496435"/>
                    </a:xfrm>
                    <a:prstGeom prst="rect">
                      <a:avLst/>
                    </a:prstGeom>
                  </pic:spPr>
                </pic:pic>
              </a:graphicData>
            </a:graphic>
          </wp:inline>
        </w:drawing>
      </w:r>
    </w:p>
    <w:p w14:paraId="4429AAEE" w14:textId="77777777" w:rsidR="008E5395" w:rsidRPr="00E20B89" w:rsidRDefault="008E5395" w:rsidP="008E5395">
      <w:pPr>
        <w:pStyle w:val="ListParagraph"/>
        <w:rPr>
          <w:b/>
          <w:bCs/>
          <w:sz w:val="20"/>
          <w:szCs w:val="20"/>
        </w:rPr>
      </w:pPr>
    </w:p>
    <w:p w14:paraId="4EA25176" w14:textId="77777777" w:rsidR="008E5395" w:rsidRPr="00E20B89" w:rsidRDefault="008E5395" w:rsidP="008E5395">
      <w:pPr>
        <w:pStyle w:val="ListParagraph"/>
        <w:rPr>
          <w:b/>
          <w:bCs/>
          <w:sz w:val="20"/>
          <w:szCs w:val="20"/>
        </w:rPr>
      </w:pPr>
    </w:p>
    <w:p w14:paraId="7F1B5905" w14:textId="77777777" w:rsidR="008E5395" w:rsidRPr="00E20B89" w:rsidRDefault="008E5395" w:rsidP="008E5395">
      <w:pPr>
        <w:pStyle w:val="ListParagraph"/>
        <w:rPr>
          <w:b/>
          <w:bCs/>
          <w:sz w:val="20"/>
          <w:szCs w:val="20"/>
        </w:rPr>
      </w:pPr>
    </w:p>
    <w:p w14:paraId="5AA975F1" w14:textId="77777777" w:rsidR="008E5395" w:rsidRPr="00E20B89" w:rsidRDefault="008E5395" w:rsidP="008E5395">
      <w:pPr>
        <w:pStyle w:val="ListParagraph"/>
        <w:rPr>
          <w:b/>
          <w:bCs/>
          <w:sz w:val="20"/>
          <w:szCs w:val="20"/>
        </w:rPr>
      </w:pPr>
    </w:p>
    <w:p w14:paraId="59E2D91F" w14:textId="77777777" w:rsidR="008E5395" w:rsidRPr="00E20B89" w:rsidRDefault="008E5395" w:rsidP="008E5395">
      <w:pPr>
        <w:pStyle w:val="ListParagraph"/>
        <w:rPr>
          <w:b/>
          <w:bCs/>
          <w:sz w:val="20"/>
          <w:szCs w:val="20"/>
        </w:rPr>
      </w:pPr>
    </w:p>
    <w:p w14:paraId="01B06BEB" w14:textId="77777777" w:rsidR="008E5395" w:rsidRPr="00E20B89" w:rsidRDefault="008E5395" w:rsidP="008E5395">
      <w:pPr>
        <w:pStyle w:val="ListParagraph"/>
        <w:rPr>
          <w:b/>
          <w:bCs/>
          <w:sz w:val="20"/>
          <w:szCs w:val="20"/>
        </w:rPr>
      </w:pPr>
    </w:p>
    <w:p w14:paraId="7E9269FD" w14:textId="77777777" w:rsidR="008E5395" w:rsidRPr="00E20B89" w:rsidRDefault="008E5395" w:rsidP="008E5395">
      <w:pPr>
        <w:pStyle w:val="ListParagraph"/>
        <w:rPr>
          <w:b/>
          <w:bCs/>
          <w:sz w:val="20"/>
          <w:szCs w:val="20"/>
        </w:rPr>
      </w:pPr>
    </w:p>
    <w:p w14:paraId="5047A48B" w14:textId="1BCA8A55" w:rsidR="00B052FE" w:rsidRPr="00E20B89" w:rsidRDefault="00CB73A9">
      <w:pPr>
        <w:pStyle w:val="ListParagraph"/>
        <w:numPr>
          <w:ilvl w:val="0"/>
          <w:numId w:val="2"/>
        </w:numPr>
        <w:rPr>
          <w:b/>
          <w:bCs/>
          <w:sz w:val="20"/>
          <w:szCs w:val="20"/>
        </w:rPr>
      </w:pPr>
      <w:r w:rsidRPr="00E20B89">
        <w:rPr>
          <w:b/>
          <w:bCs/>
          <w:sz w:val="20"/>
          <w:szCs w:val="20"/>
        </w:rPr>
        <w:t>Pooled estimates for Bilirubin at SVR12 and 24</w:t>
      </w:r>
    </w:p>
    <w:p w14:paraId="67803C6A" w14:textId="3340C605" w:rsidR="00B052FE" w:rsidRPr="00E20B89" w:rsidRDefault="00AA52DF">
      <w:pPr>
        <w:rPr>
          <w:b/>
          <w:bCs/>
          <w:sz w:val="20"/>
          <w:szCs w:val="20"/>
        </w:rPr>
      </w:pPr>
      <w:r>
        <w:rPr>
          <w:b/>
          <w:bCs/>
          <w:noProof/>
          <w:sz w:val="20"/>
          <w:szCs w:val="20"/>
        </w:rPr>
        <w:drawing>
          <wp:inline distT="0" distB="0" distL="0" distR="0" wp14:anchorId="65AC2F5E" wp14:editId="64E44B8B">
            <wp:extent cx="8863330" cy="4496435"/>
            <wp:effectExtent l="0" t="0" r="0" b="0"/>
            <wp:docPr id="12117466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46645" name="Picture 1211746645"/>
                    <pic:cNvPicPr/>
                  </pic:nvPicPr>
                  <pic:blipFill>
                    <a:blip r:embed="rId12">
                      <a:extLst>
                        <a:ext uri="{28A0092B-C50C-407E-A947-70E740481C1C}">
                          <a14:useLocalDpi xmlns:a14="http://schemas.microsoft.com/office/drawing/2010/main" val="0"/>
                        </a:ext>
                      </a:extLst>
                    </a:blip>
                    <a:stretch>
                      <a:fillRect/>
                    </a:stretch>
                  </pic:blipFill>
                  <pic:spPr>
                    <a:xfrm>
                      <a:off x="0" y="0"/>
                      <a:ext cx="8863330" cy="4496435"/>
                    </a:xfrm>
                    <a:prstGeom prst="rect">
                      <a:avLst/>
                    </a:prstGeom>
                  </pic:spPr>
                </pic:pic>
              </a:graphicData>
            </a:graphic>
          </wp:inline>
        </w:drawing>
      </w:r>
    </w:p>
    <w:p w14:paraId="5F5A436B" w14:textId="77777777" w:rsidR="008E5395" w:rsidRPr="00E20B89" w:rsidRDefault="008E5395" w:rsidP="008E5395">
      <w:pPr>
        <w:pStyle w:val="ListParagraph"/>
        <w:rPr>
          <w:b/>
          <w:bCs/>
          <w:sz w:val="20"/>
          <w:szCs w:val="20"/>
        </w:rPr>
      </w:pPr>
    </w:p>
    <w:p w14:paraId="3EAFB3F5" w14:textId="77777777" w:rsidR="008E5395" w:rsidRPr="00E20B89" w:rsidRDefault="008E5395" w:rsidP="008E5395">
      <w:pPr>
        <w:pStyle w:val="ListParagraph"/>
        <w:rPr>
          <w:b/>
          <w:bCs/>
          <w:sz w:val="20"/>
          <w:szCs w:val="20"/>
        </w:rPr>
      </w:pPr>
    </w:p>
    <w:p w14:paraId="55BFB316" w14:textId="77777777" w:rsidR="008E5395" w:rsidRPr="00E20B89" w:rsidRDefault="008E5395" w:rsidP="008E5395">
      <w:pPr>
        <w:pStyle w:val="ListParagraph"/>
        <w:rPr>
          <w:b/>
          <w:bCs/>
          <w:sz w:val="20"/>
          <w:szCs w:val="20"/>
        </w:rPr>
      </w:pPr>
    </w:p>
    <w:p w14:paraId="0EECEC70" w14:textId="77777777" w:rsidR="008E5395" w:rsidRPr="00E20B89" w:rsidRDefault="008E5395" w:rsidP="008E5395">
      <w:pPr>
        <w:pStyle w:val="ListParagraph"/>
        <w:rPr>
          <w:b/>
          <w:bCs/>
          <w:sz w:val="20"/>
          <w:szCs w:val="20"/>
        </w:rPr>
      </w:pPr>
    </w:p>
    <w:p w14:paraId="0A6720F6" w14:textId="77777777" w:rsidR="008E5395" w:rsidRPr="00E20B89" w:rsidRDefault="008E5395" w:rsidP="008E5395">
      <w:pPr>
        <w:pStyle w:val="ListParagraph"/>
        <w:rPr>
          <w:b/>
          <w:bCs/>
          <w:sz w:val="20"/>
          <w:szCs w:val="20"/>
        </w:rPr>
      </w:pPr>
    </w:p>
    <w:p w14:paraId="05070191" w14:textId="77777777" w:rsidR="008E5395" w:rsidRPr="00E20B89" w:rsidRDefault="008E5395" w:rsidP="008E5395">
      <w:pPr>
        <w:pStyle w:val="ListParagraph"/>
        <w:rPr>
          <w:b/>
          <w:bCs/>
          <w:sz w:val="20"/>
          <w:szCs w:val="20"/>
        </w:rPr>
      </w:pPr>
    </w:p>
    <w:p w14:paraId="0D1DCCF4" w14:textId="77777777" w:rsidR="008E5395" w:rsidRPr="00E20B89" w:rsidRDefault="008E5395" w:rsidP="008E5395">
      <w:pPr>
        <w:pStyle w:val="ListParagraph"/>
        <w:rPr>
          <w:b/>
          <w:bCs/>
          <w:sz w:val="20"/>
          <w:szCs w:val="20"/>
        </w:rPr>
      </w:pPr>
    </w:p>
    <w:p w14:paraId="3D3E3889" w14:textId="77777777" w:rsidR="008E5395" w:rsidRPr="00E20B89" w:rsidRDefault="008E5395" w:rsidP="008E5395">
      <w:pPr>
        <w:ind w:left="360"/>
        <w:rPr>
          <w:b/>
          <w:bCs/>
          <w:sz w:val="20"/>
          <w:szCs w:val="20"/>
        </w:rPr>
      </w:pPr>
    </w:p>
    <w:p w14:paraId="34D89AD6" w14:textId="77777777" w:rsidR="00B052FE" w:rsidRPr="00E20B89" w:rsidRDefault="00CB73A9">
      <w:pPr>
        <w:pStyle w:val="ListParagraph"/>
        <w:numPr>
          <w:ilvl w:val="0"/>
          <w:numId w:val="2"/>
        </w:numPr>
        <w:rPr>
          <w:b/>
          <w:bCs/>
          <w:sz w:val="20"/>
          <w:szCs w:val="20"/>
        </w:rPr>
      </w:pPr>
      <w:r w:rsidRPr="00E20B89">
        <w:rPr>
          <w:b/>
          <w:bCs/>
          <w:sz w:val="20"/>
          <w:szCs w:val="20"/>
        </w:rPr>
        <w:t xml:space="preserve">Pooled estimates for </w:t>
      </w:r>
      <w:proofErr w:type="spellStart"/>
      <w:r w:rsidRPr="00E20B89">
        <w:rPr>
          <w:b/>
          <w:bCs/>
          <w:sz w:val="20"/>
          <w:szCs w:val="20"/>
        </w:rPr>
        <w:t>Hemoglobin</w:t>
      </w:r>
      <w:proofErr w:type="spellEnd"/>
      <w:r w:rsidRPr="00E20B89">
        <w:rPr>
          <w:b/>
          <w:bCs/>
          <w:sz w:val="20"/>
          <w:szCs w:val="20"/>
        </w:rPr>
        <w:t xml:space="preserve"> at SVR12 and 24</w:t>
      </w:r>
    </w:p>
    <w:p w14:paraId="7C1E713A" w14:textId="56F98615" w:rsidR="008E5395" w:rsidRPr="00E20B89" w:rsidRDefault="00AA52DF" w:rsidP="008E5395">
      <w:pPr>
        <w:rPr>
          <w:b/>
          <w:bCs/>
          <w:sz w:val="20"/>
          <w:szCs w:val="20"/>
        </w:rPr>
      </w:pPr>
      <w:r>
        <w:rPr>
          <w:b/>
          <w:bCs/>
          <w:noProof/>
          <w:sz w:val="20"/>
          <w:szCs w:val="20"/>
        </w:rPr>
        <w:drawing>
          <wp:inline distT="0" distB="0" distL="0" distR="0" wp14:anchorId="436016EC" wp14:editId="4ADB36EA">
            <wp:extent cx="8863330" cy="4496435"/>
            <wp:effectExtent l="0" t="0" r="0" b="0"/>
            <wp:docPr id="9461608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160880" name="Picture 946160880"/>
                    <pic:cNvPicPr/>
                  </pic:nvPicPr>
                  <pic:blipFill>
                    <a:blip r:embed="rId13">
                      <a:extLst>
                        <a:ext uri="{28A0092B-C50C-407E-A947-70E740481C1C}">
                          <a14:useLocalDpi xmlns:a14="http://schemas.microsoft.com/office/drawing/2010/main" val="0"/>
                        </a:ext>
                      </a:extLst>
                    </a:blip>
                    <a:stretch>
                      <a:fillRect/>
                    </a:stretch>
                  </pic:blipFill>
                  <pic:spPr>
                    <a:xfrm>
                      <a:off x="0" y="0"/>
                      <a:ext cx="8863330" cy="4496435"/>
                    </a:xfrm>
                    <a:prstGeom prst="rect">
                      <a:avLst/>
                    </a:prstGeom>
                  </pic:spPr>
                </pic:pic>
              </a:graphicData>
            </a:graphic>
          </wp:inline>
        </w:drawing>
      </w:r>
    </w:p>
    <w:p w14:paraId="224DCCA0" w14:textId="77777777" w:rsidR="008E5395" w:rsidRPr="00E20B89" w:rsidRDefault="008E5395" w:rsidP="008E5395">
      <w:pPr>
        <w:rPr>
          <w:b/>
          <w:bCs/>
          <w:sz w:val="20"/>
          <w:szCs w:val="20"/>
        </w:rPr>
      </w:pPr>
    </w:p>
    <w:p w14:paraId="7D9EF60D" w14:textId="77777777" w:rsidR="008E5395" w:rsidRPr="00E20B89" w:rsidRDefault="008E5395" w:rsidP="008E5395">
      <w:pPr>
        <w:rPr>
          <w:b/>
          <w:bCs/>
          <w:sz w:val="20"/>
          <w:szCs w:val="20"/>
        </w:rPr>
      </w:pPr>
    </w:p>
    <w:p w14:paraId="2E704BD9" w14:textId="77777777" w:rsidR="008E5395" w:rsidRPr="00E20B89" w:rsidRDefault="008E5395" w:rsidP="008E5395">
      <w:pPr>
        <w:rPr>
          <w:b/>
          <w:bCs/>
          <w:sz w:val="20"/>
          <w:szCs w:val="20"/>
        </w:rPr>
      </w:pPr>
    </w:p>
    <w:p w14:paraId="09563EB4" w14:textId="77777777" w:rsidR="008E5395" w:rsidRPr="00E20B89" w:rsidRDefault="008E5395" w:rsidP="008E5395">
      <w:pPr>
        <w:rPr>
          <w:b/>
          <w:bCs/>
          <w:sz w:val="20"/>
          <w:szCs w:val="20"/>
        </w:rPr>
      </w:pPr>
    </w:p>
    <w:p w14:paraId="1E4EA3D1" w14:textId="77777777" w:rsidR="008E5395" w:rsidRPr="00E20B89" w:rsidRDefault="008E5395" w:rsidP="008E5395">
      <w:pPr>
        <w:rPr>
          <w:b/>
          <w:bCs/>
          <w:sz w:val="20"/>
          <w:szCs w:val="20"/>
        </w:rPr>
      </w:pPr>
    </w:p>
    <w:p w14:paraId="79493475" w14:textId="77777777" w:rsidR="008E5395" w:rsidRPr="00E20B89" w:rsidRDefault="008E5395" w:rsidP="008E5395">
      <w:pPr>
        <w:rPr>
          <w:b/>
          <w:bCs/>
          <w:sz w:val="20"/>
          <w:szCs w:val="20"/>
        </w:rPr>
      </w:pPr>
    </w:p>
    <w:p w14:paraId="398BD9CC" w14:textId="590AF0CD" w:rsidR="00B052FE" w:rsidRPr="00E20B89" w:rsidRDefault="00CB73A9">
      <w:pPr>
        <w:pStyle w:val="ListParagraph"/>
        <w:numPr>
          <w:ilvl w:val="0"/>
          <w:numId w:val="2"/>
        </w:numPr>
        <w:rPr>
          <w:b/>
          <w:bCs/>
          <w:sz w:val="20"/>
          <w:szCs w:val="20"/>
        </w:rPr>
      </w:pPr>
      <w:r w:rsidRPr="00E20B89">
        <w:rPr>
          <w:b/>
          <w:bCs/>
          <w:sz w:val="20"/>
          <w:szCs w:val="20"/>
        </w:rPr>
        <w:t>Pooled estimates for platelet at SVR12 and 24</w:t>
      </w:r>
    </w:p>
    <w:p w14:paraId="452F3BC7" w14:textId="25110A06" w:rsidR="00B052FE" w:rsidRPr="00E20B89" w:rsidRDefault="00B052FE">
      <w:pPr>
        <w:rPr>
          <w:b/>
          <w:bCs/>
          <w:sz w:val="20"/>
          <w:szCs w:val="20"/>
        </w:rPr>
      </w:pPr>
    </w:p>
    <w:p w14:paraId="401524DF" w14:textId="3D99AC6B" w:rsidR="00B052FE" w:rsidRPr="00E20B89" w:rsidRDefault="00AA52DF">
      <w:pPr>
        <w:rPr>
          <w:b/>
          <w:bCs/>
          <w:sz w:val="20"/>
          <w:szCs w:val="20"/>
        </w:rPr>
      </w:pPr>
      <w:r>
        <w:rPr>
          <w:b/>
          <w:bCs/>
          <w:noProof/>
          <w:sz w:val="20"/>
          <w:szCs w:val="20"/>
        </w:rPr>
        <w:drawing>
          <wp:inline distT="0" distB="0" distL="0" distR="0" wp14:anchorId="3A66DF09" wp14:editId="3821AB8C">
            <wp:extent cx="8863330" cy="4496435"/>
            <wp:effectExtent l="0" t="0" r="0" b="0"/>
            <wp:docPr id="8331753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75327" name="Picture 833175327"/>
                    <pic:cNvPicPr/>
                  </pic:nvPicPr>
                  <pic:blipFill>
                    <a:blip r:embed="rId14">
                      <a:extLst>
                        <a:ext uri="{28A0092B-C50C-407E-A947-70E740481C1C}">
                          <a14:useLocalDpi xmlns:a14="http://schemas.microsoft.com/office/drawing/2010/main" val="0"/>
                        </a:ext>
                      </a:extLst>
                    </a:blip>
                    <a:stretch>
                      <a:fillRect/>
                    </a:stretch>
                  </pic:blipFill>
                  <pic:spPr>
                    <a:xfrm>
                      <a:off x="0" y="0"/>
                      <a:ext cx="8863330" cy="4496435"/>
                    </a:xfrm>
                    <a:prstGeom prst="rect">
                      <a:avLst/>
                    </a:prstGeom>
                  </pic:spPr>
                </pic:pic>
              </a:graphicData>
            </a:graphic>
          </wp:inline>
        </w:drawing>
      </w:r>
    </w:p>
    <w:p w14:paraId="06346837" w14:textId="77777777" w:rsidR="00B052FE" w:rsidRPr="00E20B89" w:rsidRDefault="00B052FE">
      <w:pPr>
        <w:rPr>
          <w:b/>
          <w:bCs/>
          <w:sz w:val="20"/>
          <w:szCs w:val="20"/>
        </w:rPr>
      </w:pPr>
    </w:p>
    <w:p w14:paraId="7E55A732" w14:textId="77777777" w:rsidR="008E5395" w:rsidRPr="00E20B89" w:rsidRDefault="008E5395">
      <w:pPr>
        <w:rPr>
          <w:b/>
          <w:bCs/>
          <w:sz w:val="20"/>
          <w:szCs w:val="20"/>
        </w:rPr>
        <w:sectPr w:rsidR="008E5395" w:rsidRPr="00E20B89" w:rsidSect="008E5395">
          <w:pgSz w:w="16838" w:h="11906" w:orient="landscape"/>
          <w:pgMar w:top="1440" w:right="1440" w:bottom="1440" w:left="1440" w:header="709" w:footer="709" w:gutter="0"/>
          <w:cols w:space="708"/>
          <w:docGrid w:linePitch="360"/>
        </w:sectPr>
      </w:pPr>
    </w:p>
    <w:p w14:paraId="0B56ABE1" w14:textId="4B786813" w:rsidR="00B052FE" w:rsidRPr="00E20B89" w:rsidRDefault="00CB73A9">
      <w:pPr>
        <w:rPr>
          <w:b/>
          <w:bCs/>
          <w:sz w:val="20"/>
          <w:szCs w:val="20"/>
        </w:rPr>
      </w:pPr>
      <w:r w:rsidRPr="00E20B89">
        <w:rPr>
          <w:b/>
          <w:bCs/>
          <w:sz w:val="20"/>
          <w:szCs w:val="20"/>
        </w:rPr>
        <w:lastRenderedPageBreak/>
        <w:t xml:space="preserve">Appendix V: Funnel Plots and Sensitivity analysis </w:t>
      </w:r>
    </w:p>
    <w:p w14:paraId="0C432126" w14:textId="5A6649A9" w:rsidR="008C3755" w:rsidRPr="00E20B89" w:rsidRDefault="00AA52DF">
      <w:pPr>
        <w:rPr>
          <w:b/>
          <w:bCs/>
          <w:sz w:val="20"/>
          <w:szCs w:val="20"/>
        </w:rPr>
      </w:pPr>
      <w:r>
        <w:rPr>
          <w:b/>
          <w:bCs/>
          <w:noProof/>
          <w:sz w:val="20"/>
          <w:szCs w:val="20"/>
        </w:rPr>
        <w:drawing>
          <wp:inline distT="0" distB="0" distL="0" distR="0" wp14:anchorId="193FF880" wp14:editId="74C989EC">
            <wp:extent cx="5731510" cy="3461385"/>
            <wp:effectExtent l="0" t="0" r="2540" b="5715"/>
            <wp:docPr id="184317848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178484" name="Picture 1843178484"/>
                    <pic:cNvPicPr/>
                  </pic:nvPicPr>
                  <pic:blipFill>
                    <a:blip r:embed="rId15">
                      <a:extLst>
                        <a:ext uri="{28A0092B-C50C-407E-A947-70E740481C1C}">
                          <a14:useLocalDpi xmlns:a14="http://schemas.microsoft.com/office/drawing/2010/main" val="0"/>
                        </a:ext>
                      </a:extLst>
                    </a:blip>
                    <a:stretch>
                      <a:fillRect/>
                    </a:stretch>
                  </pic:blipFill>
                  <pic:spPr>
                    <a:xfrm>
                      <a:off x="0" y="0"/>
                      <a:ext cx="5731510" cy="3461385"/>
                    </a:xfrm>
                    <a:prstGeom prst="rect">
                      <a:avLst/>
                    </a:prstGeom>
                  </pic:spPr>
                </pic:pic>
              </a:graphicData>
            </a:graphic>
          </wp:inline>
        </w:drawing>
      </w:r>
      <w:r w:rsidR="00991347">
        <w:rPr>
          <w:b/>
          <w:bCs/>
          <w:noProof/>
          <w:sz w:val="20"/>
          <w:szCs w:val="20"/>
        </w:rPr>
        <w:drawing>
          <wp:inline distT="0" distB="0" distL="0" distR="0" wp14:anchorId="2381137C" wp14:editId="0E71562A">
            <wp:extent cx="5731510" cy="3295650"/>
            <wp:effectExtent l="0" t="0" r="2540" b="0"/>
            <wp:docPr id="6434862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486241" name="Picture 643486241"/>
                    <pic:cNvPicPr/>
                  </pic:nvPicPr>
                  <pic:blipFill>
                    <a:blip r:embed="rId16">
                      <a:extLst>
                        <a:ext uri="{28A0092B-C50C-407E-A947-70E740481C1C}">
                          <a14:useLocalDpi xmlns:a14="http://schemas.microsoft.com/office/drawing/2010/main" val="0"/>
                        </a:ext>
                      </a:extLst>
                    </a:blip>
                    <a:stretch>
                      <a:fillRect/>
                    </a:stretch>
                  </pic:blipFill>
                  <pic:spPr>
                    <a:xfrm>
                      <a:off x="0" y="0"/>
                      <a:ext cx="5731510" cy="3295650"/>
                    </a:xfrm>
                    <a:prstGeom prst="rect">
                      <a:avLst/>
                    </a:prstGeom>
                  </pic:spPr>
                </pic:pic>
              </a:graphicData>
            </a:graphic>
          </wp:inline>
        </w:drawing>
      </w:r>
    </w:p>
    <w:p w14:paraId="1170CF4E" w14:textId="60814DC2" w:rsidR="008C3755" w:rsidRPr="00E20B89" w:rsidRDefault="008C3755">
      <w:pPr>
        <w:rPr>
          <w:b/>
          <w:bCs/>
          <w:sz w:val="20"/>
          <w:szCs w:val="20"/>
        </w:rPr>
      </w:pPr>
    </w:p>
    <w:p w14:paraId="47EC475F" w14:textId="44942E7B" w:rsidR="008C3755" w:rsidRPr="00E20B89" w:rsidRDefault="00815CCE">
      <w:pPr>
        <w:rPr>
          <w:b/>
          <w:bCs/>
          <w:sz w:val="20"/>
          <w:szCs w:val="20"/>
        </w:rPr>
      </w:pPr>
      <w:r>
        <w:rPr>
          <w:b/>
          <w:bCs/>
          <w:noProof/>
          <w:sz w:val="20"/>
          <w:szCs w:val="20"/>
        </w:rPr>
        <w:lastRenderedPageBreak/>
        <w:drawing>
          <wp:inline distT="0" distB="0" distL="0" distR="0" wp14:anchorId="3E7CA7B4" wp14:editId="0C092257">
            <wp:extent cx="5731510" cy="4054475"/>
            <wp:effectExtent l="0" t="0" r="2540" b="3175"/>
            <wp:docPr id="122863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366" name="Picture 12286366"/>
                    <pic:cNvPicPr/>
                  </pic:nvPicPr>
                  <pic:blipFill>
                    <a:blip r:embed="rId17">
                      <a:extLst>
                        <a:ext uri="{28A0092B-C50C-407E-A947-70E740481C1C}">
                          <a14:useLocalDpi xmlns:a14="http://schemas.microsoft.com/office/drawing/2010/main" val="0"/>
                        </a:ext>
                      </a:extLst>
                    </a:blip>
                    <a:stretch>
                      <a:fillRect/>
                    </a:stretch>
                  </pic:blipFill>
                  <pic:spPr>
                    <a:xfrm>
                      <a:off x="0" y="0"/>
                      <a:ext cx="5731510" cy="4054475"/>
                    </a:xfrm>
                    <a:prstGeom prst="rect">
                      <a:avLst/>
                    </a:prstGeom>
                  </pic:spPr>
                </pic:pic>
              </a:graphicData>
            </a:graphic>
          </wp:inline>
        </w:drawing>
      </w:r>
      <w:r>
        <w:rPr>
          <w:b/>
          <w:bCs/>
          <w:noProof/>
          <w:sz w:val="20"/>
          <w:szCs w:val="20"/>
        </w:rPr>
        <w:drawing>
          <wp:inline distT="0" distB="0" distL="0" distR="0" wp14:anchorId="03C7EDBE" wp14:editId="05069172">
            <wp:extent cx="5731510" cy="3309620"/>
            <wp:effectExtent l="0" t="0" r="2540" b="5080"/>
            <wp:docPr id="17453458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345841" name="Picture 4"/>
                    <pic:cNvPicPr/>
                  </pic:nvPicPr>
                  <pic:blipFill>
                    <a:blip r:embed="rId18">
                      <a:extLst>
                        <a:ext uri="{28A0092B-C50C-407E-A947-70E740481C1C}">
                          <a14:useLocalDpi xmlns:a14="http://schemas.microsoft.com/office/drawing/2010/main" val="0"/>
                        </a:ext>
                      </a:extLst>
                    </a:blip>
                    <a:stretch>
                      <a:fillRect/>
                    </a:stretch>
                  </pic:blipFill>
                  <pic:spPr>
                    <a:xfrm>
                      <a:off x="0" y="0"/>
                      <a:ext cx="5731510" cy="3309620"/>
                    </a:xfrm>
                    <a:prstGeom prst="rect">
                      <a:avLst/>
                    </a:prstGeom>
                  </pic:spPr>
                </pic:pic>
              </a:graphicData>
            </a:graphic>
          </wp:inline>
        </w:drawing>
      </w:r>
    </w:p>
    <w:p w14:paraId="32D6BFD4" w14:textId="4CC8A3D6" w:rsidR="00E20B89" w:rsidRPr="00E20B89" w:rsidRDefault="00AA52DF">
      <w:pPr>
        <w:rPr>
          <w:b/>
          <w:bCs/>
          <w:sz w:val="20"/>
          <w:szCs w:val="20"/>
        </w:rPr>
      </w:pPr>
      <w:r>
        <w:rPr>
          <w:b/>
          <w:bCs/>
          <w:noProof/>
          <w:sz w:val="20"/>
          <w:szCs w:val="20"/>
        </w:rPr>
        <w:lastRenderedPageBreak/>
        <w:drawing>
          <wp:inline distT="0" distB="0" distL="0" distR="0" wp14:anchorId="3ADAE4B6" wp14:editId="27A15202">
            <wp:extent cx="5731510" cy="3103245"/>
            <wp:effectExtent l="0" t="0" r="2540" b="1905"/>
            <wp:docPr id="3875868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86889" name="Picture 387586889"/>
                    <pic:cNvPicPr/>
                  </pic:nvPicPr>
                  <pic:blipFill>
                    <a:blip r:embed="rId19">
                      <a:extLst>
                        <a:ext uri="{28A0092B-C50C-407E-A947-70E740481C1C}">
                          <a14:useLocalDpi xmlns:a14="http://schemas.microsoft.com/office/drawing/2010/main" val="0"/>
                        </a:ext>
                      </a:extLst>
                    </a:blip>
                    <a:stretch>
                      <a:fillRect/>
                    </a:stretch>
                  </pic:blipFill>
                  <pic:spPr>
                    <a:xfrm>
                      <a:off x="0" y="0"/>
                      <a:ext cx="5731510" cy="3103245"/>
                    </a:xfrm>
                    <a:prstGeom prst="rect">
                      <a:avLst/>
                    </a:prstGeom>
                  </pic:spPr>
                </pic:pic>
              </a:graphicData>
            </a:graphic>
          </wp:inline>
        </w:drawing>
      </w:r>
      <w:r w:rsidR="00815CCE">
        <w:rPr>
          <w:b/>
          <w:bCs/>
          <w:noProof/>
          <w:sz w:val="20"/>
          <w:szCs w:val="20"/>
        </w:rPr>
        <w:drawing>
          <wp:inline distT="0" distB="0" distL="0" distR="0" wp14:anchorId="4842383C" wp14:editId="4AEF9EFB">
            <wp:extent cx="5731510" cy="3515995"/>
            <wp:effectExtent l="0" t="0" r="2540" b="8255"/>
            <wp:docPr id="3309126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912663" name="Picture 330912663"/>
                    <pic:cNvPicPr/>
                  </pic:nvPicPr>
                  <pic:blipFill>
                    <a:blip r:embed="rId20">
                      <a:extLst>
                        <a:ext uri="{28A0092B-C50C-407E-A947-70E740481C1C}">
                          <a14:useLocalDpi xmlns:a14="http://schemas.microsoft.com/office/drawing/2010/main" val="0"/>
                        </a:ext>
                      </a:extLst>
                    </a:blip>
                    <a:stretch>
                      <a:fillRect/>
                    </a:stretch>
                  </pic:blipFill>
                  <pic:spPr>
                    <a:xfrm>
                      <a:off x="0" y="0"/>
                      <a:ext cx="5731510" cy="3515995"/>
                    </a:xfrm>
                    <a:prstGeom prst="rect">
                      <a:avLst/>
                    </a:prstGeom>
                  </pic:spPr>
                </pic:pic>
              </a:graphicData>
            </a:graphic>
          </wp:inline>
        </w:drawing>
      </w:r>
    </w:p>
    <w:p w14:paraId="53052D63" w14:textId="47AF4B8F" w:rsidR="00E20B89" w:rsidRPr="00E20B89" w:rsidRDefault="00E20B89">
      <w:pPr>
        <w:rPr>
          <w:b/>
          <w:bCs/>
          <w:sz w:val="20"/>
          <w:szCs w:val="20"/>
        </w:rPr>
      </w:pPr>
    </w:p>
    <w:p w14:paraId="170C85F2" w14:textId="77777777" w:rsidR="00B052FE" w:rsidRPr="00E20B89" w:rsidRDefault="00B052FE">
      <w:pPr>
        <w:rPr>
          <w:b/>
          <w:bCs/>
          <w:sz w:val="20"/>
          <w:szCs w:val="20"/>
        </w:rPr>
      </w:pPr>
    </w:p>
    <w:p w14:paraId="567B5906" w14:textId="29FE0469" w:rsidR="00B052FE" w:rsidRPr="00E20B89" w:rsidRDefault="00AA52DF">
      <w:pPr>
        <w:rPr>
          <w:b/>
          <w:bCs/>
          <w:sz w:val="20"/>
          <w:szCs w:val="20"/>
        </w:rPr>
      </w:pPr>
      <w:r>
        <w:rPr>
          <w:b/>
          <w:bCs/>
          <w:noProof/>
          <w:sz w:val="20"/>
          <w:szCs w:val="20"/>
        </w:rPr>
        <w:lastRenderedPageBreak/>
        <w:drawing>
          <wp:inline distT="0" distB="0" distL="0" distR="0" wp14:anchorId="0EE4E098" wp14:editId="722CC24A">
            <wp:extent cx="5731510" cy="4144010"/>
            <wp:effectExtent l="0" t="0" r="2540" b="8890"/>
            <wp:docPr id="3206157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61574" name="Picture 32061574"/>
                    <pic:cNvPicPr/>
                  </pic:nvPicPr>
                  <pic:blipFill>
                    <a:blip r:embed="rId21">
                      <a:extLst>
                        <a:ext uri="{28A0092B-C50C-407E-A947-70E740481C1C}">
                          <a14:useLocalDpi xmlns:a14="http://schemas.microsoft.com/office/drawing/2010/main" val="0"/>
                        </a:ext>
                      </a:extLst>
                    </a:blip>
                    <a:stretch>
                      <a:fillRect/>
                    </a:stretch>
                  </pic:blipFill>
                  <pic:spPr>
                    <a:xfrm>
                      <a:off x="0" y="0"/>
                      <a:ext cx="5731510" cy="4144010"/>
                    </a:xfrm>
                    <a:prstGeom prst="rect">
                      <a:avLst/>
                    </a:prstGeom>
                  </pic:spPr>
                </pic:pic>
              </a:graphicData>
            </a:graphic>
          </wp:inline>
        </w:drawing>
      </w:r>
    </w:p>
    <w:p w14:paraId="5513194A" w14:textId="10FBF6CE" w:rsidR="00B052FE" w:rsidRPr="00E20B89" w:rsidRDefault="00AA52DF">
      <w:pPr>
        <w:rPr>
          <w:b/>
          <w:bCs/>
          <w:sz w:val="20"/>
          <w:szCs w:val="20"/>
        </w:rPr>
      </w:pPr>
      <w:r>
        <w:rPr>
          <w:b/>
          <w:bCs/>
          <w:noProof/>
          <w:sz w:val="20"/>
          <w:szCs w:val="20"/>
        </w:rPr>
        <w:drawing>
          <wp:inline distT="0" distB="0" distL="0" distR="0" wp14:anchorId="6A12A2C7" wp14:editId="3C2D4D24">
            <wp:extent cx="5731510" cy="3523615"/>
            <wp:effectExtent l="0" t="0" r="2540" b="635"/>
            <wp:docPr id="2982811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281188" name="Picture 298281188"/>
                    <pic:cNvPicPr/>
                  </pic:nvPicPr>
                  <pic:blipFill>
                    <a:blip r:embed="rId22">
                      <a:extLst>
                        <a:ext uri="{28A0092B-C50C-407E-A947-70E740481C1C}">
                          <a14:useLocalDpi xmlns:a14="http://schemas.microsoft.com/office/drawing/2010/main" val="0"/>
                        </a:ext>
                      </a:extLst>
                    </a:blip>
                    <a:stretch>
                      <a:fillRect/>
                    </a:stretch>
                  </pic:blipFill>
                  <pic:spPr>
                    <a:xfrm>
                      <a:off x="0" y="0"/>
                      <a:ext cx="5731510" cy="3523615"/>
                    </a:xfrm>
                    <a:prstGeom prst="rect">
                      <a:avLst/>
                    </a:prstGeom>
                  </pic:spPr>
                </pic:pic>
              </a:graphicData>
            </a:graphic>
          </wp:inline>
        </w:drawing>
      </w:r>
    </w:p>
    <w:p w14:paraId="140C58F3" w14:textId="2D37FB54" w:rsidR="00E20B89" w:rsidRDefault="00AA52DF">
      <w:pPr>
        <w:rPr>
          <w:b/>
          <w:bCs/>
          <w:sz w:val="20"/>
          <w:szCs w:val="20"/>
        </w:rPr>
      </w:pPr>
      <w:r>
        <w:rPr>
          <w:b/>
          <w:bCs/>
          <w:noProof/>
          <w:sz w:val="20"/>
          <w:szCs w:val="20"/>
        </w:rPr>
        <w:lastRenderedPageBreak/>
        <w:drawing>
          <wp:inline distT="0" distB="0" distL="0" distR="0" wp14:anchorId="5BA11D2F" wp14:editId="01A7535A">
            <wp:extent cx="5731510" cy="3844925"/>
            <wp:effectExtent l="0" t="0" r="2540" b="3175"/>
            <wp:docPr id="26838554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385549" name="Picture 268385549"/>
                    <pic:cNvPicPr/>
                  </pic:nvPicPr>
                  <pic:blipFill>
                    <a:blip r:embed="rId23">
                      <a:extLst>
                        <a:ext uri="{28A0092B-C50C-407E-A947-70E740481C1C}">
                          <a14:useLocalDpi xmlns:a14="http://schemas.microsoft.com/office/drawing/2010/main" val="0"/>
                        </a:ext>
                      </a:extLst>
                    </a:blip>
                    <a:stretch>
                      <a:fillRect/>
                    </a:stretch>
                  </pic:blipFill>
                  <pic:spPr>
                    <a:xfrm>
                      <a:off x="0" y="0"/>
                      <a:ext cx="5731510" cy="3844925"/>
                    </a:xfrm>
                    <a:prstGeom prst="rect">
                      <a:avLst/>
                    </a:prstGeom>
                  </pic:spPr>
                </pic:pic>
              </a:graphicData>
            </a:graphic>
          </wp:inline>
        </w:drawing>
      </w:r>
    </w:p>
    <w:p w14:paraId="17BA2C08" w14:textId="77777777" w:rsidR="00AA52DF" w:rsidRPr="00E20B89" w:rsidRDefault="00AA52DF">
      <w:pPr>
        <w:rPr>
          <w:b/>
          <w:bCs/>
          <w:sz w:val="20"/>
          <w:szCs w:val="20"/>
        </w:rPr>
      </w:pPr>
    </w:p>
    <w:p w14:paraId="50DA1B49" w14:textId="57B18BB9" w:rsidR="00E20B89" w:rsidRDefault="00AA52DF">
      <w:pPr>
        <w:rPr>
          <w:b/>
          <w:bCs/>
          <w:sz w:val="20"/>
          <w:szCs w:val="20"/>
        </w:rPr>
      </w:pPr>
      <w:r>
        <w:rPr>
          <w:b/>
          <w:bCs/>
          <w:noProof/>
          <w:sz w:val="20"/>
          <w:szCs w:val="20"/>
        </w:rPr>
        <w:drawing>
          <wp:inline distT="0" distB="0" distL="0" distR="0" wp14:anchorId="3931BD76" wp14:editId="272B7AF0">
            <wp:extent cx="5731510" cy="3265170"/>
            <wp:effectExtent l="0" t="0" r="2540" b="0"/>
            <wp:docPr id="167415333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53335" name="Picture 1674153335"/>
                    <pic:cNvPicPr/>
                  </pic:nvPicPr>
                  <pic:blipFill>
                    <a:blip r:embed="rId24">
                      <a:extLst>
                        <a:ext uri="{28A0092B-C50C-407E-A947-70E740481C1C}">
                          <a14:useLocalDpi xmlns:a14="http://schemas.microsoft.com/office/drawing/2010/main" val="0"/>
                        </a:ext>
                      </a:extLst>
                    </a:blip>
                    <a:stretch>
                      <a:fillRect/>
                    </a:stretch>
                  </pic:blipFill>
                  <pic:spPr>
                    <a:xfrm>
                      <a:off x="0" y="0"/>
                      <a:ext cx="5731510" cy="3265170"/>
                    </a:xfrm>
                    <a:prstGeom prst="rect">
                      <a:avLst/>
                    </a:prstGeom>
                  </pic:spPr>
                </pic:pic>
              </a:graphicData>
            </a:graphic>
          </wp:inline>
        </w:drawing>
      </w:r>
    </w:p>
    <w:p w14:paraId="1A9FF9BE" w14:textId="77777777" w:rsidR="00AA52DF" w:rsidRPr="00E20B89" w:rsidRDefault="00AA52DF">
      <w:pPr>
        <w:rPr>
          <w:b/>
          <w:bCs/>
          <w:sz w:val="20"/>
          <w:szCs w:val="20"/>
        </w:rPr>
      </w:pPr>
    </w:p>
    <w:p w14:paraId="5B1F665C" w14:textId="514A199D" w:rsidR="008C3755" w:rsidRDefault="00AA52DF">
      <w:pPr>
        <w:rPr>
          <w:b/>
          <w:bCs/>
        </w:rPr>
      </w:pPr>
      <w:r>
        <w:rPr>
          <w:b/>
          <w:bCs/>
          <w:noProof/>
        </w:rPr>
        <w:lastRenderedPageBreak/>
        <w:drawing>
          <wp:inline distT="0" distB="0" distL="0" distR="0" wp14:anchorId="528CA94D" wp14:editId="2B0A78BC">
            <wp:extent cx="5731510" cy="3214370"/>
            <wp:effectExtent l="0" t="0" r="2540" b="5080"/>
            <wp:docPr id="7453755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375548" name="Picture 745375548"/>
                    <pic:cNvPicPr/>
                  </pic:nvPicPr>
                  <pic:blipFill>
                    <a:blip r:embed="rId25">
                      <a:extLst>
                        <a:ext uri="{28A0092B-C50C-407E-A947-70E740481C1C}">
                          <a14:useLocalDpi xmlns:a14="http://schemas.microsoft.com/office/drawing/2010/main" val="0"/>
                        </a:ext>
                      </a:extLst>
                    </a:blip>
                    <a:stretch>
                      <a:fillRect/>
                    </a:stretch>
                  </pic:blipFill>
                  <pic:spPr>
                    <a:xfrm>
                      <a:off x="0" y="0"/>
                      <a:ext cx="5731510" cy="3214370"/>
                    </a:xfrm>
                    <a:prstGeom prst="rect">
                      <a:avLst/>
                    </a:prstGeom>
                  </pic:spPr>
                </pic:pic>
              </a:graphicData>
            </a:graphic>
          </wp:inline>
        </w:drawing>
      </w:r>
    </w:p>
    <w:p w14:paraId="1A54DCEE" w14:textId="77777777" w:rsidR="00AA52DF" w:rsidRPr="00E20B89" w:rsidRDefault="00AA52DF">
      <w:pPr>
        <w:rPr>
          <w:b/>
          <w:bCs/>
        </w:rPr>
      </w:pPr>
    </w:p>
    <w:p w14:paraId="47525EEE" w14:textId="22C57AF9" w:rsidR="00E20B89" w:rsidRPr="00E20B89" w:rsidRDefault="00AA52DF">
      <w:pPr>
        <w:rPr>
          <w:b/>
          <w:bCs/>
        </w:rPr>
      </w:pPr>
      <w:r>
        <w:rPr>
          <w:b/>
          <w:bCs/>
          <w:noProof/>
        </w:rPr>
        <w:drawing>
          <wp:inline distT="0" distB="0" distL="0" distR="0" wp14:anchorId="28B76B35" wp14:editId="64D66CC7">
            <wp:extent cx="5731510" cy="3361690"/>
            <wp:effectExtent l="0" t="0" r="2540" b="0"/>
            <wp:docPr id="146004290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042904" name="Picture 1460042904"/>
                    <pic:cNvPicPr/>
                  </pic:nvPicPr>
                  <pic:blipFill>
                    <a:blip r:embed="rId26">
                      <a:extLst>
                        <a:ext uri="{28A0092B-C50C-407E-A947-70E740481C1C}">
                          <a14:useLocalDpi xmlns:a14="http://schemas.microsoft.com/office/drawing/2010/main" val="0"/>
                        </a:ext>
                      </a:extLst>
                    </a:blip>
                    <a:stretch>
                      <a:fillRect/>
                    </a:stretch>
                  </pic:blipFill>
                  <pic:spPr>
                    <a:xfrm>
                      <a:off x="0" y="0"/>
                      <a:ext cx="5731510" cy="3361690"/>
                    </a:xfrm>
                    <a:prstGeom prst="rect">
                      <a:avLst/>
                    </a:prstGeom>
                  </pic:spPr>
                </pic:pic>
              </a:graphicData>
            </a:graphic>
          </wp:inline>
        </w:drawing>
      </w:r>
    </w:p>
    <w:p w14:paraId="38A8A3A4" w14:textId="0D0B5B42" w:rsidR="00E20B89" w:rsidRPr="00E20B89" w:rsidRDefault="00AA52DF">
      <w:pPr>
        <w:rPr>
          <w:b/>
          <w:bCs/>
        </w:rPr>
      </w:pPr>
      <w:r>
        <w:rPr>
          <w:b/>
          <w:bCs/>
          <w:noProof/>
        </w:rPr>
        <w:lastRenderedPageBreak/>
        <w:drawing>
          <wp:inline distT="0" distB="0" distL="0" distR="0" wp14:anchorId="4D53D6AC" wp14:editId="09D098AF">
            <wp:extent cx="5731510" cy="3907790"/>
            <wp:effectExtent l="0" t="0" r="2540" b="0"/>
            <wp:docPr id="115454136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541368" name="Picture 1154541368"/>
                    <pic:cNvPicPr/>
                  </pic:nvPicPr>
                  <pic:blipFill>
                    <a:blip r:embed="rId27">
                      <a:extLst>
                        <a:ext uri="{28A0092B-C50C-407E-A947-70E740481C1C}">
                          <a14:useLocalDpi xmlns:a14="http://schemas.microsoft.com/office/drawing/2010/main" val="0"/>
                        </a:ext>
                      </a:extLst>
                    </a:blip>
                    <a:stretch>
                      <a:fillRect/>
                    </a:stretch>
                  </pic:blipFill>
                  <pic:spPr>
                    <a:xfrm>
                      <a:off x="0" y="0"/>
                      <a:ext cx="5731510" cy="3907790"/>
                    </a:xfrm>
                    <a:prstGeom prst="rect">
                      <a:avLst/>
                    </a:prstGeom>
                  </pic:spPr>
                </pic:pic>
              </a:graphicData>
            </a:graphic>
          </wp:inline>
        </w:drawing>
      </w:r>
    </w:p>
    <w:p w14:paraId="58BE0B1E" w14:textId="07B89A51" w:rsidR="00B052FE" w:rsidRDefault="00E20B89">
      <w:pPr>
        <w:rPr>
          <w:b/>
          <w:bCs/>
          <w:noProof/>
          <w:sz w:val="20"/>
          <w:szCs w:val="20"/>
          <w14:ligatures w14:val="standardContextual"/>
        </w:rPr>
      </w:pPr>
      <w:r w:rsidRPr="00E20B89">
        <w:rPr>
          <w:b/>
          <w:bCs/>
          <w:noProof/>
          <w:sz w:val="20"/>
          <w:szCs w:val="20"/>
          <w14:ligatures w14:val="standardContextual"/>
        </w:rPr>
        <w:t xml:space="preserve">  </w:t>
      </w:r>
      <w:r w:rsidR="00AA52DF">
        <w:rPr>
          <w:b/>
          <w:bCs/>
          <w:noProof/>
        </w:rPr>
        <w:drawing>
          <wp:inline distT="0" distB="0" distL="0" distR="0" wp14:anchorId="3305A247" wp14:editId="7CF40135">
            <wp:extent cx="5731510" cy="3645535"/>
            <wp:effectExtent l="0" t="0" r="2540" b="0"/>
            <wp:docPr id="93832057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320579" name="Picture 938320579"/>
                    <pic:cNvPicPr/>
                  </pic:nvPicPr>
                  <pic:blipFill>
                    <a:blip r:embed="rId28">
                      <a:extLst>
                        <a:ext uri="{28A0092B-C50C-407E-A947-70E740481C1C}">
                          <a14:useLocalDpi xmlns:a14="http://schemas.microsoft.com/office/drawing/2010/main" val="0"/>
                        </a:ext>
                      </a:extLst>
                    </a:blip>
                    <a:stretch>
                      <a:fillRect/>
                    </a:stretch>
                  </pic:blipFill>
                  <pic:spPr>
                    <a:xfrm>
                      <a:off x="0" y="0"/>
                      <a:ext cx="5731510" cy="3645535"/>
                    </a:xfrm>
                    <a:prstGeom prst="rect">
                      <a:avLst/>
                    </a:prstGeom>
                  </pic:spPr>
                </pic:pic>
              </a:graphicData>
            </a:graphic>
          </wp:inline>
        </w:drawing>
      </w:r>
    </w:p>
    <w:p w14:paraId="0C9832D7" w14:textId="77777777" w:rsidR="00AA52DF" w:rsidRPr="00E20B89" w:rsidRDefault="00AA52DF">
      <w:pPr>
        <w:rPr>
          <w:b/>
          <w:bCs/>
        </w:rPr>
      </w:pPr>
    </w:p>
    <w:p w14:paraId="0DBD5292" w14:textId="77777777" w:rsidR="00B052FE" w:rsidRPr="00E20B89" w:rsidRDefault="00B052FE">
      <w:pPr>
        <w:rPr>
          <w:b/>
          <w:bCs/>
        </w:rPr>
      </w:pPr>
    </w:p>
    <w:p w14:paraId="33156842" w14:textId="77777777" w:rsidR="00B06905" w:rsidRPr="00E20B89" w:rsidRDefault="00B06905">
      <w:pPr>
        <w:rPr>
          <w:b/>
          <w:bCs/>
        </w:rPr>
      </w:pPr>
    </w:p>
    <w:p w14:paraId="574D6ED0" w14:textId="77777777" w:rsidR="00B06905" w:rsidRPr="00E20B89" w:rsidRDefault="00B06905">
      <w:pPr>
        <w:rPr>
          <w:b/>
          <w:bCs/>
        </w:rPr>
      </w:pPr>
    </w:p>
    <w:p w14:paraId="50A0FC4D" w14:textId="77777777" w:rsidR="00B06905" w:rsidRPr="00E20B89" w:rsidRDefault="00B06905">
      <w:pPr>
        <w:rPr>
          <w:b/>
          <w:bCs/>
        </w:rPr>
      </w:pPr>
    </w:p>
    <w:p w14:paraId="4AFBEE8A" w14:textId="77777777" w:rsidR="00B06905" w:rsidRPr="00E20B89" w:rsidRDefault="00B06905">
      <w:pPr>
        <w:rPr>
          <w:b/>
          <w:bCs/>
        </w:rPr>
      </w:pPr>
    </w:p>
    <w:p w14:paraId="58F08141" w14:textId="273813D8" w:rsidR="00B052FE" w:rsidRPr="00105E0D" w:rsidRDefault="00EA5A8D">
      <w:pPr>
        <w:rPr>
          <w:b/>
          <w:bCs/>
          <w:sz w:val="20"/>
          <w:szCs w:val="20"/>
        </w:rPr>
      </w:pPr>
      <w:r w:rsidRPr="00274B66">
        <w:rPr>
          <w:b/>
          <w:bCs/>
          <w:sz w:val="20"/>
          <w:szCs w:val="20"/>
        </w:rPr>
        <w:lastRenderedPageBreak/>
        <w:t>App</w:t>
      </w:r>
      <w:r>
        <w:rPr>
          <w:b/>
          <w:bCs/>
          <w:sz w:val="20"/>
          <w:szCs w:val="20"/>
        </w:rPr>
        <w:t>en</w:t>
      </w:r>
      <w:r w:rsidRPr="00274B66">
        <w:rPr>
          <w:b/>
          <w:bCs/>
          <w:sz w:val="20"/>
          <w:szCs w:val="20"/>
        </w:rPr>
        <w:t xml:space="preserve">dix VI: </w:t>
      </w:r>
      <w:r w:rsidR="00CB73A9" w:rsidRPr="00EA5A8D">
        <w:rPr>
          <w:b/>
          <w:bCs/>
          <w:sz w:val="20"/>
          <w:szCs w:val="20"/>
        </w:rPr>
        <w:t>S</w:t>
      </w:r>
      <w:r w:rsidR="00CB73A9" w:rsidRPr="00105E0D">
        <w:rPr>
          <w:b/>
          <w:bCs/>
          <w:sz w:val="20"/>
          <w:szCs w:val="20"/>
        </w:rPr>
        <w:t>ensitivity Analysis Results:</w:t>
      </w:r>
    </w:p>
    <w:p w14:paraId="1D9B70A2" w14:textId="77777777" w:rsidR="00B052FE" w:rsidRDefault="00B052FE">
      <w:pPr>
        <w:rPr>
          <w:b/>
          <w:bCs/>
          <w:sz w:val="20"/>
          <w:szCs w:val="20"/>
        </w:rPr>
      </w:pPr>
    </w:p>
    <w:p w14:paraId="6B934066" w14:textId="06E65C3A" w:rsidR="00EA5A8D" w:rsidRPr="00274B66" w:rsidRDefault="00EA5A8D" w:rsidP="00274B66">
      <w:pPr>
        <w:pStyle w:val="ListParagraph"/>
        <w:numPr>
          <w:ilvl w:val="0"/>
          <w:numId w:val="6"/>
        </w:numPr>
        <w:rPr>
          <w:b/>
          <w:bCs/>
          <w:sz w:val="20"/>
          <w:szCs w:val="20"/>
        </w:rPr>
      </w:pPr>
      <w:r w:rsidRPr="00274B66">
        <w:rPr>
          <w:b/>
          <w:bCs/>
          <w:sz w:val="20"/>
          <w:szCs w:val="20"/>
        </w:rPr>
        <w:t>Table: Sensitivity Analysis: Impact of Influential Study Removal on Pooled Effect Estimates:</w:t>
      </w:r>
    </w:p>
    <w:p w14:paraId="42ED5FCB" w14:textId="77777777" w:rsidR="00EA5A8D" w:rsidRDefault="00EA5A8D">
      <w:pPr>
        <w:rPr>
          <w:b/>
          <w:bCs/>
          <w:sz w:val="20"/>
          <w:szCs w:val="20"/>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843"/>
        <w:gridCol w:w="553"/>
        <w:gridCol w:w="940"/>
        <w:gridCol w:w="1023"/>
        <w:gridCol w:w="940"/>
        <w:gridCol w:w="1240"/>
        <w:gridCol w:w="1386"/>
        <w:gridCol w:w="1435"/>
      </w:tblGrid>
      <w:tr w:rsidR="00EA5A8D" w:rsidRPr="00EA5A8D" w14:paraId="373048D9" w14:textId="77777777" w:rsidTr="00F72FC0">
        <w:trPr>
          <w:tblHeader/>
        </w:trPr>
        <w:tc>
          <w:tcPr>
            <w:tcW w:w="1843"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4DDF7C56" w14:textId="77777777" w:rsidR="00EA5A8D" w:rsidRPr="00274B66" w:rsidRDefault="00EA5A8D" w:rsidP="00EA5A8D">
            <w:pPr>
              <w:spacing w:before="80" w:after="80"/>
              <w:rPr>
                <w:rFonts w:eastAsia="Arial"/>
                <w:sz w:val="20"/>
                <w:szCs w:val="20"/>
                <w:lang w:eastAsia="en-IN" w:bidi="hi-IN"/>
              </w:rPr>
            </w:pPr>
            <w:r w:rsidRPr="00274B66">
              <w:rPr>
                <w:rFonts w:eastAsia="Arial"/>
                <w:b/>
                <w:bCs/>
                <w:color w:val="FFFFFF"/>
                <w:sz w:val="20"/>
                <w:szCs w:val="20"/>
                <w:lang w:eastAsia="en-IN" w:bidi="hi-IN"/>
              </w:rPr>
              <w:t>Study Removed</w:t>
            </w:r>
          </w:p>
        </w:tc>
        <w:tc>
          <w:tcPr>
            <w:tcW w:w="553"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11B1CE1B" w14:textId="77777777" w:rsidR="00EA5A8D" w:rsidRPr="00274B66" w:rsidRDefault="00EA5A8D" w:rsidP="00EA5A8D">
            <w:pPr>
              <w:spacing w:before="80" w:after="80"/>
              <w:jc w:val="center"/>
              <w:rPr>
                <w:rFonts w:eastAsia="Arial"/>
                <w:sz w:val="20"/>
                <w:szCs w:val="20"/>
                <w:lang w:eastAsia="en-IN" w:bidi="hi-IN"/>
              </w:rPr>
            </w:pPr>
            <w:r w:rsidRPr="00274B66">
              <w:rPr>
                <w:rFonts w:eastAsia="Arial"/>
                <w:b/>
                <w:bCs/>
                <w:color w:val="FFFFFF"/>
                <w:sz w:val="20"/>
                <w:szCs w:val="20"/>
                <w:lang w:eastAsia="en-IN" w:bidi="hi-IN"/>
              </w:rPr>
              <w:t>k</w:t>
            </w:r>
          </w:p>
        </w:tc>
        <w:tc>
          <w:tcPr>
            <w:tcW w:w="940"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6D3C93A2" w14:textId="77777777" w:rsidR="00EA5A8D" w:rsidRPr="00274B66" w:rsidRDefault="00EA5A8D" w:rsidP="00EA5A8D">
            <w:pPr>
              <w:spacing w:before="80" w:after="80"/>
              <w:jc w:val="center"/>
              <w:rPr>
                <w:rFonts w:eastAsia="Arial"/>
                <w:sz w:val="20"/>
                <w:szCs w:val="20"/>
                <w:lang w:eastAsia="en-IN" w:bidi="hi-IN"/>
              </w:rPr>
            </w:pPr>
            <w:r w:rsidRPr="00274B66">
              <w:rPr>
                <w:rFonts w:eastAsia="Arial"/>
                <w:b/>
                <w:bCs/>
                <w:color w:val="FFFFFF"/>
                <w:sz w:val="20"/>
                <w:szCs w:val="20"/>
                <w:lang w:eastAsia="en-IN" w:bidi="hi-IN"/>
              </w:rPr>
              <w:t>SMD</w:t>
            </w:r>
          </w:p>
        </w:tc>
        <w:tc>
          <w:tcPr>
            <w:tcW w:w="1023"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47F8A609" w14:textId="77777777" w:rsidR="00EA5A8D" w:rsidRPr="00274B66" w:rsidRDefault="00EA5A8D" w:rsidP="00EA5A8D">
            <w:pPr>
              <w:spacing w:before="80" w:after="80"/>
              <w:jc w:val="center"/>
              <w:rPr>
                <w:rFonts w:eastAsia="Arial"/>
                <w:sz w:val="20"/>
                <w:szCs w:val="20"/>
                <w:lang w:eastAsia="en-IN" w:bidi="hi-IN"/>
              </w:rPr>
            </w:pPr>
            <w:r w:rsidRPr="00274B66">
              <w:rPr>
                <w:rFonts w:eastAsia="Arial"/>
                <w:b/>
                <w:bCs/>
                <w:color w:val="FFFFFF"/>
                <w:sz w:val="20"/>
                <w:szCs w:val="20"/>
                <w:lang w:eastAsia="en-IN" w:bidi="hi-IN"/>
              </w:rPr>
              <w:t>95% CI</w:t>
            </w:r>
          </w:p>
        </w:tc>
        <w:tc>
          <w:tcPr>
            <w:tcW w:w="940"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29068E99" w14:textId="77777777" w:rsidR="00EA5A8D" w:rsidRPr="00274B66" w:rsidRDefault="00EA5A8D" w:rsidP="00EA5A8D">
            <w:pPr>
              <w:spacing w:before="80" w:after="80"/>
              <w:jc w:val="center"/>
              <w:rPr>
                <w:rFonts w:eastAsia="Arial"/>
                <w:sz w:val="20"/>
                <w:szCs w:val="20"/>
                <w:lang w:eastAsia="en-IN" w:bidi="hi-IN"/>
              </w:rPr>
            </w:pPr>
            <w:r w:rsidRPr="00274B66">
              <w:rPr>
                <w:rFonts w:eastAsia="Arial"/>
                <w:b/>
                <w:bCs/>
                <w:color w:val="FFFFFF"/>
                <w:sz w:val="20"/>
                <w:szCs w:val="20"/>
                <w:lang w:eastAsia="en-IN" w:bidi="hi-IN"/>
              </w:rPr>
              <w:t>I² (%)</w:t>
            </w:r>
          </w:p>
        </w:tc>
        <w:tc>
          <w:tcPr>
            <w:tcW w:w="1240"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7B994990" w14:textId="77777777" w:rsidR="00EA5A8D" w:rsidRPr="00274B66" w:rsidRDefault="00EA5A8D" w:rsidP="00EA5A8D">
            <w:pPr>
              <w:spacing w:before="80" w:after="80"/>
              <w:jc w:val="center"/>
              <w:rPr>
                <w:rFonts w:eastAsia="Arial"/>
                <w:sz w:val="20"/>
                <w:szCs w:val="20"/>
                <w:lang w:eastAsia="en-IN" w:bidi="hi-IN"/>
              </w:rPr>
            </w:pPr>
            <w:r w:rsidRPr="00274B66">
              <w:rPr>
                <w:rFonts w:eastAsia="Arial"/>
                <w:b/>
                <w:bCs/>
                <w:color w:val="FFFFFF"/>
                <w:sz w:val="20"/>
                <w:szCs w:val="20"/>
                <w:lang w:eastAsia="en-IN" w:bidi="hi-IN"/>
              </w:rPr>
              <w:t>τ²</w:t>
            </w:r>
          </w:p>
        </w:tc>
        <w:tc>
          <w:tcPr>
            <w:tcW w:w="1386"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42A80C2E" w14:textId="77777777" w:rsidR="00EA5A8D" w:rsidRPr="00274B66" w:rsidRDefault="00EA5A8D" w:rsidP="00EA5A8D">
            <w:pPr>
              <w:spacing w:before="80" w:after="80"/>
              <w:jc w:val="center"/>
              <w:rPr>
                <w:rFonts w:eastAsia="Arial"/>
                <w:sz w:val="20"/>
                <w:szCs w:val="20"/>
                <w:lang w:eastAsia="en-IN" w:bidi="hi-IN"/>
              </w:rPr>
            </w:pPr>
            <w:r w:rsidRPr="00274B66">
              <w:rPr>
                <w:rFonts w:eastAsia="Arial"/>
                <w:b/>
                <w:bCs/>
                <w:color w:val="FFFFFF"/>
                <w:sz w:val="20"/>
                <w:szCs w:val="20"/>
                <w:lang w:eastAsia="en-IN" w:bidi="hi-IN"/>
              </w:rPr>
              <w:t>Q-test (p)</w:t>
            </w:r>
          </w:p>
        </w:tc>
        <w:tc>
          <w:tcPr>
            <w:tcW w:w="1435"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43E805B8" w14:textId="77777777" w:rsidR="00EA5A8D" w:rsidRPr="00274B66" w:rsidRDefault="00EA5A8D" w:rsidP="00EA5A8D">
            <w:pPr>
              <w:spacing w:before="80" w:after="80"/>
              <w:jc w:val="center"/>
              <w:rPr>
                <w:rFonts w:eastAsia="Arial"/>
                <w:sz w:val="20"/>
                <w:szCs w:val="20"/>
                <w:lang w:eastAsia="en-IN" w:bidi="hi-IN"/>
              </w:rPr>
            </w:pPr>
            <w:r w:rsidRPr="00274B66">
              <w:rPr>
                <w:rFonts w:eastAsia="Arial"/>
                <w:b/>
                <w:bCs/>
                <w:color w:val="FFFFFF"/>
                <w:sz w:val="20"/>
                <w:szCs w:val="20"/>
                <w:lang w:eastAsia="en-IN" w:bidi="hi-IN"/>
              </w:rPr>
              <w:t>Direction of Change</w:t>
            </w:r>
          </w:p>
        </w:tc>
      </w:tr>
      <w:tr w:rsidR="00EA5A8D" w:rsidRPr="00EA5A8D" w14:paraId="67CBCFFC" w14:textId="77777777" w:rsidTr="00F72FC0">
        <w:tc>
          <w:tcPr>
            <w:tcW w:w="9360" w:type="dxa"/>
            <w:gridSpan w:val="8"/>
            <w:tcBorders>
              <w:top w:val="single" w:sz="4" w:space="0" w:color="2E4057"/>
              <w:left w:val="nil"/>
              <w:bottom w:val="single" w:sz="4" w:space="0" w:color="2E4057"/>
              <w:right w:val="nil"/>
            </w:tcBorders>
            <w:shd w:val="clear" w:color="auto" w:fill="D6E4F0"/>
            <w:tcMar>
              <w:top w:w="60" w:type="dxa"/>
              <w:left w:w="120" w:type="dxa"/>
              <w:bottom w:w="60" w:type="dxa"/>
              <w:right w:w="120" w:type="dxa"/>
            </w:tcMar>
          </w:tcPr>
          <w:p w14:paraId="526780FA" w14:textId="77777777" w:rsidR="00EA5A8D" w:rsidRPr="00274B66" w:rsidRDefault="00EA5A8D" w:rsidP="00EA5A8D">
            <w:pPr>
              <w:spacing w:before="40" w:after="40"/>
              <w:rPr>
                <w:rFonts w:eastAsia="Arial"/>
                <w:sz w:val="20"/>
                <w:szCs w:val="20"/>
                <w:lang w:eastAsia="en-IN" w:bidi="hi-IN"/>
              </w:rPr>
            </w:pPr>
            <w:r w:rsidRPr="00274B66">
              <w:rPr>
                <w:rFonts w:eastAsia="Arial"/>
                <w:b/>
                <w:bCs/>
                <w:sz w:val="20"/>
                <w:szCs w:val="20"/>
                <w:lang w:eastAsia="en-IN" w:bidi="hi-IN"/>
              </w:rPr>
              <w:t>SVR-12 Cohort (k = 25 studies)</w:t>
            </w:r>
          </w:p>
        </w:tc>
      </w:tr>
      <w:tr w:rsidR="00EA5A8D" w:rsidRPr="00EA5A8D" w14:paraId="34D05EEB" w14:textId="77777777" w:rsidTr="00F72FC0">
        <w:tc>
          <w:tcPr>
            <w:tcW w:w="184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0F6D63C" w14:textId="77777777" w:rsidR="00EA5A8D" w:rsidRPr="00274B66" w:rsidRDefault="00EA5A8D" w:rsidP="00EA5A8D">
            <w:pPr>
              <w:spacing w:before="40" w:after="40"/>
              <w:rPr>
                <w:rFonts w:eastAsia="Arial"/>
                <w:sz w:val="20"/>
                <w:szCs w:val="20"/>
                <w:lang w:eastAsia="en-IN" w:bidi="hi-IN"/>
              </w:rPr>
            </w:pPr>
            <w:r w:rsidRPr="00274B66">
              <w:rPr>
                <w:rFonts w:eastAsia="Arial"/>
                <w:b/>
                <w:bCs/>
                <w:sz w:val="20"/>
                <w:szCs w:val="20"/>
                <w:lang w:eastAsia="en-IN" w:bidi="hi-IN"/>
              </w:rPr>
              <w:t>All studies included (primary analysis)</w:t>
            </w:r>
          </w:p>
        </w:tc>
        <w:tc>
          <w:tcPr>
            <w:tcW w:w="5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8856D8C"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25</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1C88513"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0.53</w:t>
            </w:r>
          </w:p>
        </w:tc>
        <w:tc>
          <w:tcPr>
            <w:tcW w:w="102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4A61559"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0.38 – 0.69</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528DE34E"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99.1</w:t>
            </w:r>
          </w:p>
        </w:tc>
        <w:tc>
          <w:tcPr>
            <w:tcW w:w="12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2855F75C"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0.14</w:t>
            </w:r>
          </w:p>
        </w:tc>
        <w:tc>
          <w:tcPr>
            <w:tcW w:w="1386"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04FF5DF7"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376.46 (&lt;.0001)</w:t>
            </w:r>
          </w:p>
        </w:tc>
        <w:tc>
          <w:tcPr>
            <w:tcW w:w="1435"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53C48287"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w:t>
            </w:r>
          </w:p>
        </w:tc>
      </w:tr>
      <w:tr w:rsidR="00EA5A8D" w:rsidRPr="00EA5A8D" w14:paraId="4DCFB92E" w14:textId="77777777" w:rsidTr="00F72FC0">
        <w:tc>
          <w:tcPr>
            <w:tcW w:w="184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D5A9DD3" w14:textId="02B57B77" w:rsidR="00EA5A8D" w:rsidRPr="00EA5A8D" w:rsidRDefault="00EA5A8D" w:rsidP="00EA5A8D">
            <w:pPr>
              <w:spacing w:before="40" w:after="40"/>
              <w:rPr>
                <w:rFonts w:eastAsia="Arial"/>
                <w:b/>
                <w:bCs/>
                <w:sz w:val="20"/>
                <w:szCs w:val="20"/>
                <w:lang w:eastAsia="en-IN" w:bidi="hi-IN"/>
              </w:rPr>
            </w:pPr>
            <w:r w:rsidRPr="00F85BF5">
              <w:rPr>
                <w:rFonts w:eastAsia="Arial"/>
                <w:sz w:val="20"/>
                <w:szCs w:val="20"/>
                <w:lang w:eastAsia="en-IN" w:bidi="hi-IN"/>
              </w:rPr>
              <w:t>Abdelmohsen et al. 2022</w:t>
            </w:r>
          </w:p>
        </w:tc>
        <w:tc>
          <w:tcPr>
            <w:tcW w:w="5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48659E0A" w14:textId="074E24FA" w:rsidR="00EA5A8D" w:rsidRPr="00EA5A8D" w:rsidRDefault="00EA5A8D" w:rsidP="00EA5A8D">
            <w:pPr>
              <w:spacing w:before="40" w:after="40"/>
              <w:jc w:val="center"/>
              <w:rPr>
                <w:rFonts w:eastAsia="Arial"/>
                <w:sz w:val="20"/>
                <w:szCs w:val="20"/>
                <w:lang w:eastAsia="en-IN" w:bidi="hi-IN"/>
              </w:rPr>
            </w:pPr>
            <w:r w:rsidRPr="00F85BF5">
              <w:rPr>
                <w:rFonts w:eastAsia="Arial"/>
                <w:sz w:val="20"/>
                <w:szCs w:val="20"/>
                <w:lang w:eastAsia="en-IN" w:bidi="hi-IN"/>
              </w:rPr>
              <w:t>24</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D6CBF2B" w14:textId="5BED4CC2" w:rsidR="00EA5A8D" w:rsidRPr="00EA5A8D" w:rsidRDefault="00EA5A8D" w:rsidP="00EA5A8D">
            <w:pPr>
              <w:spacing w:before="40" w:after="40"/>
              <w:jc w:val="center"/>
              <w:rPr>
                <w:rFonts w:eastAsia="Arial"/>
                <w:sz w:val="20"/>
                <w:szCs w:val="20"/>
                <w:lang w:eastAsia="en-IN" w:bidi="hi-IN"/>
              </w:rPr>
            </w:pPr>
            <w:r w:rsidRPr="00F85BF5">
              <w:rPr>
                <w:rFonts w:eastAsia="Arial"/>
                <w:sz w:val="20"/>
                <w:szCs w:val="20"/>
                <w:lang w:eastAsia="en-IN" w:bidi="hi-IN"/>
              </w:rPr>
              <w:t>0.47</w:t>
            </w:r>
          </w:p>
        </w:tc>
        <w:tc>
          <w:tcPr>
            <w:tcW w:w="102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4FEED725" w14:textId="39A69951" w:rsidR="00EA5A8D" w:rsidRPr="00EA5A8D" w:rsidRDefault="00EA5A8D" w:rsidP="00EA5A8D">
            <w:pPr>
              <w:spacing w:before="40" w:after="40"/>
              <w:jc w:val="center"/>
              <w:rPr>
                <w:rFonts w:eastAsia="Arial"/>
                <w:sz w:val="20"/>
                <w:szCs w:val="20"/>
                <w:lang w:eastAsia="en-IN" w:bidi="hi-IN"/>
              </w:rPr>
            </w:pPr>
            <w:r w:rsidRPr="00F85BF5">
              <w:rPr>
                <w:rFonts w:eastAsia="Arial"/>
                <w:sz w:val="20"/>
                <w:szCs w:val="20"/>
                <w:lang w:eastAsia="en-IN" w:bidi="hi-IN"/>
              </w:rPr>
              <w:t>0.35 – 0.60</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8C09078" w14:textId="475483BB" w:rsidR="00EA5A8D" w:rsidRPr="00EA5A8D" w:rsidRDefault="00EA5A8D" w:rsidP="00EA5A8D">
            <w:pPr>
              <w:spacing w:before="40" w:after="40"/>
              <w:jc w:val="center"/>
              <w:rPr>
                <w:rFonts w:eastAsia="Arial"/>
                <w:sz w:val="20"/>
                <w:szCs w:val="20"/>
                <w:lang w:eastAsia="en-IN" w:bidi="hi-IN"/>
              </w:rPr>
            </w:pPr>
            <w:r w:rsidRPr="00F85BF5">
              <w:rPr>
                <w:rFonts w:eastAsia="Arial"/>
                <w:sz w:val="20"/>
                <w:szCs w:val="20"/>
                <w:lang w:eastAsia="en-IN" w:bidi="hi-IN"/>
              </w:rPr>
              <w:t>98.4</w:t>
            </w:r>
          </w:p>
        </w:tc>
        <w:tc>
          <w:tcPr>
            <w:tcW w:w="12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2E72FFE5" w14:textId="104E6578" w:rsidR="00EA5A8D" w:rsidRPr="00EA5A8D" w:rsidRDefault="00EA5A8D" w:rsidP="00EA5A8D">
            <w:pPr>
              <w:spacing w:before="40" w:after="40"/>
              <w:jc w:val="center"/>
              <w:rPr>
                <w:rFonts w:eastAsia="Arial"/>
                <w:sz w:val="20"/>
                <w:szCs w:val="20"/>
                <w:lang w:eastAsia="en-IN" w:bidi="hi-IN"/>
              </w:rPr>
            </w:pPr>
            <w:r w:rsidRPr="00F85BF5">
              <w:rPr>
                <w:rFonts w:eastAsia="Arial"/>
                <w:sz w:val="20"/>
                <w:szCs w:val="20"/>
                <w:lang w:eastAsia="en-IN" w:bidi="hi-IN"/>
              </w:rPr>
              <w:t>0.08</w:t>
            </w:r>
          </w:p>
        </w:tc>
        <w:tc>
          <w:tcPr>
            <w:tcW w:w="1386"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0CCFC5CB" w14:textId="2A97597A" w:rsidR="00EA5A8D" w:rsidRPr="00EA5A8D" w:rsidRDefault="00EA5A8D" w:rsidP="00EA5A8D">
            <w:pPr>
              <w:spacing w:before="40" w:after="40"/>
              <w:jc w:val="center"/>
              <w:rPr>
                <w:rFonts w:eastAsia="Arial"/>
                <w:sz w:val="20"/>
                <w:szCs w:val="20"/>
                <w:lang w:eastAsia="en-IN" w:bidi="hi-IN"/>
              </w:rPr>
            </w:pPr>
            <w:r w:rsidRPr="00F85BF5">
              <w:rPr>
                <w:rFonts w:eastAsia="Arial"/>
                <w:sz w:val="20"/>
                <w:szCs w:val="20"/>
                <w:lang w:eastAsia="en-IN" w:bidi="hi-IN"/>
              </w:rPr>
              <w:t>294.13 (&lt;.0001)</w:t>
            </w:r>
          </w:p>
        </w:tc>
        <w:tc>
          <w:tcPr>
            <w:tcW w:w="1435"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9E3A8CE" w14:textId="0B506F98" w:rsidR="00EA5A8D" w:rsidRPr="00EA5A8D" w:rsidRDefault="00EA5A8D" w:rsidP="00EA5A8D">
            <w:pPr>
              <w:spacing w:before="40" w:after="40"/>
              <w:jc w:val="center"/>
              <w:rPr>
                <w:rFonts w:eastAsia="Arial"/>
                <w:sz w:val="20"/>
                <w:szCs w:val="20"/>
                <w:lang w:eastAsia="en-IN" w:bidi="hi-IN"/>
              </w:rPr>
            </w:pPr>
            <w:r w:rsidRPr="00F85BF5">
              <w:rPr>
                <w:rFonts w:eastAsia="Arial"/>
                <w:sz w:val="20"/>
                <w:szCs w:val="20"/>
                <w:lang w:eastAsia="en-IN" w:bidi="hi-IN"/>
              </w:rPr>
              <w:t xml:space="preserve">↓ Moderate </w:t>
            </w:r>
            <w:r w:rsidRPr="00F85BF5">
              <w:rPr>
                <w:rFonts w:ascii="Segoe UI Symbol" w:eastAsia="Arial" w:hAnsi="Segoe UI Symbol" w:cs="Segoe UI Symbol"/>
                <w:sz w:val="20"/>
                <w:szCs w:val="20"/>
                <w:lang w:eastAsia="en-IN" w:bidi="hi-IN"/>
              </w:rPr>
              <w:t>✱</w:t>
            </w:r>
          </w:p>
        </w:tc>
      </w:tr>
      <w:tr w:rsidR="00EA5A8D" w:rsidRPr="00EA5A8D" w14:paraId="063ECE23" w14:textId="77777777" w:rsidTr="00F72FC0">
        <w:tc>
          <w:tcPr>
            <w:tcW w:w="1843" w:type="dxa"/>
            <w:tcBorders>
              <w:top w:val="single" w:sz="2" w:space="0" w:color="AAAAAA"/>
              <w:left w:val="nil"/>
              <w:bottom w:val="single" w:sz="2" w:space="0" w:color="AAAAAA"/>
              <w:right w:val="nil"/>
            </w:tcBorders>
            <w:tcMar>
              <w:top w:w="60" w:type="dxa"/>
              <w:left w:w="120" w:type="dxa"/>
              <w:bottom w:w="60" w:type="dxa"/>
              <w:right w:w="120" w:type="dxa"/>
            </w:tcMar>
          </w:tcPr>
          <w:p w14:paraId="38D62A19" w14:textId="77777777" w:rsidR="00EA5A8D" w:rsidRPr="00274B66" w:rsidRDefault="00EA5A8D" w:rsidP="00EA5A8D">
            <w:pPr>
              <w:spacing w:before="40" w:after="40"/>
              <w:rPr>
                <w:rFonts w:eastAsia="Arial"/>
                <w:sz w:val="20"/>
                <w:szCs w:val="20"/>
                <w:lang w:eastAsia="en-IN" w:bidi="hi-IN"/>
              </w:rPr>
            </w:pPr>
            <w:r w:rsidRPr="00274B66">
              <w:rPr>
                <w:rFonts w:eastAsia="Arial"/>
                <w:sz w:val="20"/>
                <w:szCs w:val="20"/>
                <w:lang w:eastAsia="en-IN" w:bidi="hi-IN"/>
              </w:rPr>
              <w:t>Mohammed et al. 2021</w:t>
            </w:r>
          </w:p>
        </w:tc>
        <w:tc>
          <w:tcPr>
            <w:tcW w:w="553" w:type="dxa"/>
            <w:tcBorders>
              <w:top w:val="single" w:sz="2" w:space="0" w:color="AAAAAA"/>
              <w:left w:val="nil"/>
              <w:bottom w:val="single" w:sz="2" w:space="0" w:color="AAAAAA"/>
              <w:right w:val="nil"/>
            </w:tcBorders>
            <w:tcMar>
              <w:top w:w="60" w:type="dxa"/>
              <w:left w:w="120" w:type="dxa"/>
              <w:bottom w:w="60" w:type="dxa"/>
              <w:right w:w="120" w:type="dxa"/>
            </w:tcMar>
          </w:tcPr>
          <w:p w14:paraId="0B19DAED"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24</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79F06167"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0.51</w:t>
            </w:r>
          </w:p>
        </w:tc>
        <w:tc>
          <w:tcPr>
            <w:tcW w:w="1023" w:type="dxa"/>
            <w:tcBorders>
              <w:top w:val="single" w:sz="2" w:space="0" w:color="AAAAAA"/>
              <w:left w:val="nil"/>
              <w:bottom w:val="single" w:sz="2" w:space="0" w:color="AAAAAA"/>
              <w:right w:val="nil"/>
            </w:tcBorders>
            <w:tcMar>
              <w:top w:w="60" w:type="dxa"/>
              <w:left w:w="120" w:type="dxa"/>
              <w:bottom w:w="60" w:type="dxa"/>
              <w:right w:w="120" w:type="dxa"/>
            </w:tcMar>
          </w:tcPr>
          <w:p w14:paraId="15D5AC2C"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0.35 – 0.66</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413AE249"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99.1</w:t>
            </w:r>
          </w:p>
        </w:tc>
        <w:tc>
          <w:tcPr>
            <w:tcW w:w="1240" w:type="dxa"/>
            <w:tcBorders>
              <w:top w:val="single" w:sz="2" w:space="0" w:color="AAAAAA"/>
              <w:left w:val="nil"/>
              <w:bottom w:val="single" w:sz="2" w:space="0" w:color="AAAAAA"/>
              <w:right w:val="nil"/>
            </w:tcBorders>
            <w:tcMar>
              <w:top w:w="60" w:type="dxa"/>
              <w:left w:w="120" w:type="dxa"/>
              <w:bottom w:w="60" w:type="dxa"/>
              <w:right w:w="120" w:type="dxa"/>
            </w:tcMar>
          </w:tcPr>
          <w:p w14:paraId="0B07DD3E"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0.13</w:t>
            </w:r>
          </w:p>
        </w:tc>
        <w:tc>
          <w:tcPr>
            <w:tcW w:w="1386" w:type="dxa"/>
            <w:tcBorders>
              <w:top w:val="single" w:sz="2" w:space="0" w:color="AAAAAA"/>
              <w:left w:val="nil"/>
              <w:bottom w:val="single" w:sz="2" w:space="0" w:color="AAAAAA"/>
              <w:right w:val="nil"/>
            </w:tcBorders>
            <w:tcMar>
              <w:top w:w="60" w:type="dxa"/>
              <w:left w:w="120" w:type="dxa"/>
              <w:bottom w:w="60" w:type="dxa"/>
              <w:right w:w="120" w:type="dxa"/>
            </w:tcMar>
          </w:tcPr>
          <w:p w14:paraId="47BF5B61"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w:t>
            </w:r>
          </w:p>
        </w:tc>
        <w:tc>
          <w:tcPr>
            <w:tcW w:w="1435" w:type="dxa"/>
            <w:tcBorders>
              <w:top w:val="single" w:sz="2" w:space="0" w:color="AAAAAA"/>
              <w:left w:val="nil"/>
              <w:bottom w:val="single" w:sz="2" w:space="0" w:color="AAAAAA"/>
              <w:right w:val="nil"/>
            </w:tcBorders>
            <w:tcMar>
              <w:top w:w="60" w:type="dxa"/>
              <w:left w:w="120" w:type="dxa"/>
              <w:bottom w:w="60" w:type="dxa"/>
              <w:right w:w="120" w:type="dxa"/>
            </w:tcMar>
          </w:tcPr>
          <w:p w14:paraId="13217980"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 Small</w:t>
            </w:r>
          </w:p>
        </w:tc>
      </w:tr>
      <w:tr w:rsidR="00EA5A8D" w:rsidRPr="00EA5A8D" w14:paraId="4930C2D8" w14:textId="77777777" w:rsidTr="00F72FC0">
        <w:tc>
          <w:tcPr>
            <w:tcW w:w="1843" w:type="dxa"/>
            <w:tcBorders>
              <w:top w:val="single" w:sz="2" w:space="0" w:color="AAAAAA"/>
              <w:left w:val="nil"/>
              <w:bottom w:val="single" w:sz="2" w:space="0" w:color="AAAAAA"/>
              <w:right w:val="nil"/>
            </w:tcBorders>
            <w:tcMar>
              <w:top w:w="60" w:type="dxa"/>
              <w:left w:w="120" w:type="dxa"/>
              <w:bottom w:w="60" w:type="dxa"/>
              <w:right w:w="120" w:type="dxa"/>
            </w:tcMar>
          </w:tcPr>
          <w:p w14:paraId="271679DB" w14:textId="77777777" w:rsidR="00EA5A8D" w:rsidRPr="00274B66" w:rsidRDefault="00EA5A8D" w:rsidP="00EA5A8D">
            <w:pPr>
              <w:spacing w:before="40" w:after="40"/>
              <w:rPr>
                <w:rFonts w:eastAsia="Arial"/>
                <w:sz w:val="20"/>
                <w:szCs w:val="20"/>
                <w:lang w:eastAsia="en-IN" w:bidi="hi-IN"/>
              </w:rPr>
            </w:pPr>
            <w:r w:rsidRPr="00274B66">
              <w:rPr>
                <w:rFonts w:eastAsia="Arial"/>
                <w:sz w:val="20"/>
                <w:szCs w:val="20"/>
                <w:lang w:eastAsia="en-IN" w:bidi="hi-IN"/>
              </w:rPr>
              <w:t>Garg et al. 2018</w:t>
            </w:r>
          </w:p>
        </w:tc>
        <w:tc>
          <w:tcPr>
            <w:tcW w:w="553" w:type="dxa"/>
            <w:tcBorders>
              <w:top w:val="single" w:sz="2" w:space="0" w:color="AAAAAA"/>
              <w:left w:val="nil"/>
              <w:bottom w:val="single" w:sz="2" w:space="0" w:color="AAAAAA"/>
              <w:right w:val="nil"/>
            </w:tcBorders>
            <w:tcMar>
              <w:top w:w="60" w:type="dxa"/>
              <w:left w:w="120" w:type="dxa"/>
              <w:bottom w:w="60" w:type="dxa"/>
              <w:right w:w="120" w:type="dxa"/>
            </w:tcMar>
          </w:tcPr>
          <w:p w14:paraId="244D94A3"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24</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4F4BEF08"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0.49</w:t>
            </w:r>
          </w:p>
        </w:tc>
        <w:tc>
          <w:tcPr>
            <w:tcW w:w="1023" w:type="dxa"/>
            <w:tcBorders>
              <w:top w:val="single" w:sz="2" w:space="0" w:color="AAAAAA"/>
              <w:left w:val="nil"/>
              <w:bottom w:val="single" w:sz="2" w:space="0" w:color="AAAAAA"/>
              <w:right w:val="nil"/>
            </w:tcBorders>
            <w:tcMar>
              <w:top w:w="60" w:type="dxa"/>
              <w:left w:w="120" w:type="dxa"/>
              <w:bottom w:w="60" w:type="dxa"/>
              <w:right w:w="120" w:type="dxa"/>
            </w:tcMar>
          </w:tcPr>
          <w:p w14:paraId="2F1DDA21"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0.35 – 0.64</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2745DDC3"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99.0</w:t>
            </w:r>
          </w:p>
        </w:tc>
        <w:tc>
          <w:tcPr>
            <w:tcW w:w="1240" w:type="dxa"/>
            <w:tcBorders>
              <w:top w:val="single" w:sz="2" w:space="0" w:color="AAAAAA"/>
              <w:left w:val="nil"/>
              <w:bottom w:val="single" w:sz="2" w:space="0" w:color="AAAAAA"/>
              <w:right w:val="nil"/>
            </w:tcBorders>
            <w:tcMar>
              <w:top w:w="60" w:type="dxa"/>
              <w:left w:w="120" w:type="dxa"/>
              <w:bottom w:w="60" w:type="dxa"/>
              <w:right w:w="120" w:type="dxa"/>
            </w:tcMar>
          </w:tcPr>
          <w:p w14:paraId="3E59370A"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0.13</w:t>
            </w:r>
          </w:p>
        </w:tc>
        <w:tc>
          <w:tcPr>
            <w:tcW w:w="1386" w:type="dxa"/>
            <w:tcBorders>
              <w:top w:val="single" w:sz="2" w:space="0" w:color="AAAAAA"/>
              <w:left w:val="nil"/>
              <w:bottom w:val="single" w:sz="2" w:space="0" w:color="AAAAAA"/>
              <w:right w:val="nil"/>
            </w:tcBorders>
            <w:tcMar>
              <w:top w:w="60" w:type="dxa"/>
              <w:left w:w="120" w:type="dxa"/>
              <w:bottom w:w="60" w:type="dxa"/>
              <w:right w:w="120" w:type="dxa"/>
            </w:tcMar>
          </w:tcPr>
          <w:p w14:paraId="7FA1531F"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w:t>
            </w:r>
          </w:p>
        </w:tc>
        <w:tc>
          <w:tcPr>
            <w:tcW w:w="1435" w:type="dxa"/>
            <w:tcBorders>
              <w:top w:val="single" w:sz="2" w:space="0" w:color="AAAAAA"/>
              <w:left w:val="nil"/>
              <w:bottom w:val="single" w:sz="2" w:space="0" w:color="AAAAAA"/>
              <w:right w:val="nil"/>
            </w:tcBorders>
            <w:tcMar>
              <w:top w:w="60" w:type="dxa"/>
              <w:left w:w="120" w:type="dxa"/>
              <w:bottom w:w="60" w:type="dxa"/>
              <w:right w:w="120" w:type="dxa"/>
            </w:tcMar>
          </w:tcPr>
          <w:p w14:paraId="6AFEB9F4"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 Small</w:t>
            </w:r>
          </w:p>
        </w:tc>
      </w:tr>
      <w:tr w:rsidR="00EA5A8D" w:rsidRPr="00EA5A8D" w14:paraId="5C2230D8" w14:textId="77777777" w:rsidTr="00F72FC0">
        <w:tc>
          <w:tcPr>
            <w:tcW w:w="184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EAFC663" w14:textId="77777777" w:rsidR="00EA5A8D" w:rsidRPr="00274B66" w:rsidRDefault="00EA5A8D" w:rsidP="00EA5A8D">
            <w:pPr>
              <w:spacing w:before="40" w:after="40"/>
              <w:rPr>
                <w:rFonts w:eastAsia="Arial"/>
                <w:sz w:val="20"/>
                <w:szCs w:val="20"/>
                <w:lang w:eastAsia="en-IN" w:bidi="hi-IN"/>
              </w:rPr>
            </w:pPr>
            <w:r w:rsidRPr="00274B66">
              <w:rPr>
                <w:rFonts w:eastAsia="Arial"/>
                <w:sz w:val="20"/>
                <w:szCs w:val="20"/>
                <w:lang w:eastAsia="en-IN" w:bidi="hi-IN"/>
              </w:rPr>
              <w:t>Sung et al. 2020</w:t>
            </w:r>
          </w:p>
        </w:tc>
        <w:tc>
          <w:tcPr>
            <w:tcW w:w="5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85AAFB6"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24</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A13BABF"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0.55</w:t>
            </w:r>
          </w:p>
        </w:tc>
        <w:tc>
          <w:tcPr>
            <w:tcW w:w="102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1F02539"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0.39 – 0.71</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54D0F504"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99.1</w:t>
            </w:r>
          </w:p>
        </w:tc>
        <w:tc>
          <w:tcPr>
            <w:tcW w:w="12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F547736"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0.14</w:t>
            </w:r>
          </w:p>
        </w:tc>
        <w:tc>
          <w:tcPr>
            <w:tcW w:w="1386"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66E4DE1"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w:t>
            </w:r>
          </w:p>
        </w:tc>
        <w:tc>
          <w:tcPr>
            <w:tcW w:w="1435"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20AE5C93"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 Minimal</w:t>
            </w:r>
          </w:p>
        </w:tc>
      </w:tr>
      <w:tr w:rsidR="00EA5A8D" w:rsidRPr="00EA5A8D" w14:paraId="03C9740D" w14:textId="77777777" w:rsidTr="00F72FC0">
        <w:tc>
          <w:tcPr>
            <w:tcW w:w="1843" w:type="dxa"/>
            <w:tcBorders>
              <w:top w:val="single" w:sz="2" w:space="0" w:color="AAAAAA"/>
              <w:left w:val="nil"/>
              <w:bottom w:val="single" w:sz="2" w:space="0" w:color="AAAAAA"/>
              <w:right w:val="nil"/>
            </w:tcBorders>
            <w:tcMar>
              <w:top w:w="60" w:type="dxa"/>
              <w:left w:w="120" w:type="dxa"/>
              <w:bottom w:w="60" w:type="dxa"/>
              <w:right w:w="120" w:type="dxa"/>
            </w:tcMar>
          </w:tcPr>
          <w:p w14:paraId="26B8A636" w14:textId="77777777" w:rsidR="00EA5A8D" w:rsidRPr="00274B66" w:rsidRDefault="00EA5A8D" w:rsidP="00EA5A8D">
            <w:pPr>
              <w:spacing w:before="40" w:after="40"/>
              <w:rPr>
                <w:rFonts w:eastAsia="Arial"/>
                <w:sz w:val="20"/>
                <w:szCs w:val="20"/>
                <w:lang w:eastAsia="en-IN" w:bidi="hi-IN"/>
              </w:rPr>
            </w:pPr>
            <w:r w:rsidRPr="00274B66">
              <w:rPr>
                <w:rFonts w:eastAsia="Arial"/>
                <w:sz w:val="20"/>
                <w:szCs w:val="20"/>
                <w:lang w:eastAsia="en-IN" w:bidi="hi-IN"/>
              </w:rPr>
              <w:t>Zakareya et al. 2021</w:t>
            </w:r>
          </w:p>
        </w:tc>
        <w:tc>
          <w:tcPr>
            <w:tcW w:w="553" w:type="dxa"/>
            <w:tcBorders>
              <w:top w:val="single" w:sz="2" w:space="0" w:color="AAAAAA"/>
              <w:left w:val="nil"/>
              <w:bottom w:val="single" w:sz="2" w:space="0" w:color="AAAAAA"/>
              <w:right w:val="nil"/>
            </w:tcBorders>
            <w:tcMar>
              <w:top w:w="60" w:type="dxa"/>
              <w:left w:w="120" w:type="dxa"/>
              <w:bottom w:w="60" w:type="dxa"/>
              <w:right w:w="120" w:type="dxa"/>
            </w:tcMar>
          </w:tcPr>
          <w:p w14:paraId="14CD33FF"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24</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1F5070F7"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0.55</w:t>
            </w:r>
          </w:p>
        </w:tc>
        <w:tc>
          <w:tcPr>
            <w:tcW w:w="1023" w:type="dxa"/>
            <w:tcBorders>
              <w:top w:val="single" w:sz="2" w:space="0" w:color="AAAAAA"/>
              <w:left w:val="nil"/>
              <w:bottom w:val="single" w:sz="2" w:space="0" w:color="AAAAAA"/>
              <w:right w:val="nil"/>
            </w:tcBorders>
            <w:tcMar>
              <w:top w:w="60" w:type="dxa"/>
              <w:left w:w="120" w:type="dxa"/>
              <w:bottom w:w="60" w:type="dxa"/>
              <w:right w:w="120" w:type="dxa"/>
            </w:tcMar>
          </w:tcPr>
          <w:p w14:paraId="6C0A7777"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0.39 – 0.71</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6895F1DC"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99.1</w:t>
            </w:r>
          </w:p>
        </w:tc>
        <w:tc>
          <w:tcPr>
            <w:tcW w:w="1240" w:type="dxa"/>
            <w:tcBorders>
              <w:top w:val="single" w:sz="2" w:space="0" w:color="AAAAAA"/>
              <w:left w:val="nil"/>
              <w:bottom w:val="single" w:sz="2" w:space="0" w:color="AAAAAA"/>
              <w:right w:val="nil"/>
            </w:tcBorders>
            <w:tcMar>
              <w:top w:w="60" w:type="dxa"/>
              <w:left w:w="120" w:type="dxa"/>
              <w:bottom w:w="60" w:type="dxa"/>
              <w:right w:w="120" w:type="dxa"/>
            </w:tcMar>
          </w:tcPr>
          <w:p w14:paraId="5B6C78D6"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0.14</w:t>
            </w:r>
          </w:p>
        </w:tc>
        <w:tc>
          <w:tcPr>
            <w:tcW w:w="1386" w:type="dxa"/>
            <w:tcBorders>
              <w:top w:val="single" w:sz="2" w:space="0" w:color="AAAAAA"/>
              <w:left w:val="nil"/>
              <w:bottom w:val="single" w:sz="2" w:space="0" w:color="AAAAAA"/>
              <w:right w:val="nil"/>
            </w:tcBorders>
            <w:tcMar>
              <w:top w:w="60" w:type="dxa"/>
              <w:left w:w="120" w:type="dxa"/>
              <w:bottom w:w="60" w:type="dxa"/>
              <w:right w:w="120" w:type="dxa"/>
            </w:tcMar>
          </w:tcPr>
          <w:p w14:paraId="6B648381"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325.50 (&lt;.0001)</w:t>
            </w:r>
          </w:p>
        </w:tc>
        <w:tc>
          <w:tcPr>
            <w:tcW w:w="1435" w:type="dxa"/>
            <w:tcBorders>
              <w:top w:val="single" w:sz="2" w:space="0" w:color="AAAAAA"/>
              <w:left w:val="nil"/>
              <w:bottom w:val="single" w:sz="2" w:space="0" w:color="AAAAAA"/>
              <w:right w:val="nil"/>
            </w:tcBorders>
            <w:tcMar>
              <w:top w:w="60" w:type="dxa"/>
              <w:left w:w="120" w:type="dxa"/>
              <w:bottom w:w="60" w:type="dxa"/>
              <w:right w:w="120" w:type="dxa"/>
            </w:tcMar>
          </w:tcPr>
          <w:p w14:paraId="0A15DCEF"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 Minimal</w:t>
            </w:r>
          </w:p>
        </w:tc>
      </w:tr>
      <w:tr w:rsidR="00EA5A8D" w:rsidRPr="00EA5A8D" w14:paraId="552A91DC" w14:textId="77777777" w:rsidTr="00F72FC0">
        <w:tc>
          <w:tcPr>
            <w:tcW w:w="184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275C52D" w14:textId="77777777" w:rsidR="00EA5A8D" w:rsidRPr="00274B66" w:rsidRDefault="00EA5A8D" w:rsidP="00EA5A8D">
            <w:pPr>
              <w:spacing w:before="40" w:after="40"/>
              <w:rPr>
                <w:rFonts w:eastAsia="Arial"/>
                <w:sz w:val="20"/>
                <w:szCs w:val="20"/>
                <w:lang w:eastAsia="en-IN" w:bidi="hi-IN"/>
              </w:rPr>
            </w:pPr>
            <w:proofErr w:type="spellStart"/>
            <w:r w:rsidRPr="00274B66">
              <w:rPr>
                <w:rFonts w:eastAsia="Arial"/>
                <w:sz w:val="20"/>
                <w:szCs w:val="20"/>
                <w:lang w:eastAsia="en-IN" w:bidi="hi-IN"/>
              </w:rPr>
              <w:t>Dashjamts</w:t>
            </w:r>
            <w:proofErr w:type="spellEnd"/>
            <w:r w:rsidRPr="00274B66">
              <w:rPr>
                <w:rFonts w:eastAsia="Arial"/>
                <w:sz w:val="20"/>
                <w:szCs w:val="20"/>
                <w:lang w:eastAsia="en-IN" w:bidi="hi-IN"/>
              </w:rPr>
              <w:t xml:space="preserve"> et al. 2025</w:t>
            </w:r>
          </w:p>
        </w:tc>
        <w:tc>
          <w:tcPr>
            <w:tcW w:w="5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5B1A40DD"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24</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9373F3F"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0.55</w:t>
            </w:r>
          </w:p>
        </w:tc>
        <w:tc>
          <w:tcPr>
            <w:tcW w:w="102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7820902"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0.38 – 0.71</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52A0899C"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99.1</w:t>
            </w:r>
          </w:p>
        </w:tc>
        <w:tc>
          <w:tcPr>
            <w:tcW w:w="12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3CC177C"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0.14</w:t>
            </w:r>
          </w:p>
        </w:tc>
        <w:tc>
          <w:tcPr>
            <w:tcW w:w="1386"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7ADECE0"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w:t>
            </w:r>
          </w:p>
        </w:tc>
        <w:tc>
          <w:tcPr>
            <w:tcW w:w="1435"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6653EE4"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 Minimal</w:t>
            </w:r>
          </w:p>
        </w:tc>
      </w:tr>
      <w:tr w:rsidR="00EA5A8D" w:rsidRPr="00EA5A8D" w14:paraId="07D7E038" w14:textId="77777777" w:rsidTr="00F72FC0">
        <w:tc>
          <w:tcPr>
            <w:tcW w:w="1843" w:type="dxa"/>
            <w:tcBorders>
              <w:top w:val="single" w:sz="2" w:space="0" w:color="AAAAAA"/>
              <w:left w:val="nil"/>
              <w:bottom w:val="single" w:sz="2" w:space="0" w:color="AAAAAA"/>
              <w:right w:val="nil"/>
            </w:tcBorders>
            <w:tcMar>
              <w:top w:w="60" w:type="dxa"/>
              <w:left w:w="120" w:type="dxa"/>
              <w:bottom w:w="60" w:type="dxa"/>
              <w:right w:w="120" w:type="dxa"/>
            </w:tcMar>
          </w:tcPr>
          <w:p w14:paraId="5D2A8760" w14:textId="77777777" w:rsidR="00EA5A8D" w:rsidRPr="00274B66" w:rsidRDefault="00EA5A8D" w:rsidP="00EA5A8D">
            <w:pPr>
              <w:spacing w:before="40" w:after="40"/>
              <w:rPr>
                <w:rFonts w:eastAsia="Arial"/>
                <w:sz w:val="20"/>
                <w:szCs w:val="20"/>
                <w:lang w:eastAsia="en-IN" w:bidi="hi-IN"/>
              </w:rPr>
            </w:pPr>
            <w:proofErr w:type="spellStart"/>
            <w:r w:rsidRPr="00274B66">
              <w:rPr>
                <w:rFonts w:eastAsia="Arial"/>
                <w:sz w:val="20"/>
                <w:szCs w:val="20"/>
                <w:lang w:eastAsia="en-IN" w:bidi="hi-IN"/>
              </w:rPr>
              <w:t>Huiban</w:t>
            </w:r>
            <w:proofErr w:type="spellEnd"/>
            <w:r w:rsidRPr="00274B66">
              <w:rPr>
                <w:rFonts w:eastAsia="Arial"/>
                <w:sz w:val="20"/>
                <w:szCs w:val="20"/>
                <w:lang w:eastAsia="en-IN" w:bidi="hi-IN"/>
              </w:rPr>
              <w:t xml:space="preserve"> et al. 2024</w:t>
            </w:r>
          </w:p>
        </w:tc>
        <w:tc>
          <w:tcPr>
            <w:tcW w:w="553" w:type="dxa"/>
            <w:tcBorders>
              <w:top w:val="single" w:sz="2" w:space="0" w:color="AAAAAA"/>
              <w:left w:val="nil"/>
              <w:bottom w:val="single" w:sz="2" w:space="0" w:color="AAAAAA"/>
              <w:right w:val="nil"/>
            </w:tcBorders>
            <w:tcMar>
              <w:top w:w="60" w:type="dxa"/>
              <w:left w:w="120" w:type="dxa"/>
              <w:bottom w:w="60" w:type="dxa"/>
              <w:right w:w="120" w:type="dxa"/>
            </w:tcMar>
          </w:tcPr>
          <w:p w14:paraId="439861A4"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24</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47E69C68"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0.50</w:t>
            </w:r>
          </w:p>
        </w:tc>
        <w:tc>
          <w:tcPr>
            <w:tcW w:w="1023" w:type="dxa"/>
            <w:tcBorders>
              <w:top w:val="single" w:sz="2" w:space="0" w:color="AAAAAA"/>
              <w:left w:val="nil"/>
              <w:bottom w:val="single" w:sz="2" w:space="0" w:color="AAAAAA"/>
              <w:right w:val="nil"/>
            </w:tcBorders>
            <w:tcMar>
              <w:top w:w="60" w:type="dxa"/>
              <w:left w:w="120" w:type="dxa"/>
              <w:bottom w:w="60" w:type="dxa"/>
              <w:right w:w="120" w:type="dxa"/>
            </w:tcMar>
          </w:tcPr>
          <w:p w14:paraId="750B14B9"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0.35 – 0.66</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45270055"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99.0</w:t>
            </w:r>
          </w:p>
        </w:tc>
        <w:tc>
          <w:tcPr>
            <w:tcW w:w="1240" w:type="dxa"/>
            <w:tcBorders>
              <w:top w:val="single" w:sz="2" w:space="0" w:color="AAAAAA"/>
              <w:left w:val="nil"/>
              <w:bottom w:val="single" w:sz="2" w:space="0" w:color="AAAAAA"/>
              <w:right w:val="nil"/>
            </w:tcBorders>
            <w:tcMar>
              <w:top w:w="60" w:type="dxa"/>
              <w:left w:w="120" w:type="dxa"/>
              <w:bottom w:w="60" w:type="dxa"/>
              <w:right w:w="120" w:type="dxa"/>
            </w:tcMar>
          </w:tcPr>
          <w:p w14:paraId="044491ED"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0.13</w:t>
            </w:r>
          </w:p>
        </w:tc>
        <w:tc>
          <w:tcPr>
            <w:tcW w:w="1386" w:type="dxa"/>
            <w:tcBorders>
              <w:top w:val="single" w:sz="2" w:space="0" w:color="AAAAAA"/>
              <w:left w:val="nil"/>
              <w:bottom w:val="single" w:sz="2" w:space="0" w:color="AAAAAA"/>
              <w:right w:val="nil"/>
            </w:tcBorders>
            <w:tcMar>
              <w:top w:w="60" w:type="dxa"/>
              <w:left w:w="120" w:type="dxa"/>
              <w:bottom w:w="60" w:type="dxa"/>
              <w:right w:w="120" w:type="dxa"/>
            </w:tcMar>
          </w:tcPr>
          <w:p w14:paraId="559EEACB"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341.79 (&lt;.0001)</w:t>
            </w:r>
          </w:p>
        </w:tc>
        <w:tc>
          <w:tcPr>
            <w:tcW w:w="1435" w:type="dxa"/>
            <w:tcBorders>
              <w:top w:val="single" w:sz="2" w:space="0" w:color="AAAAAA"/>
              <w:left w:val="nil"/>
              <w:bottom w:val="single" w:sz="2" w:space="0" w:color="AAAAAA"/>
              <w:right w:val="nil"/>
            </w:tcBorders>
            <w:tcMar>
              <w:top w:w="60" w:type="dxa"/>
              <w:left w:w="120" w:type="dxa"/>
              <w:bottom w:w="60" w:type="dxa"/>
              <w:right w:w="120" w:type="dxa"/>
            </w:tcMar>
          </w:tcPr>
          <w:p w14:paraId="4CA24257"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 Small</w:t>
            </w:r>
          </w:p>
        </w:tc>
      </w:tr>
      <w:tr w:rsidR="00EA5A8D" w:rsidRPr="00EA5A8D" w14:paraId="4D299C12" w14:textId="77777777" w:rsidTr="00F72FC0">
        <w:tc>
          <w:tcPr>
            <w:tcW w:w="184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FC18B4C" w14:textId="77777777" w:rsidR="00EA5A8D" w:rsidRPr="00274B66" w:rsidRDefault="00EA5A8D" w:rsidP="00EA5A8D">
            <w:pPr>
              <w:spacing w:before="40" w:after="40"/>
              <w:rPr>
                <w:rFonts w:eastAsia="Arial"/>
                <w:sz w:val="20"/>
                <w:szCs w:val="20"/>
                <w:lang w:eastAsia="en-IN" w:bidi="hi-IN"/>
              </w:rPr>
            </w:pPr>
            <w:r w:rsidRPr="00274B66">
              <w:rPr>
                <w:rFonts w:eastAsia="Arial"/>
                <w:sz w:val="20"/>
                <w:szCs w:val="20"/>
                <w:lang w:eastAsia="en-IN" w:bidi="hi-IN"/>
              </w:rPr>
              <w:t>Lee et al. 2025</w:t>
            </w:r>
          </w:p>
        </w:tc>
        <w:tc>
          <w:tcPr>
            <w:tcW w:w="5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3F09E356"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24</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963367A"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0.55</w:t>
            </w:r>
          </w:p>
        </w:tc>
        <w:tc>
          <w:tcPr>
            <w:tcW w:w="102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E2DD729"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0.39 – 0.71</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FA42F03"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99.1</w:t>
            </w:r>
          </w:p>
        </w:tc>
        <w:tc>
          <w:tcPr>
            <w:tcW w:w="12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08AC6E52"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0.14</w:t>
            </w:r>
          </w:p>
        </w:tc>
        <w:tc>
          <w:tcPr>
            <w:tcW w:w="1386"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5A10E660"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342.01 (&lt;.0001)</w:t>
            </w:r>
          </w:p>
        </w:tc>
        <w:tc>
          <w:tcPr>
            <w:tcW w:w="1435"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5562DF9E"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 Minimal</w:t>
            </w:r>
          </w:p>
        </w:tc>
      </w:tr>
      <w:tr w:rsidR="00EA5A8D" w:rsidRPr="00EA5A8D" w14:paraId="1FFEAB6C" w14:textId="77777777" w:rsidTr="00F72FC0">
        <w:tc>
          <w:tcPr>
            <w:tcW w:w="1843" w:type="dxa"/>
            <w:tcBorders>
              <w:top w:val="single" w:sz="2" w:space="0" w:color="AAAAAA"/>
              <w:left w:val="nil"/>
              <w:bottom w:val="single" w:sz="2" w:space="0" w:color="AAAAAA"/>
              <w:right w:val="nil"/>
            </w:tcBorders>
            <w:tcMar>
              <w:top w:w="60" w:type="dxa"/>
              <w:left w:w="120" w:type="dxa"/>
              <w:bottom w:w="60" w:type="dxa"/>
              <w:right w:w="120" w:type="dxa"/>
            </w:tcMar>
          </w:tcPr>
          <w:p w14:paraId="5055390D" w14:textId="77777777" w:rsidR="00EA5A8D" w:rsidRPr="00274B66" w:rsidRDefault="00EA5A8D" w:rsidP="00EA5A8D">
            <w:pPr>
              <w:spacing w:before="40" w:after="40"/>
              <w:rPr>
                <w:rFonts w:eastAsia="Arial"/>
                <w:sz w:val="20"/>
                <w:szCs w:val="20"/>
                <w:lang w:eastAsia="en-IN" w:bidi="hi-IN"/>
              </w:rPr>
            </w:pPr>
            <w:r w:rsidRPr="00274B66">
              <w:rPr>
                <w:rFonts w:eastAsia="Arial"/>
                <w:b/>
                <w:bCs/>
                <w:sz w:val="20"/>
                <w:szCs w:val="20"/>
                <w:lang w:eastAsia="en-IN" w:bidi="hi-IN"/>
              </w:rPr>
              <w:t>All outliers removed (n=8)</w:t>
            </w:r>
          </w:p>
        </w:tc>
        <w:tc>
          <w:tcPr>
            <w:tcW w:w="553" w:type="dxa"/>
            <w:tcBorders>
              <w:top w:val="single" w:sz="2" w:space="0" w:color="AAAAAA"/>
              <w:left w:val="nil"/>
              <w:bottom w:val="single" w:sz="2" w:space="0" w:color="AAAAAA"/>
              <w:right w:val="nil"/>
            </w:tcBorders>
            <w:tcMar>
              <w:top w:w="60" w:type="dxa"/>
              <w:left w:w="120" w:type="dxa"/>
              <w:bottom w:w="60" w:type="dxa"/>
              <w:right w:w="120" w:type="dxa"/>
            </w:tcMar>
          </w:tcPr>
          <w:p w14:paraId="707A91BE"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17</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2936270D"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0.42</w:t>
            </w:r>
          </w:p>
        </w:tc>
        <w:tc>
          <w:tcPr>
            <w:tcW w:w="1023" w:type="dxa"/>
            <w:tcBorders>
              <w:top w:val="single" w:sz="2" w:space="0" w:color="AAAAAA"/>
              <w:left w:val="nil"/>
              <w:bottom w:val="single" w:sz="2" w:space="0" w:color="AAAAAA"/>
              <w:right w:val="nil"/>
            </w:tcBorders>
            <w:tcMar>
              <w:top w:w="60" w:type="dxa"/>
              <w:left w:w="120" w:type="dxa"/>
              <w:bottom w:w="60" w:type="dxa"/>
              <w:right w:w="120" w:type="dxa"/>
            </w:tcMar>
          </w:tcPr>
          <w:p w14:paraId="1D84EF79"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0.37 – 0.47</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0FE3AEF4"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49.7</w:t>
            </w:r>
          </w:p>
        </w:tc>
        <w:tc>
          <w:tcPr>
            <w:tcW w:w="1240" w:type="dxa"/>
            <w:tcBorders>
              <w:top w:val="single" w:sz="2" w:space="0" w:color="AAAAAA"/>
              <w:left w:val="nil"/>
              <w:bottom w:val="single" w:sz="2" w:space="0" w:color="AAAAAA"/>
              <w:right w:val="nil"/>
            </w:tcBorders>
            <w:tcMar>
              <w:top w:w="60" w:type="dxa"/>
              <w:left w:w="120" w:type="dxa"/>
              <w:bottom w:w="60" w:type="dxa"/>
              <w:right w:w="120" w:type="dxa"/>
            </w:tcMar>
          </w:tcPr>
          <w:p w14:paraId="2CBB90BF"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0.004</w:t>
            </w:r>
          </w:p>
        </w:tc>
        <w:tc>
          <w:tcPr>
            <w:tcW w:w="1386" w:type="dxa"/>
            <w:tcBorders>
              <w:top w:val="single" w:sz="2" w:space="0" w:color="AAAAAA"/>
              <w:left w:val="nil"/>
              <w:bottom w:val="single" w:sz="2" w:space="0" w:color="AAAAAA"/>
              <w:right w:val="nil"/>
            </w:tcBorders>
            <w:tcMar>
              <w:top w:w="60" w:type="dxa"/>
              <w:left w:w="120" w:type="dxa"/>
              <w:bottom w:w="60" w:type="dxa"/>
              <w:right w:w="120" w:type="dxa"/>
            </w:tcMar>
          </w:tcPr>
          <w:p w14:paraId="32ACBB84"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31.76 (.011)</w:t>
            </w:r>
          </w:p>
        </w:tc>
        <w:tc>
          <w:tcPr>
            <w:tcW w:w="1435" w:type="dxa"/>
            <w:tcBorders>
              <w:top w:val="single" w:sz="2" w:space="0" w:color="AAAAAA"/>
              <w:left w:val="nil"/>
              <w:bottom w:val="single" w:sz="2" w:space="0" w:color="AAAAAA"/>
              <w:right w:val="nil"/>
            </w:tcBorders>
            <w:tcMar>
              <w:top w:w="60" w:type="dxa"/>
              <w:left w:w="120" w:type="dxa"/>
              <w:bottom w:w="60" w:type="dxa"/>
              <w:right w:w="120" w:type="dxa"/>
            </w:tcMar>
          </w:tcPr>
          <w:p w14:paraId="27A27F69" w14:textId="77777777" w:rsidR="00EA5A8D" w:rsidRPr="00274B66" w:rsidRDefault="00EA5A8D" w:rsidP="00EA5A8D">
            <w:pPr>
              <w:spacing w:before="40" w:after="40"/>
              <w:jc w:val="center"/>
              <w:rPr>
                <w:rFonts w:eastAsia="Arial"/>
                <w:sz w:val="20"/>
                <w:szCs w:val="20"/>
                <w:lang w:eastAsia="en-IN" w:bidi="hi-IN"/>
              </w:rPr>
            </w:pPr>
            <w:r w:rsidRPr="00274B66">
              <w:rPr>
                <w:rFonts w:eastAsia="Arial"/>
                <w:b/>
                <w:bCs/>
                <w:sz w:val="20"/>
                <w:szCs w:val="20"/>
                <w:lang w:eastAsia="en-IN" w:bidi="hi-IN"/>
              </w:rPr>
              <w:t>↓ Substantial†</w:t>
            </w:r>
          </w:p>
        </w:tc>
      </w:tr>
      <w:tr w:rsidR="00EA5A8D" w:rsidRPr="00EA5A8D" w14:paraId="7BA0F885" w14:textId="77777777" w:rsidTr="00F72FC0">
        <w:tc>
          <w:tcPr>
            <w:tcW w:w="9360" w:type="dxa"/>
            <w:gridSpan w:val="8"/>
            <w:tcBorders>
              <w:top w:val="single" w:sz="4" w:space="0" w:color="2E4057"/>
              <w:left w:val="nil"/>
              <w:bottom w:val="single" w:sz="4" w:space="0" w:color="2E4057"/>
              <w:right w:val="nil"/>
            </w:tcBorders>
            <w:shd w:val="clear" w:color="auto" w:fill="D6E4F0"/>
            <w:tcMar>
              <w:top w:w="60" w:type="dxa"/>
              <w:left w:w="120" w:type="dxa"/>
              <w:bottom w:w="60" w:type="dxa"/>
              <w:right w:w="120" w:type="dxa"/>
            </w:tcMar>
          </w:tcPr>
          <w:p w14:paraId="080324A1" w14:textId="2124C245" w:rsidR="00EA5A8D" w:rsidRPr="00274B66" w:rsidRDefault="00EA5A8D" w:rsidP="00EA5A8D">
            <w:pPr>
              <w:spacing w:before="40" w:after="40"/>
              <w:rPr>
                <w:rFonts w:eastAsia="Arial"/>
                <w:sz w:val="20"/>
                <w:szCs w:val="20"/>
                <w:lang w:eastAsia="en-IN" w:bidi="hi-IN"/>
              </w:rPr>
            </w:pPr>
            <w:r w:rsidRPr="00274B66">
              <w:rPr>
                <w:rFonts w:eastAsia="Arial"/>
                <w:b/>
                <w:bCs/>
                <w:sz w:val="20"/>
                <w:szCs w:val="20"/>
                <w:lang w:eastAsia="en-IN" w:bidi="hi-IN"/>
              </w:rPr>
              <w:t>SVR-24 Cohort (k = 1</w:t>
            </w:r>
            <w:r w:rsidR="00036696">
              <w:rPr>
                <w:rFonts w:eastAsia="Arial"/>
                <w:b/>
                <w:bCs/>
                <w:sz w:val="20"/>
                <w:szCs w:val="20"/>
                <w:lang w:eastAsia="en-IN" w:bidi="hi-IN"/>
              </w:rPr>
              <w:t>5</w:t>
            </w:r>
            <w:r w:rsidRPr="00274B66">
              <w:rPr>
                <w:rFonts w:eastAsia="Arial"/>
                <w:b/>
                <w:bCs/>
                <w:sz w:val="20"/>
                <w:szCs w:val="20"/>
                <w:lang w:eastAsia="en-IN" w:bidi="hi-IN"/>
              </w:rPr>
              <w:t xml:space="preserve"> studies)</w:t>
            </w:r>
          </w:p>
        </w:tc>
      </w:tr>
      <w:tr w:rsidR="00EA5A8D" w:rsidRPr="00EA5A8D" w14:paraId="45167245" w14:textId="77777777" w:rsidTr="00F72FC0">
        <w:tc>
          <w:tcPr>
            <w:tcW w:w="184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96B03D2" w14:textId="77777777" w:rsidR="00EA5A8D" w:rsidRPr="00274B66" w:rsidRDefault="00EA5A8D" w:rsidP="00EA5A8D">
            <w:pPr>
              <w:spacing w:before="40" w:after="40"/>
              <w:rPr>
                <w:rFonts w:eastAsia="Arial"/>
                <w:sz w:val="20"/>
                <w:szCs w:val="20"/>
                <w:lang w:eastAsia="en-IN" w:bidi="hi-IN"/>
              </w:rPr>
            </w:pPr>
            <w:r w:rsidRPr="00274B66">
              <w:rPr>
                <w:rFonts w:eastAsia="Arial"/>
                <w:b/>
                <w:bCs/>
                <w:sz w:val="20"/>
                <w:szCs w:val="20"/>
                <w:lang w:eastAsia="en-IN" w:bidi="hi-IN"/>
              </w:rPr>
              <w:t>All studies included (primary analysis)</w:t>
            </w:r>
          </w:p>
        </w:tc>
        <w:tc>
          <w:tcPr>
            <w:tcW w:w="5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497E72B8" w14:textId="1A3D9DCC"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1</w:t>
            </w:r>
            <w:r w:rsidR="00FC3092">
              <w:rPr>
                <w:rFonts w:eastAsia="Arial"/>
                <w:sz w:val="20"/>
                <w:szCs w:val="20"/>
                <w:lang w:eastAsia="en-IN" w:bidi="hi-IN"/>
              </w:rPr>
              <w:t>5</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303D81C" w14:textId="48DB4E96"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w:t>
            </w:r>
            <w:r w:rsidR="00FC3092">
              <w:rPr>
                <w:rFonts w:eastAsia="Arial"/>
                <w:sz w:val="20"/>
                <w:szCs w:val="20"/>
                <w:lang w:eastAsia="en-IN" w:bidi="hi-IN"/>
              </w:rPr>
              <w:t>54</w:t>
            </w:r>
          </w:p>
        </w:tc>
        <w:tc>
          <w:tcPr>
            <w:tcW w:w="102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58666CB" w14:textId="02F3FEA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0.2</w:t>
            </w:r>
            <w:r w:rsidR="00FC3092">
              <w:rPr>
                <w:rFonts w:eastAsia="Arial"/>
                <w:sz w:val="20"/>
                <w:szCs w:val="20"/>
                <w:lang w:eastAsia="en-IN" w:bidi="hi-IN"/>
              </w:rPr>
              <w:t>2</w:t>
            </w:r>
            <w:r w:rsidRPr="00274B66">
              <w:rPr>
                <w:rFonts w:eastAsia="Arial"/>
                <w:sz w:val="20"/>
                <w:szCs w:val="20"/>
                <w:lang w:eastAsia="en-IN" w:bidi="hi-IN"/>
              </w:rPr>
              <w:t xml:space="preserve"> – </w:t>
            </w:r>
            <w:r w:rsidR="00FC3092">
              <w:rPr>
                <w:rFonts w:eastAsia="Arial"/>
                <w:sz w:val="20"/>
                <w:szCs w:val="20"/>
                <w:lang w:eastAsia="en-IN" w:bidi="hi-IN"/>
              </w:rPr>
              <w:t>0.86</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0222B32" w14:textId="657CF48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99.</w:t>
            </w:r>
            <w:r w:rsidR="00FC3092">
              <w:rPr>
                <w:rFonts w:eastAsia="Arial"/>
                <w:sz w:val="20"/>
                <w:szCs w:val="20"/>
                <w:lang w:eastAsia="en-IN" w:bidi="hi-IN"/>
              </w:rPr>
              <w:t>05</w:t>
            </w:r>
          </w:p>
        </w:tc>
        <w:tc>
          <w:tcPr>
            <w:tcW w:w="12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9E018E0" w14:textId="05BDD12A" w:rsidR="00EA5A8D" w:rsidRPr="00274B66" w:rsidRDefault="00FC3092" w:rsidP="00EA5A8D">
            <w:pPr>
              <w:spacing w:before="40" w:after="40"/>
              <w:jc w:val="center"/>
              <w:rPr>
                <w:rFonts w:eastAsia="Arial"/>
                <w:sz w:val="20"/>
                <w:szCs w:val="20"/>
                <w:lang w:eastAsia="en-IN" w:bidi="hi-IN"/>
              </w:rPr>
            </w:pPr>
            <w:r>
              <w:rPr>
                <w:rFonts w:eastAsia="Arial"/>
                <w:sz w:val="20"/>
                <w:szCs w:val="20"/>
                <w:lang w:eastAsia="en-IN" w:bidi="hi-IN"/>
              </w:rPr>
              <w:t>0.392</w:t>
            </w:r>
          </w:p>
        </w:tc>
        <w:tc>
          <w:tcPr>
            <w:tcW w:w="1386"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4526F894" w14:textId="58780D31" w:rsidR="00EA5A8D" w:rsidRPr="00274B66" w:rsidRDefault="00FC3092" w:rsidP="00EA5A8D">
            <w:pPr>
              <w:spacing w:before="40" w:after="40"/>
              <w:jc w:val="center"/>
              <w:rPr>
                <w:rFonts w:eastAsia="Arial"/>
                <w:sz w:val="20"/>
                <w:szCs w:val="20"/>
                <w:lang w:eastAsia="en-IN" w:bidi="hi-IN"/>
              </w:rPr>
            </w:pPr>
            <w:r>
              <w:rPr>
                <w:rFonts w:eastAsia="Arial"/>
                <w:sz w:val="20"/>
                <w:szCs w:val="20"/>
                <w:lang w:eastAsia="en-IN" w:bidi="hi-IN"/>
              </w:rPr>
              <w:t>195</w:t>
            </w:r>
            <w:r w:rsidR="00EA5A8D" w:rsidRPr="00274B66">
              <w:rPr>
                <w:rFonts w:eastAsia="Arial"/>
                <w:sz w:val="20"/>
                <w:szCs w:val="20"/>
                <w:lang w:eastAsia="en-IN" w:bidi="hi-IN"/>
              </w:rPr>
              <w:t>.5</w:t>
            </w:r>
            <w:r>
              <w:rPr>
                <w:rFonts w:eastAsia="Arial"/>
                <w:sz w:val="20"/>
                <w:szCs w:val="20"/>
                <w:lang w:eastAsia="en-IN" w:bidi="hi-IN"/>
              </w:rPr>
              <w:t>3</w:t>
            </w:r>
            <w:r w:rsidR="00EA5A8D" w:rsidRPr="00274B66">
              <w:rPr>
                <w:rFonts w:eastAsia="Arial"/>
                <w:sz w:val="20"/>
                <w:szCs w:val="20"/>
                <w:lang w:eastAsia="en-IN" w:bidi="hi-IN"/>
              </w:rPr>
              <w:t xml:space="preserve"> (&lt;.0001)</w:t>
            </w:r>
          </w:p>
        </w:tc>
        <w:tc>
          <w:tcPr>
            <w:tcW w:w="1435"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031B303E" w14:textId="77777777"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w:t>
            </w:r>
          </w:p>
        </w:tc>
      </w:tr>
      <w:tr w:rsidR="00EA5A8D" w:rsidRPr="00EA5A8D" w14:paraId="04F9BCDC" w14:textId="77777777" w:rsidTr="00F72FC0">
        <w:tc>
          <w:tcPr>
            <w:tcW w:w="184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3F19ADFE" w14:textId="77777777" w:rsidR="00EA5A8D" w:rsidRPr="00274B66" w:rsidRDefault="00EA5A8D" w:rsidP="00EA5A8D">
            <w:pPr>
              <w:spacing w:before="40" w:after="40"/>
              <w:rPr>
                <w:rFonts w:eastAsia="Arial"/>
                <w:sz w:val="20"/>
                <w:szCs w:val="20"/>
                <w:lang w:eastAsia="en-IN" w:bidi="hi-IN"/>
              </w:rPr>
            </w:pPr>
            <w:proofErr w:type="spellStart"/>
            <w:r w:rsidRPr="00274B66">
              <w:rPr>
                <w:rFonts w:eastAsia="Arial"/>
                <w:sz w:val="20"/>
                <w:szCs w:val="20"/>
                <w:lang w:eastAsia="en-IN" w:bidi="hi-IN"/>
              </w:rPr>
              <w:t>Elkhayat</w:t>
            </w:r>
            <w:proofErr w:type="spellEnd"/>
            <w:r w:rsidRPr="00274B66">
              <w:rPr>
                <w:rFonts w:eastAsia="Arial"/>
                <w:sz w:val="20"/>
                <w:szCs w:val="20"/>
                <w:lang w:eastAsia="en-IN" w:bidi="hi-IN"/>
              </w:rPr>
              <w:t xml:space="preserve"> et al. 2023</w:t>
            </w:r>
          </w:p>
        </w:tc>
        <w:tc>
          <w:tcPr>
            <w:tcW w:w="5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5734B46D" w14:textId="109EE626"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1</w:t>
            </w:r>
            <w:r w:rsidR="00FC3092">
              <w:rPr>
                <w:rFonts w:eastAsia="Arial"/>
                <w:sz w:val="20"/>
                <w:szCs w:val="20"/>
                <w:lang w:eastAsia="en-IN" w:bidi="hi-IN"/>
              </w:rPr>
              <w:t>4</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BFA9A8F" w14:textId="3AEFEF03"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w:t>
            </w:r>
            <w:r w:rsidR="00FC3092">
              <w:rPr>
                <w:rFonts w:eastAsia="Arial"/>
                <w:sz w:val="20"/>
                <w:szCs w:val="20"/>
                <w:lang w:eastAsia="en-IN" w:bidi="hi-IN"/>
              </w:rPr>
              <w:t>36</w:t>
            </w:r>
          </w:p>
        </w:tc>
        <w:tc>
          <w:tcPr>
            <w:tcW w:w="102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8081512" w14:textId="1B476074"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0.</w:t>
            </w:r>
            <w:r w:rsidR="00FC3092">
              <w:rPr>
                <w:rFonts w:eastAsia="Arial"/>
                <w:sz w:val="20"/>
                <w:szCs w:val="20"/>
                <w:lang w:eastAsia="en-IN" w:bidi="hi-IN"/>
              </w:rPr>
              <w:t>29</w:t>
            </w:r>
            <w:r w:rsidRPr="00274B66">
              <w:rPr>
                <w:rFonts w:eastAsia="Arial"/>
                <w:sz w:val="20"/>
                <w:szCs w:val="20"/>
                <w:lang w:eastAsia="en-IN" w:bidi="hi-IN"/>
              </w:rPr>
              <w:t xml:space="preserve"> – </w:t>
            </w:r>
            <w:r w:rsidR="00FC3092">
              <w:rPr>
                <w:rFonts w:eastAsia="Arial"/>
                <w:sz w:val="20"/>
                <w:szCs w:val="20"/>
                <w:lang w:eastAsia="en-IN" w:bidi="hi-IN"/>
              </w:rPr>
              <w:t>0</w:t>
            </w:r>
            <w:r w:rsidRPr="00274B66">
              <w:rPr>
                <w:rFonts w:eastAsia="Arial"/>
                <w:sz w:val="20"/>
                <w:szCs w:val="20"/>
                <w:lang w:eastAsia="en-IN" w:bidi="hi-IN"/>
              </w:rPr>
              <w:t>.</w:t>
            </w:r>
            <w:r w:rsidR="00FC3092">
              <w:rPr>
                <w:rFonts w:eastAsia="Arial"/>
                <w:sz w:val="20"/>
                <w:szCs w:val="20"/>
                <w:lang w:eastAsia="en-IN" w:bidi="hi-IN"/>
              </w:rPr>
              <w:t>42</w:t>
            </w:r>
          </w:p>
        </w:tc>
        <w:tc>
          <w:tcPr>
            <w:tcW w:w="9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91D4B6C" w14:textId="1C4BF073" w:rsidR="00EA5A8D" w:rsidRPr="00274B66" w:rsidRDefault="00FC3092" w:rsidP="00EA5A8D">
            <w:pPr>
              <w:spacing w:before="40" w:after="40"/>
              <w:jc w:val="center"/>
              <w:rPr>
                <w:rFonts w:eastAsia="Arial"/>
                <w:sz w:val="20"/>
                <w:szCs w:val="20"/>
                <w:lang w:eastAsia="en-IN" w:bidi="hi-IN"/>
              </w:rPr>
            </w:pPr>
            <w:r>
              <w:rPr>
                <w:rFonts w:eastAsia="Arial"/>
                <w:sz w:val="20"/>
                <w:szCs w:val="20"/>
                <w:lang w:eastAsia="en-IN" w:bidi="hi-IN"/>
              </w:rPr>
              <w:t>71.6</w:t>
            </w:r>
          </w:p>
        </w:tc>
        <w:tc>
          <w:tcPr>
            <w:tcW w:w="12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23E3600D" w14:textId="285428FF" w:rsidR="00EA5A8D" w:rsidRPr="00274B66" w:rsidRDefault="00FC3092" w:rsidP="00EA5A8D">
            <w:pPr>
              <w:spacing w:before="40" w:after="40"/>
              <w:jc w:val="center"/>
              <w:rPr>
                <w:rFonts w:eastAsia="Arial"/>
                <w:sz w:val="20"/>
                <w:szCs w:val="20"/>
                <w:lang w:eastAsia="en-IN" w:bidi="hi-IN"/>
              </w:rPr>
            </w:pPr>
            <w:r>
              <w:rPr>
                <w:rFonts w:eastAsia="Arial"/>
                <w:sz w:val="20"/>
                <w:szCs w:val="20"/>
                <w:lang w:eastAsia="en-IN" w:bidi="hi-IN"/>
              </w:rPr>
              <w:t>0.0089</w:t>
            </w:r>
          </w:p>
        </w:tc>
        <w:tc>
          <w:tcPr>
            <w:tcW w:w="1386"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64E8A930" w14:textId="3134D9B2" w:rsidR="00EA5A8D" w:rsidRPr="00274B66" w:rsidRDefault="00FC3092" w:rsidP="00EA5A8D">
            <w:pPr>
              <w:spacing w:before="40" w:after="40"/>
              <w:jc w:val="center"/>
              <w:rPr>
                <w:rFonts w:eastAsia="Arial"/>
                <w:sz w:val="20"/>
                <w:szCs w:val="20"/>
                <w:lang w:eastAsia="en-IN" w:bidi="hi-IN"/>
              </w:rPr>
            </w:pPr>
            <w:r>
              <w:rPr>
                <w:rFonts w:eastAsia="Arial"/>
                <w:sz w:val="20"/>
                <w:szCs w:val="20"/>
                <w:lang w:eastAsia="en-IN" w:bidi="hi-IN"/>
              </w:rPr>
              <w:t>52.008</w:t>
            </w:r>
            <w:r w:rsidR="00EA5A8D" w:rsidRPr="00274B66">
              <w:rPr>
                <w:rFonts w:eastAsia="Arial"/>
                <w:sz w:val="20"/>
                <w:szCs w:val="20"/>
                <w:lang w:eastAsia="en-IN" w:bidi="hi-IN"/>
              </w:rPr>
              <w:t xml:space="preserve"> (&lt;.0001)</w:t>
            </w:r>
          </w:p>
        </w:tc>
        <w:tc>
          <w:tcPr>
            <w:tcW w:w="1435"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4CAF87CE" w14:textId="53905A3A" w:rsidR="00EA5A8D" w:rsidRPr="00274B66" w:rsidRDefault="00EA5A8D" w:rsidP="00EA5A8D">
            <w:pPr>
              <w:spacing w:before="40" w:after="40"/>
              <w:jc w:val="center"/>
              <w:rPr>
                <w:rFonts w:eastAsia="Arial"/>
                <w:sz w:val="20"/>
                <w:szCs w:val="20"/>
                <w:lang w:eastAsia="en-IN" w:bidi="hi-IN"/>
              </w:rPr>
            </w:pPr>
            <w:r w:rsidRPr="00274B66">
              <w:rPr>
                <w:rFonts w:eastAsia="Arial"/>
                <w:sz w:val="20"/>
                <w:szCs w:val="20"/>
                <w:lang w:eastAsia="en-IN" w:bidi="hi-IN"/>
              </w:rPr>
              <w:t xml:space="preserve">↓ </w:t>
            </w:r>
            <w:r w:rsidR="00036696" w:rsidRPr="00036696">
              <w:rPr>
                <w:rFonts w:eastAsia="Arial"/>
                <w:sz w:val="20"/>
                <w:szCs w:val="20"/>
                <w:lang w:eastAsia="en-IN" w:bidi="hi-IN"/>
              </w:rPr>
              <w:t>Substantial</w:t>
            </w:r>
            <w:r w:rsidR="00036696" w:rsidRPr="00036696" w:rsidDel="00036696">
              <w:rPr>
                <w:rFonts w:eastAsia="Arial"/>
                <w:sz w:val="20"/>
                <w:szCs w:val="20"/>
                <w:lang w:eastAsia="en-IN" w:bidi="hi-IN"/>
              </w:rPr>
              <w:t xml:space="preserve"> </w:t>
            </w:r>
            <w:r w:rsidRPr="00274B66">
              <w:rPr>
                <w:rFonts w:ascii="Segoe UI Symbol" w:eastAsia="Arial" w:hAnsi="Segoe UI Symbol" w:cs="Segoe UI Symbol"/>
                <w:sz w:val="20"/>
                <w:szCs w:val="20"/>
                <w:lang w:eastAsia="en-IN" w:bidi="hi-IN"/>
              </w:rPr>
              <w:t>✱</w:t>
            </w:r>
          </w:p>
        </w:tc>
      </w:tr>
      <w:tr w:rsidR="00036696" w:rsidRPr="00EA5A8D" w14:paraId="4E786932" w14:textId="77777777" w:rsidTr="00F72FC0">
        <w:tc>
          <w:tcPr>
            <w:tcW w:w="1843" w:type="dxa"/>
            <w:tcBorders>
              <w:top w:val="single" w:sz="2" w:space="0" w:color="AAAAAA"/>
              <w:left w:val="nil"/>
              <w:bottom w:val="single" w:sz="2" w:space="0" w:color="AAAAAA"/>
              <w:right w:val="nil"/>
            </w:tcBorders>
            <w:tcMar>
              <w:top w:w="60" w:type="dxa"/>
              <w:left w:w="120" w:type="dxa"/>
              <w:bottom w:w="60" w:type="dxa"/>
              <w:right w:w="120" w:type="dxa"/>
            </w:tcMar>
          </w:tcPr>
          <w:p w14:paraId="7BCF0149" w14:textId="63E257BB" w:rsidR="00036696" w:rsidRPr="00274B66" w:rsidRDefault="00036696" w:rsidP="00036696">
            <w:pPr>
              <w:spacing w:before="40" w:after="40"/>
              <w:rPr>
                <w:rFonts w:eastAsia="Arial"/>
                <w:sz w:val="20"/>
                <w:szCs w:val="20"/>
                <w:lang w:eastAsia="en-IN" w:bidi="hi-IN"/>
              </w:rPr>
            </w:pPr>
            <w:r w:rsidRPr="00274B66">
              <w:rPr>
                <w:rFonts w:eastAsia="Arial"/>
                <w:b/>
                <w:bCs/>
                <w:sz w:val="20"/>
                <w:szCs w:val="20"/>
                <w:lang w:eastAsia="en-IN" w:bidi="hi-IN"/>
              </w:rPr>
              <w:t>All outliers removed (n=</w:t>
            </w:r>
            <w:r>
              <w:rPr>
                <w:rFonts w:eastAsia="Arial"/>
                <w:b/>
                <w:bCs/>
                <w:sz w:val="20"/>
                <w:szCs w:val="20"/>
                <w:lang w:eastAsia="en-IN" w:bidi="hi-IN"/>
              </w:rPr>
              <w:t>1</w:t>
            </w:r>
            <w:r w:rsidRPr="00274B66">
              <w:rPr>
                <w:rFonts w:eastAsia="Arial"/>
                <w:b/>
                <w:bCs/>
                <w:sz w:val="20"/>
                <w:szCs w:val="20"/>
                <w:lang w:eastAsia="en-IN" w:bidi="hi-IN"/>
              </w:rPr>
              <w:t>)</w:t>
            </w:r>
          </w:p>
        </w:tc>
        <w:tc>
          <w:tcPr>
            <w:tcW w:w="553" w:type="dxa"/>
            <w:tcBorders>
              <w:top w:val="single" w:sz="2" w:space="0" w:color="AAAAAA"/>
              <w:left w:val="nil"/>
              <w:bottom w:val="single" w:sz="2" w:space="0" w:color="AAAAAA"/>
              <w:right w:val="nil"/>
            </w:tcBorders>
            <w:tcMar>
              <w:top w:w="60" w:type="dxa"/>
              <w:left w:w="120" w:type="dxa"/>
              <w:bottom w:w="60" w:type="dxa"/>
              <w:right w:w="120" w:type="dxa"/>
            </w:tcMar>
          </w:tcPr>
          <w:p w14:paraId="4F7144A8" w14:textId="7D4C9A04" w:rsidR="00036696" w:rsidRPr="00274B66" w:rsidRDefault="00036696" w:rsidP="00036696">
            <w:pPr>
              <w:spacing w:before="40" w:after="40"/>
              <w:jc w:val="center"/>
              <w:rPr>
                <w:rFonts w:eastAsia="Arial"/>
                <w:sz w:val="20"/>
                <w:szCs w:val="20"/>
                <w:lang w:eastAsia="en-IN" w:bidi="hi-IN"/>
              </w:rPr>
            </w:pPr>
            <w:r w:rsidRPr="00274B66">
              <w:rPr>
                <w:rFonts w:eastAsia="Arial"/>
                <w:sz w:val="20"/>
                <w:szCs w:val="20"/>
                <w:lang w:eastAsia="en-IN" w:bidi="hi-IN"/>
              </w:rPr>
              <w:t>1</w:t>
            </w:r>
            <w:r>
              <w:rPr>
                <w:rFonts w:eastAsia="Arial"/>
                <w:sz w:val="20"/>
                <w:szCs w:val="20"/>
                <w:lang w:eastAsia="en-IN" w:bidi="hi-IN"/>
              </w:rPr>
              <w:t>4</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4763B3AD" w14:textId="7EBD79AB" w:rsidR="00036696" w:rsidRPr="00274B66" w:rsidRDefault="00036696" w:rsidP="00036696">
            <w:pPr>
              <w:spacing w:before="40" w:after="40"/>
              <w:jc w:val="center"/>
              <w:rPr>
                <w:rFonts w:eastAsia="Arial"/>
                <w:sz w:val="20"/>
                <w:szCs w:val="20"/>
                <w:lang w:eastAsia="en-IN" w:bidi="hi-IN"/>
              </w:rPr>
            </w:pPr>
            <w:r w:rsidRPr="00274B66">
              <w:rPr>
                <w:rFonts w:eastAsia="Arial"/>
                <w:sz w:val="20"/>
                <w:szCs w:val="20"/>
                <w:lang w:eastAsia="en-IN" w:bidi="hi-IN"/>
              </w:rPr>
              <w:t>0.</w:t>
            </w:r>
            <w:r>
              <w:rPr>
                <w:rFonts w:eastAsia="Arial"/>
                <w:sz w:val="20"/>
                <w:szCs w:val="20"/>
                <w:lang w:eastAsia="en-IN" w:bidi="hi-IN"/>
              </w:rPr>
              <w:t>36</w:t>
            </w:r>
          </w:p>
        </w:tc>
        <w:tc>
          <w:tcPr>
            <w:tcW w:w="1023" w:type="dxa"/>
            <w:tcBorders>
              <w:top w:val="single" w:sz="2" w:space="0" w:color="AAAAAA"/>
              <w:left w:val="nil"/>
              <w:bottom w:val="single" w:sz="2" w:space="0" w:color="AAAAAA"/>
              <w:right w:val="nil"/>
            </w:tcBorders>
            <w:tcMar>
              <w:top w:w="60" w:type="dxa"/>
              <w:left w:w="120" w:type="dxa"/>
              <w:bottom w:w="60" w:type="dxa"/>
              <w:right w:w="120" w:type="dxa"/>
            </w:tcMar>
          </w:tcPr>
          <w:p w14:paraId="56F0DB19" w14:textId="45F19CD1" w:rsidR="00036696" w:rsidRPr="00274B66" w:rsidRDefault="00036696" w:rsidP="00036696">
            <w:pPr>
              <w:spacing w:before="40" w:after="40"/>
              <w:jc w:val="center"/>
              <w:rPr>
                <w:rFonts w:eastAsia="Arial"/>
                <w:sz w:val="20"/>
                <w:szCs w:val="20"/>
                <w:lang w:eastAsia="en-IN" w:bidi="hi-IN"/>
              </w:rPr>
            </w:pPr>
            <w:r w:rsidRPr="00274B66">
              <w:rPr>
                <w:rFonts w:eastAsia="Arial"/>
                <w:sz w:val="20"/>
                <w:szCs w:val="20"/>
                <w:lang w:eastAsia="en-IN" w:bidi="hi-IN"/>
              </w:rPr>
              <w:t>0.</w:t>
            </w:r>
            <w:r>
              <w:rPr>
                <w:rFonts w:eastAsia="Arial"/>
                <w:sz w:val="20"/>
                <w:szCs w:val="20"/>
                <w:lang w:eastAsia="en-IN" w:bidi="hi-IN"/>
              </w:rPr>
              <w:t>29</w:t>
            </w:r>
            <w:r w:rsidRPr="00274B66">
              <w:rPr>
                <w:rFonts w:eastAsia="Arial"/>
                <w:sz w:val="20"/>
                <w:szCs w:val="20"/>
                <w:lang w:eastAsia="en-IN" w:bidi="hi-IN"/>
              </w:rPr>
              <w:t xml:space="preserve"> – </w:t>
            </w:r>
            <w:r>
              <w:rPr>
                <w:rFonts w:eastAsia="Arial"/>
                <w:sz w:val="20"/>
                <w:szCs w:val="20"/>
                <w:lang w:eastAsia="en-IN" w:bidi="hi-IN"/>
              </w:rPr>
              <w:t>0</w:t>
            </w:r>
            <w:r w:rsidRPr="00274B66">
              <w:rPr>
                <w:rFonts w:eastAsia="Arial"/>
                <w:sz w:val="20"/>
                <w:szCs w:val="20"/>
                <w:lang w:eastAsia="en-IN" w:bidi="hi-IN"/>
              </w:rPr>
              <w:t>.</w:t>
            </w:r>
            <w:r>
              <w:rPr>
                <w:rFonts w:eastAsia="Arial"/>
                <w:sz w:val="20"/>
                <w:szCs w:val="20"/>
                <w:lang w:eastAsia="en-IN" w:bidi="hi-IN"/>
              </w:rPr>
              <w:t>42</w:t>
            </w:r>
          </w:p>
        </w:tc>
        <w:tc>
          <w:tcPr>
            <w:tcW w:w="940" w:type="dxa"/>
            <w:tcBorders>
              <w:top w:val="single" w:sz="2" w:space="0" w:color="AAAAAA"/>
              <w:left w:val="nil"/>
              <w:bottom w:val="single" w:sz="2" w:space="0" w:color="AAAAAA"/>
              <w:right w:val="nil"/>
            </w:tcBorders>
            <w:tcMar>
              <w:top w:w="60" w:type="dxa"/>
              <w:left w:w="120" w:type="dxa"/>
              <w:bottom w:w="60" w:type="dxa"/>
              <w:right w:w="120" w:type="dxa"/>
            </w:tcMar>
          </w:tcPr>
          <w:p w14:paraId="71123375" w14:textId="6119D5F7" w:rsidR="00036696" w:rsidRPr="00274B66" w:rsidRDefault="00036696" w:rsidP="00036696">
            <w:pPr>
              <w:spacing w:before="40" w:after="40"/>
              <w:jc w:val="center"/>
              <w:rPr>
                <w:rFonts w:eastAsia="Arial"/>
                <w:sz w:val="20"/>
                <w:szCs w:val="20"/>
                <w:lang w:eastAsia="en-IN" w:bidi="hi-IN"/>
              </w:rPr>
            </w:pPr>
            <w:r>
              <w:rPr>
                <w:rFonts w:eastAsia="Arial"/>
                <w:sz w:val="20"/>
                <w:szCs w:val="20"/>
                <w:lang w:eastAsia="en-IN" w:bidi="hi-IN"/>
              </w:rPr>
              <w:t>71.6</w:t>
            </w:r>
          </w:p>
        </w:tc>
        <w:tc>
          <w:tcPr>
            <w:tcW w:w="1240" w:type="dxa"/>
            <w:tcBorders>
              <w:top w:val="single" w:sz="2" w:space="0" w:color="AAAAAA"/>
              <w:left w:val="nil"/>
              <w:bottom w:val="single" w:sz="2" w:space="0" w:color="AAAAAA"/>
              <w:right w:val="nil"/>
            </w:tcBorders>
            <w:tcMar>
              <w:top w:w="60" w:type="dxa"/>
              <w:left w:w="120" w:type="dxa"/>
              <w:bottom w:w="60" w:type="dxa"/>
              <w:right w:w="120" w:type="dxa"/>
            </w:tcMar>
          </w:tcPr>
          <w:p w14:paraId="624D067D" w14:textId="37324EFB" w:rsidR="00036696" w:rsidRPr="00274B66" w:rsidRDefault="00036696" w:rsidP="00036696">
            <w:pPr>
              <w:spacing w:before="40" w:after="40"/>
              <w:jc w:val="center"/>
              <w:rPr>
                <w:rFonts w:eastAsia="Arial"/>
                <w:sz w:val="20"/>
                <w:szCs w:val="20"/>
                <w:lang w:eastAsia="en-IN" w:bidi="hi-IN"/>
              </w:rPr>
            </w:pPr>
            <w:r>
              <w:rPr>
                <w:rFonts w:eastAsia="Arial"/>
                <w:sz w:val="20"/>
                <w:szCs w:val="20"/>
                <w:lang w:eastAsia="en-IN" w:bidi="hi-IN"/>
              </w:rPr>
              <w:t>0.0089</w:t>
            </w:r>
          </w:p>
        </w:tc>
        <w:tc>
          <w:tcPr>
            <w:tcW w:w="1386" w:type="dxa"/>
            <w:tcBorders>
              <w:top w:val="single" w:sz="2" w:space="0" w:color="AAAAAA"/>
              <w:left w:val="nil"/>
              <w:bottom w:val="single" w:sz="2" w:space="0" w:color="AAAAAA"/>
              <w:right w:val="nil"/>
            </w:tcBorders>
            <w:tcMar>
              <w:top w:w="60" w:type="dxa"/>
              <w:left w:w="120" w:type="dxa"/>
              <w:bottom w:w="60" w:type="dxa"/>
              <w:right w:w="120" w:type="dxa"/>
            </w:tcMar>
          </w:tcPr>
          <w:p w14:paraId="3FFED455" w14:textId="200CBC64" w:rsidR="00036696" w:rsidRPr="00274B66" w:rsidRDefault="00036696" w:rsidP="00036696">
            <w:pPr>
              <w:spacing w:before="40" w:after="40"/>
              <w:jc w:val="center"/>
              <w:rPr>
                <w:rFonts w:eastAsia="Arial"/>
                <w:sz w:val="20"/>
                <w:szCs w:val="20"/>
                <w:lang w:eastAsia="en-IN" w:bidi="hi-IN"/>
              </w:rPr>
            </w:pPr>
            <w:r>
              <w:rPr>
                <w:rFonts w:eastAsia="Arial"/>
                <w:sz w:val="20"/>
                <w:szCs w:val="20"/>
                <w:lang w:eastAsia="en-IN" w:bidi="hi-IN"/>
              </w:rPr>
              <w:t>52.008</w:t>
            </w:r>
            <w:r w:rsidRPr="00274B66">
              <w:rPr>
                <w:rFonts w:eastAsia="Arial"/>
                <w:sz w:val="20"/>
                <w:szCs w:val="20"/>
                <w:lang w:eastAsia="en-IN" w:bidi="hi-IN"/>
              </w:rPr>
              <w:t xml:space="preserve"> (&lt;.0001)</w:t>
            </w:r>
          </w:p>
        </w:tc>
        <w:tc>
          <w:tcPr>
            <w:tcW w:w="1435" w:type="dxa"/>
            <w:tcBorders>
              <w:top w:val="single" w:sz="2" w:space="0" w:color="AAAAAA"/>
              <w:left w:val="nil"/>
              <w:bottom w:val="single" w:sz="2" w:space="0" w:color="AAAAAA"/>
              <w:right w:val="nil"/>
            </w:tcBorders>
            <w:tcMar>
              <w:top w:w="60" w:type="dxa"/>
              <w:left w:w="120" w:type="dxa"/>
              <w:bottom w:w="60" w:type="dxa"/>
              <w:right w:w="120" w:type="dxa"/>
            </w:tcMar>
          </w:tcPr>
          <w:p w14:paraId="2E24A270" w14:textId="23A40D90" w:rsidR="00036696" w:rsidRPr="00274B66" w:rsidRDefault="00036696" w:rsidP="00036696">
            <w:pPr>
              <w:spacing w:before="40" w:after="40"/>
              <w:jc w:val="center"/>
              <w:rPr>
                <w:rFonts w:eastAsia="Arial"/>
                <w:sz w:val="20"/>
                <w:szCs w:val="20"/>
                <w:lang w:eastAsia="en-IN" w:bidi="hi-IN"/>
              </w:rPr>
            </w:pPr>
            <w:r w:rsidRPr="00274B66">
              <w:rPr>
                <w:rFonts w:eastAsia="Arial"/>
                <w:b/>
                <w:bCs/>
                <w:sz w:val="20"/>
                <w:szCs w:val="20"/>
                <w:lang w:eastAsia="en-IN" w:bidi="hi-IN"/>
              </w:rPr>
              <w:t>↓ Substantial</w:t>
            </w:r>
          </w:p>
        </w:tc>
      </w:tr>
    </w:tbl>
    <w:p w14:paraId="721ECCF5" w14:textId="77777777" w:rsidR="00EA5A8D" w:rsidRPr="00274B66" w:rsidRDefault="00EA5A8D" w:rsidP="00274B66">
      <w:pPr>
        <w:jc w:val="both"/>
        <w:rPr>
          <w:sz w:val="20"/>
          <w:szCs w:val="20"/>
        </w:rPr>
      </w:pPr>
      <w:r w:rsidRPr="00274B66">
        <w:rPr>
          <w:sz w:val="20"/>
          <w:szCs w:val="20"/>
        </w:rPr>
        <w:t>Abbreviations: k = number of studies; SMD = standardised mean difference (SMCRH); 95% CI = 95% confidence interval; I² = heterogeneity statistic; τ² = between-study variance; Q = Cochran's Q statistic.</w:t>
      </w:r>
    </w:p>
    <w:p w14:paraId="183DD1B0" w14:textId="22A9B9E2" w:rsidR="00EA5A8D" w:rsidRPr="00274B66" w:rsidRDefault="00EA5A8D" w:rsidP="00274B66">
      <w:pPr>
        <w:jc w:val="both"/>
        <w:rPr>
          <w:sz w:val="20"/>
          <w:szCs w:val="20"/>
        </w:rPr>
      </w:pPr>
      <w:r w:rsidRPr="00274B66">
        <w:rPr>
          <w:rFonts w:ascii="Segoe UI Symbol" w:hAnsi="Segoe UI Symbol" w:cs="Segoe UI Symbol"/>
          <w:sz w:val="20"/>
          <w:szCs w:val="20"/>
        </w:rPr>
        <w:t>✱</w:t>
      </w:r>
      <w:r w:rsidRPr="00274B66">
        <w:rPr>
          <w:sz w:val="20"/>
          <w:szCs w:val="20"/>
        </w:rPr>
        <w:t xml:space="preserve"> Identified as a formal statistical outlier (</w:t>
      </w:r>
      <w:proofErr w:type="spellStart"/>
      <w:r w:rsidRPr="00274B66">
        <w:rPr>
          <w:sz w:val="20"/>
          <w:szCs w:val="20"/>
        </w:rPr>
        <w:t>find.outliers</w:t>
      </w:r>
      <w:proofErr w:type="spellEnd"/>
      <w:r w:rsidRPr="00274B66">
        <w:rPr>
          <w:sz w:val="20"/>
          <w:szCs w:val="20"/>
        </w:rPr>
        <w:t xml:space="preserve">, </w:t>
      </w:r>
      <w:proofErr w:type="spellStart"/>
      <w:r w:rsidRPr="00274B66">
        <w:rPr>
          <w:sz w:val="20"/>
          <w:szCs w:val="20"/>
        </w:rPr>
        <w:t>dmetar</w:t>
      </w:r>
      <w:proofErr w:type="spellEnd"/>
      <w:r w:rsidRPr="00274B66">
        <w:rPr>
          <w:sz w:val="20"/>
          <w:szCs w:val="20"/>
        </w:rPr>
        <w:t>) with influential Cook's d. † Removal of all outliers simultaneously; I² reduction indicates improved homogeneity. Pooled estimates calculated using REML random-effects models (</w:t>
      </w:r>
      <w:proofErr w:type="spellStart"/>
      <w:r w:rsidRPr="00274B66">
        <w:rPr>
          <w:sz w:val="20"/>
          <w:szCs w:val="20"/>
        </w:rPr>
        <w:t>metafor</w:t>
      </w:r>
      <w:proofErr w:type="spellEnd"/>
      <w:r w:rsidRPr="00274B66">
        <w:rPr>
          <w:sz w:val="20"/>
          <w:szCs w:val="20"/>
        </w:rPr>
        <w:t>). SVR = sustained virological response.</w:t>
      </w:r>
    </w:p>
    <w:p w14:paraId="111C5DBF" w14:textId="77777777" w:rsidR="00EA5A8D" w:rsidRPr="00105E0D" w:rsidRDefault="00EA5A8D">
      <w:pPr>
        <w:rPr>
          <w:b/>
          <w:bCs/>
          <w:sz w:val="20"/>
          <w:szCs w:val="20"/>
        </w:rPr>
      </w:pPr>
    </w:p>
    <w:p w14:paraId="37BAA2F7" w14:textId="77777777" w:rsidR="00EA5A8D" w:rsidRDefault="00EA5A8D">
      <w:pPr>
        <w:rPr>
          <w:b/>
          <w:bCs/>
          <w:sz w:val="20"/>
          <w:szCs w:val="20"/>
        </w:rPr>
      </w:pPr>
    </w:p>
    <w:p w14:paraId="0416B803" w14:textId="77777777" w:rsidR="00EA5A8D" w:rsidRDefault="00EA5A8D">
      <w:pPr>
        <w:rPr>
          <w:b/>
          <w:bCs/>
          <w:sz w:val="20"/>
          <w:szCs w:val="20"/>
        </w:rPr>
      </w:pPr>
    </w:p>
    <w:p w14:paraId="1DAD890C" w14:textId="77777777" w:rsidR="00EA5A8D" w:rsidRDefault="00EA5A8D">
      <w:pPr>
        <w:rPr>
          <w:b/>
          <w:bCs/>
          <w:sz w:val="20"/>
          <w:szCs w:val="20"/>
        </w:rPr>
      </w:pPr>
    </w:p>
    <w:p w14:paraId="7191D035" w14:textId="77777777" w:rsidR="00EA5A8D" w:rsidRDefault="00EA5A8D">
      <w:pPr>
        <w:rPr>
          <w:b/>
          <w:bCs/>
          <w:sz w:val="20"/>
          <w:szCs w:val="20"/>
        </w:rPr>
      </w:pPr>
    </w:p>
    <w:p w14:paraId="007FF12E" w14:textId="77777777" w:rsidR="00EA5A8D" w:rsidRDefault="00EA5A8D">
      <w:pPr>
        <w:rPr>
          <w:b/>
          <w:bCs/>
          <w:sz w:val="20"/>
          <w:szCs w:val="20"/>
        </w:rPr>
      </w:pPr>
    </w:p>
    <w:p w14:paraId="14A2CC42" w14:textId="77777777" w:rsidR="00EA5A8D" w:rsidRDefault="00EA5A8D">
      <w:pPr>
        <w:rPr>
          <w:b/>
          <w:bCs/>
          <w:sz w:val="20"/>
          <w:szCs w:val="20"/>
        </w:rPr>
      </w:pPr>
    </w:p>
    <w:p w14:paraId="6F3CBE68" w14:textId="57E37297" w:rsidR="00B06905" w:rsidRPr="00274B66" w:rsidRDefault="00CB73A9" w:rsidP="00274B66">
      <w:pPr>
        <w:pStyle w:val="ListParagraph"/>
        <w:numPr>
          <w:ilvl w:val="0"/>
          <w:numId w:val="6"/>
        </w:numPr>
        <w:rPr>
          <w:b/>
          <w:bCs/>
          <w:sz w:val="20"/>
          <w:szCs w:val="20"/>
        </w:rPr>
      </w:pPr>
      <w:r w:rsidRPr="00274B66">
        <w:rPr>
          <w:b/>
          <w:bCs/>
          <w:sz w:val="20"/>
          <w:szCs w:val="20"/>
        </w:rPr>
        <w:t>Influence Analysis</w:t>
      </w:r>
      <w:r w:rsidR="00EA5A8D" w:rsidRPr="00274B66">
        <w:rPr>
          <w:b/>
          <w:bCs/>
          <w:sz w:val="20"/>
          <w:szCs w:val="20"/>
        </w:rPr>
        <w:t xml:space="preserve"> for SVR12</w:t>
      </w:r>
      <w:r w:rsidR="00D53776">
        <w:rPr>
          <w:b/>
          <w:bCs/>
          <w:sz w:val="20"/>
          <w:szCs w:val="20"/>
        </w:rPr>
        <w:t xml:space="preserve"> studies</w:t>
      </w:r>
      <w:r w:rsidR="00EA5A8D" w:rsidRPr="00274B66">
        <w:rPr>
          <w:b/>
          <w:bCs/>
          <w:sz w:val="20"/>
          <w:szCs w:val="20"/>
        </w:rPr>
        <w:t>:</w:t>
      </w:r>
    </w:p>
    <w:p w14:paraId="3F1AE3C1" w14:textId="318BA250" w:rsidR="00EA5A8D" w:rsidRPr="00274B66" w:rsidRDefault="00EA5A8D" w:rsidP="00274B66">
      <w:pPr>
        <w:pStyle w:val="ListParagraph"/>
        <w:numPr>
          <w:ilvl w:val="0"/>
          <w:numId w:val="7"/>
        </w:numPr>
        <w:rPr>
          <w:b/>
          <w:bCs/>
          <w:sz w:val="20"/>
          <w:szCs w:val="20"/>
        </w:rPr>
      </w:pPr>
      <w:proofErr w:type="spellStart"/>
      <w:r w:rsidRPr="00274B66">
        <w:rPr>
          <w:b/>
          <w:bCs/>
          <w:sz w:val="20"/>
          <w:szCs w:val="20"/>
        </w:rPr>
        <w:t>Baujat</w:t>
      </w:r>
      <w:proofErr w:type="spellEnd"/>
      <w:r w:rsidRPr="00274B66">
        <w:rPr>
          <w:b/>
          <w:bCs/>
          <w:sz w:val="20"/>
          <w:szCs w:val="20"/>
        </w:rPr>
        <w:t xml:space="preserve"> Plot</w:t>
      </w:r>
    </w:p>
    <w:p w14:paraId="517A7099" w14:textId="2E2AC00D" w:rsidR="00BA483A" w:rsidRPr="00105E0D" w:rsidRDefault="00946687">
      <w:pPr>
        <w:rPr>
          <w:b/>
          <w:bCs/>
          <w:sz w:val="20"/>
          <w:szCs w:val="20"/>
        </w:rPr>
      </w:pPr>
      <w:r>
        <w:rPr>
          <w:b/>
          <w:bCs/>
          <w:noProof/>
          <w:sz w:val="20"/>
          <w:szCs w:val="20"/>
        </w:rPr>
        <w:drawing>
          <wp:inline distT="0" distB="0" distL="0" distR="0" wp14:anchorId="39167C87" wp14:editId="4AC4424A">
            <wp:extent cx="5518205" cy="3858745"/>
            <wp:effectExtent l="0" t="0" r="6350" b="8890"/>
            <wp:docPr id="117495687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56872" name="Picture 1174956872"/>
                    <pic:cNvPicPr/>
                  </pic:nvPicPr>
                  <pic:blipFill>
                    <a:blip r:embed="rId29">
                      <a:extLst>
                        <a:ext uri="{28A0092B-C50C-407E-A947-70E740481C1C}">
                          <a14:useLocalDpi xmlns:a14="http://schemas.microsoft.com/office/drawing/2010/main" val="0"/>
                        </a:ext>
                      </a:extLst>
                    </a:blip>
                    <a:stretch>
                      <a:fillRect/>
                    </a:stretch>
                  </pic:blipFill>
                  <pic:spPr>
                    <a:xfrm>
                      <a:off x="0" y="0"/>
                      <a:ext cx="5523653" cy="3862554"/>
                    </a:xfrm>
                    <a:prstGeom prst="rect">
                      <a:avLst/>
                    </a:prstGeom>
                  </pic:spPr>
                </pic:pic>
              </a:graphicData>
            </a:graphic>
          </wp:inline>
        </w:drawing>
      </w:r>
    </w:p>
    <w:p w14:paraId="08618788" w14:textId="4305AFF6" w:rsidR="00B052FE" w:rsidRPr="00E20B89" w:rsidRDefault="00CB73A9">
      <w:pPr>
        <w:rPr>
          <w:b/>
          <w:bCs/>
        </w:rPr>
      </w:pPr>
      <w:r w:rsidRPr="00E20B89">
        <w:fldChar w:fldCharType="begin"/>
      </w:r>
      <w:r w:rsidR="00274B66">
        <w:instrText xml:space="preserve"> INCLUDEPICTURE "C:\\Users\\imvk\\Library\\Containers\\com.kingsoft.wpsoffice.mac.global\\Data\\tmp\\wps-imvk\\ksohtml\\wps4.jpg" \* MERGEFORMAT </w:instrText>
      </w:r>
      <w:r w:rsidRPr="00E20B89">
        <w:fldChar w:fldCharType="separate"/>
      </w:r>
      <w:r w:rsidRPr="00E20B89">
        <w:fldChar w:fldCharType="end"/>
      </w:r>
    </w:p>
    <w:p w14:paraId="209927AD" w14:textId="77777777" w:rsidR="00B052FE" w:rsidRPr="00E20B89" w:rsidRDefault="00CB73A9">
      <w:pPr>
        <w:pStyle w:val="ListParagraph"/>
        <w:rPr>
          <w:rFonts w:ascii="Calibri" w:hAnsi="Calibri" w:cs="Mangal"/>
          <w:b/>
          <w:bCs/>
          <w:kern w:val="2"/>
        </w:rPr>
      </w:pPr>
      <w:r w:rsidRPr="00E20B89">
        <w:rPr>
          <w:b/>
          <w:bCs/>
        </w:rPr>
        <w:t xml:space="preserve"> </w:t>
      </w:r>
    </w:p>
    <w:p w14:paraId="2E93E553" w14:textId="403CEB21" w:rsidR="00B052FE" w:rsidRPr="00274B66" w:rsidRDefault="00CB73A9" w:rsidP="00274B66">
      <w:pPr>
        <w:pStyle w:val="ListParagraph"/>
        <w:numPr>
          <w:ilvl w:val="0"/>
          <w:numId w:val="7"/>
        </w:numPr>
        <w:rPr>
          <w:b/>
          <w:bCs/>
          <w:sz w:val="20"/>
          <w:szCs w:val="20"/>
        </w:rPr>
      </w:pPr>
      <w:r w:rsidRPr="00274B66">
        <w:rPr>
          <w:b/>
          <w:bCs/>
          <w:sz w:val="20"/>
          <w:szCs w:val="20"/>
        </w:rPr>
        <w:t>Influence Diagnostics:</w:t>
      </w:r>
    </w:p>
    <w:p w14:paraId="7AD173F2" w14:textId="77777777" w:rsidR="00B052FE" w:rsidRPr="00E20B89" w:rsidRDefault="00B052FE">
      <w:pPr>
        <w:rPr>
          <w:b/>
          <w:bCs/>
        </w:rPr>
      </w:pPr>
    </w:p>
    <w:p w14:paraId="505A001A" w14:textId="4A4D9FCF" w:rsidR="00B052FE" w:rsidRPr="00E20B89" w:rsidRDefault="00CB73A9">
      <w:pPr>
        <w:rPr>
          <w:b/>
          <w:bCs/>
        </w:rPr>
      </w:pPr>
      <w:r w:rsidRPr="00E20B89">
        <w:fldChar w:fldCharType="begin"/>
      </w:r>
      <w:r w:rsidR="00274B66">
        <w:instrText xml:space="preserve"> INCLUDEPICTURE "C:\\Users\\imvk\\Library\\Containers\\com.kingsoft.wpsoffice.mac.global\\Data\\tmp\\wps-imvk\\ksohtml\\wps5.jpg" \* MERGEFORMAT </w:instrText>
      </w:r>
      <w:r w:rsidRPr="00E20B89">
        <w:fldChar w:fldCharType="separate"/>
      </w:r>
      <w:r w:rsidRPr="00E20B89">
        <w:fldChar w:fldCharType="end"/>
      </w:r>
      <w:r w:rsidR="00946687">
        <w:rPr>
          <w:b/>
          <w:bCs/>
          <w:noProof/>
        </w:rPr>
        <w:drawing>
          <wp:inline distT="0" distB="0" distL="0" distR="0" wp14:anchorId="31E23172" wp14:editId="37E27B19">
            <wp:extent cx="5731510" cy="2907665"/>
            <wp:effectExtent l="0" t="0" r="2540" b="6985"/>
            <wp:docPr id="102820266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02665" name="Picture 102820266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2907665"/>
                    </a:xfrm>
                    <a:prstGeom prst="rect">
                      <a:avLst/>
                    </a:prstGeom>
                  </pic:spPr>
                </pic:pic>
              </a:graphicData>
            </a:graphic>
          </wp:inline>
        </w:drawing>
      </w:r>
      <w:r w:rsidRPr="00E20B89">
        <w:rPr>
          <w:b/>
          <w:bCs/>
        </w:rPr>
        <w:t xml:space="preserve"> </w:t>
      </w:r>
    </w:p>
    <w:p w14:paraId="27C2C295" w14:textId="77777777" w:rsidR="00B052FE" w:rsidRPr="00E20B89" w:rsidRDefault="00B052FE">
      <w:pPr>
        <w:rPr>
          <w:b/>
          <w:bCs/>
        </w:rPr>
      </w:pPr>
    </w:p>
    <w:p w14:paraId="75AF9F80" w14:textId="77777777" w:rsidR="00B06905" w:rsidRPr="00E20B89" w:rsidRDefault="00B06905">
      <w:pPr>
        <w:rPr>
          <w:b/>
          <w:bCs/>
        </w:rPr>
      </w:pPr>
    </w:p>
    <w:p w14:paraId="6D86D561" w14:textId="77777777" w:rsidR="00B06905" w:rsidRDefault="00B06905">
      <w:pPr>
        <w:rPr>
          <w:b/>
          <w:bCs/>
        </w:rPr>
      </w:pPr>
    </w:p>
    <w:p w14:paraId="2BD47E41" w14:textId="77777777" w:rsidR="00B00E43" w:rsidRPr="00E20B89" w:rsidRDefault="00B00E43">
      <w:pPr>
        <w:rPr>
          <w:b/>
          <w:bCs/>
        </w:rPr>
      </w:pPr>
    </w:p>
    <w:p w14:paraId="68B4C905" w14:textId="77777777" w:rsidR="00B06905" w:rsidRPr="00E20B89" w:rsidRDefault="00B06905">
      <w:pPr>
        <w:rPr>
          <w:b/>
          <w:bCs/>
        </w:rPr>
      </w:pPr>
    </w:p>
    <w:p w14:paraId="7A90BC79" w14:textId="0A5633FA" w:rsidR="00B052FE" w:rsidRPr="00274B66" w:rsidRDefault="00CB73A9" w:rsidP="00274B66">
      <w:pPr>
        <w:pStyle w:val="ListParagraph"/>
        <w:numPr>
          <w:ilvl w:val="0"/>
          <w:numId w:val="7"/>
        </w:numPr>
        <w:rPr>
          <w:rFonts w:asciiTheme="minorHAnsi" w:hAnsiTheme="minorHAnsi" w:cstheme="minorBidi"/>
          <w:b/>
          <w:bCs/>
          <w:sz w:val="20"/>
          <w:szCs w:val="20"/>
        </w:rPr>
      </w:pPr>
      <w:r w:rsidRPr="00274B66">
        <w:rPr>
          <w:b/>
          <w:bCs/>
          <w:sz w:val="20"/>
          <w:szCs w:val="20"/>
        </w:rPr>
        <w:t>Leave-one-out meta-analysis:</w:t>
      </w:r>
      <w:r w:rsidRPr="00274B66">
        <w:rPr>
          <w:sz w:val="20"/>
          <w:szCs w:val="20"/>
        </w:rPr>
        <w:t xml:space="preserve"> </w:t>
      </w:r>
    </w:p>
    <w:p w14:paraId="1D9B713C" w14:textId="77777777" w:rsidR="00B052FE" w:rsidRPr="00E20B89" w:rsidRDefault="00B052FE">
      <w:pPr>
        <w:rPr>
          <w:b/>
          <w:bCs/>
          <w:sz w:val="20"/>
          <w:szCs w:val="20"/>
        </w:rPr>
      </w:pPr>
    </w:p>
    <w:p w14:paraId="63DFD8A0" w14:textId="1C909995" w:rsidR="00B00E43" w:rsidRDefault="00CB73A9">
      <w:r w:rsidRPr="00E20B89">
        <w:fldChar w:fldCharType="begin"/>
      </w:r>
      <w:r w:rsidR="00274B66">
        <w:instrText xml:space="preserve"> INCLUDEPICTURE "C:\\Users\\imvk\\Library\\Containers\\com.kingsoft.wpsoffice.mac.global\\Data\\tmp\\wps-imvk\\ksohtml\\wps6.jpg" \* MERGEFORMAT </w:instrText>
      </w:r>
      <w:r w:rsidRPr="00E20B89">
        <w:fldChar w:fldCharType="separate"/>
      </w:r>
      <w:r w:rsidRPr="00E20B89">
        <w:fldChar w:fldCharType="end"/>
      </w:r>
      <w:r w:rsidR="00B00E43">
        <w:rPr>
          <w:noProof/>
        </w:rPr>
        <w:drawing>
          <wp:inline distT="0" distB="0" distL="0" distR="0" wp14:anchorId="08048068" wp14:editId="3B85CEAA">
            <wp:extent cx="4142096" cy="3981020"/>
            <wp:effectExtent l="0" t="0" r="0" b="635"/>
            <wp:docPr id="2050794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794714" name="Picture 2050794714"/>
                    <pic:cNvPicPr/>
                  </pic:nvPicPr>
                  <pic:blipFill>
                    <a:blip r:embed="rId31">
                      <a:extLst>
                        <a:ext uri="{28A0092B-C50C-407E-A947-70E740481C1C}">
                          <a14:useLocalDpi xmlns:a14="http://schemas.microsoft.com/office/drawing/2010/main" val="0"/>
                        </a:ext>
                      </a:extLst>
                    </a:blip>
                    <a:stretch>
                      <a:fillRect/>
                    </a:stretch>
                  </pic:blipFill>
                  <pic:spPr>
                    <a:xfrm>
                      <a:off x="0" y="0"/>
                      <a:ext cx="4155988" cy="3994372"/>
                    </a:xfrm>
                    <a:prstGeom prst="rect">
                      <a:avLst/>
                    </a:prstGeom>
                  </pic:spPr>
                </pic:pic>
              </a:graphicData>
            </a:graphic>
          </wp:inline>
        </w:drawing>
      </w:r>
    </w:p>
    <w:p w14:paraId="6F53C743" w14:textId="53E3C3EA" w:rsidR="00B052FE" w:rsidRDefault="00B00E43">
      <w:r>
        <w:rPr>
          <w:noProof/>
        </w:rPr>
        <w:drawing>
          <wp:inline distT="0" distB="0" distL="0" distR="0" wp14:anchorId="6E91C5EB" wp14:editId="381F71CB">
            <wp:extent cx="4576270" cy="3835021"/>
            <wp:effectExtent l="0" t="0" r="0" b="0"/>
            <wp:docPr id="9519903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990362" name="Picture 95199036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84795" cy="3842165"/>
                    </a:xfrm>
                    <a:prstGeom prst="rect">
                      <a:avLst/>
                    </a:prstGeom>
                  </pic:spPr>
                </pic:pic>
              </a:graphicData>
            </a:graphic>
          </wp:inline>
        </w:drawing>
      </w:r>
    </w:p>
    <w:p w14:paraId="6C7CA2FC" w14:textId="77777777" w:rsidR="00BD1356" w:rsidRDefault="00BD1356"/>
    <w:p w14:paraId="19964B0C" w14:textId="77777777" w:rsidR="00BD1356" w:rsidRDefault="00BD1356">
      <w:pPr>
        <w:rPr>
          <w:b/>
          <w:bCs/>
          <w:sz w:val="20"/>
          <w:szCs w:val="20"/>
        </w:rPr>
      </w:pPr>
    </w:p>
    <w:p w14:paraId="22B7A432" w14:textId="77777777" w:rsidR="00B00E43" w:rsidRDefault="00B00E43">
      <w:pPr>
        <w:rPr>
          <w:b/>
          <w:bCs/>
          <w:sz w:val="20"/>
          <w:szCs w:val="20"/>
        </w:rPr>
      </w:pPr>
    </w:p>
    <w:p w14:paraId="5D01239B" w14:textId="18A2BD8E" w:rsidR="00B00E43" w:rsidRDefault="00D53776" w:rsidP="00D53776">
      <w:pPr>
        <w:pStyle w:val="ListParagraph"/>
        <w:numPr>
          <w:ilvl w:val="0"/>
          <w:numId w:val="6"/>
        </w:numPr>
        <w:rPr>
          <w:b/>
          <w:bCs/>
          <w:sz w:val="20"/>
          <w:szCs w:val="20"/>
        </w:rPr>
      </w:pPr>
      <w:r>
        <w:rPr>
          <w:b/>
          <w:bCs/>
          <w:sz w:val="20"/>
          <w:szCs w:val="20"/>
        </w:rPr>
        <w:t>Influence Analysis for SVR24 studies:</w:t>
      </w:r>
    </w:p>
    <w:p w14:paraId="59621BCB" w14:textId="7F888778" w:rsidR="00D53776" w:rsidRDefault="00D53776" w:rsidP="00D53776">
      <w:pPr>
        <w:pStyle w:val="ListParagraph"/>
        <w:numPr>
          <w:ilvl w:val="0"/>
          <w:numId w:val="8"/>
        </w:numPr>
        <w:rPr>
          <w:b/>
          <w:bCs/>
          <w:sz w:val="20"/>
          <w:szCs w:val="20"/>
        </w:rPr>
      </w:pPr>
      <w:proofErr w:type="spellStart"/>
      <w:r>
        <w:rPr>
          <w:b/>
          <w:bCs/>
          <w:sz w:val="20"/>
          <w:szCs w:val="20"/>
        </w:rPr>
        <w:t>Baujat</w:t>
      </w:r>
      <w:proofErr w:type="spellEnd"/>
      <w:r>
        <w:rPr>
          <w:b/>
          <w:bCs/>
          <w:sz w:val="20"/>
          <w:szCs w:val="20"/>
        </w:rPr>
        <w:t xml:space="preserve"> Plot:</w:t>
      </w:r>
    </w:p>
    <w:p w14:paraId="49AB4F1D" w14:textId="67A920DB" w:rsidR="00D53776" w:rsidRDefault="008D3E79" w:rsidP="00274B66">
      <w:pPr>
        <w:ind w:left="360"/>
        <w:rPr>
          <w:b/>
          <w:bCs/>
          <w:sz w:val="20"/>
          <w:szCs w:val="20"/>
        </w:rPr>
      </w:pPr>
      <w:r>
        <w:rPr>
          <w:b/>
          <w:bCs/>
          <w:noProof/>
          <w:sz w:val="20"/>
          <w:szCs w:val="20"/>
        </w:rPr>
        <w:drawing>
          <wp:inline distT="0" distB="0" distL="0" distR="0" wp14:anchorId="018A7E75" wp14:editId="32138563">
            <wp:extent cx="4723658" cy="3387674"/>
            <wp:effectExtent l="0" t="0" r="1270" b="3810"/>
            <wp:docPr id="981387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87028" name="Picture 981387028"/>
                    <pic:cNvPicPr/>
                  </pic:nvPicPr>
                  <pic:blipFill>
                    <a:blip r:embed="rId33">
                      <a:extLst>
                        <a:ext uri="{28A0092B-C50C-407E-A947-70E740481C1C}">
                          <a14:useLocalDpi xmlns:a14="http://schemas.microsoft.com/office/drawing/2010/main" val="0"/>
                        </a:ext>
                      </a:extLst>
                    </a:blip>
                    <a:stretch>
                      <a:fillRect/>
                    </a:stretch>
                  </pic:blipFill>
                  <pic:spPr>
                    <a:xfrm>
                      <a:off x="0" y="0"/>
                      <a:ext cx="4723658" cy="3387674"/>
                    </a:xfrm>
                    <a:prstGeom prst="rect">
                      <a:avLst/>
                    </a:prstGeom>
                  </pic:spPr>
                </pic:pic>
              </a:graphicData>
            </a:graphic>
          </wp:inline>
        </w:drawing>
      </w:r>
    </w:p>
    <w:p w14:paraId="37A603C6" w14:textId="77777777" w:rsidR="008D3E79" w:rsidRPr="00274B66" w:rsidRDefault="008D3E79" w:rsidP="00274B66">
      <w:pPr>
        <w:ind w:left="360"/>
        <w:rPr>
          <w:b/>
          <w:bCs/>
          <w:sz w:val="20"/>
          <w:szCs w:val="20"/>
        </w:rPr>
      </w:pPr>
    </w:p>
    <w:p w14:paraId="34C1DB34" w14:textId="0C25D337" w:rsidR="00D53776" w:rsidRDefault="00D53776" w:rsidP="00D53776">
      <w:pPr>
        <w:pStyle w:val="ListParagraph"/>
        <w:numPr>
          <w:ilvl w:val="0"/>
          <w:numId w:val="8"/>
        </w:numPr>
        <w:rPr>
          <w:b/>
          <w:bCs/>
          <w:sz w:val="20"/>
          <w:szCs w:val="20"/>
        </w:rPr>
      </w:pPr>
      <w:r>
        <w:rPr>
          <w:b/>
          <w:bCs/>
          <w:sz w:val="20"/>
          <w:szCs w:val="20"/>
        </w:rPr>
        <w:t>Influence Analysis:</w:t>
      </w:r>
    </w:p>
    <w:p w14:paraId="500750B7" w14:textId="5E5E5FB4" w:rsidR="00D53776" w:rsidRDefault="008D3E79" w:rsidP="00274B66">
      <w:pPr>
        <w:ind w:left="360"/>
        <w:rPr>
          <w:b/>
          <w:bCs/>
          <w:sz w:val="20"/>
          <w:szCs w:val="20"/>
        </w:rPr>
      </w:pPr>
      <w:r>
        <w:rPr>
          <w:noProof/>
        </w:rPr>
        <w:drawing>
          <wp:inline distT="0" distB="0" distL="0" distR="0" wp14:anchorId="539CC32E" wp14:editId="6A7C5252">
            <wp:extent cx="5731510" cy="3590925"/>
            <wp:effectExtent l="0" t="0" r="2540" b="9525"/>
            <wp:docPr id="16515875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87510" name="Picture 1651587510"/>
                    <pic:cNvPicPr/>
                  </pic:nvPicPr>
                  <pic:blipFill>
                    <a:blip r:embed="rId34">
                      <a:extLst>
                        <a:ext uri="{28A0092B-C50C-407E-A947-70E740481C1C}">
                          <a14:useLocalDpi xmlns:a14="http://schemas.microsoft.com/office/drawing/2010/main" val="0"/>
                        </a:ext>
                      </a:extLst>
                    </a:blip>
                    <a:stretch>
                      <a:fillRect/>
                    </a:stretch>
                  </pic:blipFill>
                  <pic:spPr>
                    <a:xfrm>
                      <a:off x="0" y="0"/>
                      <a:ext cx="5731510" cy="3590925"/>
                    </a:xfrm>
                    <a:prstGeom prst="rect">
                      <a:avLst/>
                    </a:prstGeom>
                  </pic:spPr>
                </pic:pic>
              </a:graphicData>
            </a:graphic>
          </wp:inline>
        </w:drawing>
      </w:r>
    </w:p>
    <w:p w14:paraId="16111597" w14:textId="77777777" w:rsidR="008D3E79" w:rsidRDefault="008D3E79" w:rsidP="00274B66">
      <w:pPr>
        <w:ind w:left="360"/>
        <w:rPr>
          <w:b/>
          <w:bCs/>
          <w:sz w:val="20"/>
          <w:szCs w:val="20"/>
        </w:rPr>
      </w:pPr>
    </w:p>
    <w:p w14:paraId="7A0AB511" w14:textId="77777777" w:rsidR="008D3E79" w:rsidRDefault="008D3E79" w:rsidP="00274B66">
      <w:pPr>
        <w:ind w:left="360"/>
        <w:rPr>
          <w:b/>
          <w:bCs/>
          <w:sz w:val="20"/>
          <w:szCs w:val="20"/>
        </w:rPr>
      </w:pPr>
    </w:p>
    <w:p w14:paraId="0C9710A3" w14:textId="77777777" w:rsidR="008D3E79" w:rsidRDefault="008D3E79" w:rsidP="00274B66">
      <w:pPr>
        <w:ind w:left="360"/>
        <w:rPr>
          <w:b/>
          <w:bCs/>
          <w:sz w:val="20"/>
          <w:szCs w:val="20"/>
        </w:rPr>
      </w:pPr>
    </w:p>
    <w:p w14:paraId="133F6620" w14:textId="77777777" w:rsidR="008D3E79" w:rsidRDefault="008D3E79" w:rsidP="00274B66">
      <w:pPr>
        <w:ind w:left="360"/>
        <w:rPr>
          <w:b/>
          <w:bCs/>
          <w:sz w:val="20"/>
          <w:szCs w:val="20"/>
        </w:rPr>
      </w:pPr>
    </w:p>
    <w:p w14:paraId="30A07129" w14:textId="77777777" w:rsidR="008D3E79" w:rsidRDefault="008D3E79" w:rsidP="00274B66">
      <w:pPr>
        <w:ind w:left="360"/>
        <w:rPr>
          <w:b/>
          <w:bCs/>
          <w:sz w:val="20"/>
          <w:szCs w:val="20"/>
        </w:rPr>
      </w:pPr>
    </w:p>
    <w:p w14:paraId="7E941C40" w14:textId="77777777" w:rsidR="008D3E79" w:rsidRPr="00274B66" w:rsidRDefault="008D3E79" w:rsidP="00274B66">
      <w:pPr>
        <w:ind w:left="360"/>
        <w:rPr>
          <w:b/>
          <w:bCs/>
          <w:sz w:val="20"/>
          <w:szCs w:val="20"/>
        </w:rPr>
      </w:pPr>
    </w:p>
    <w:p w14:paraId="4FDDB491" w14:textId="0FFE3E00" w:rsidR="00B00E43" w:rsidRDefault="00D53776" w:rsidP="00D53776">
      <w:pPr>
        <w:pStyle w:val="ListParagraph"/>
        <w:numPr>
          <w:ilvl w:val="0"/>
          <w:numId w:val="8"/>
        </w:numPr>
        <w:rPr>
          <w:b/>
          <w:bCs/>
          <w:sz w:val="20"/>
          <w:szCs w:val="20"/>
        </w:rPr>
      </w:pPr>
      <w:r>
        <w:rPr>
          <w:b/>
          <w:bCs/>
          <w:sz w:val="20"/>
          <w:szCs w:val="20"/>
        </w:rPr>
        <w:lastRenderedPageBreak/>
        <w:t>Leave-one-out meta-analysis:</w:t>
      </w:r>
    </w:p>
    <w:p w14:paraId="68831EBC" w14:textId="658A56AD" w:rsidR="00D53776" w:rsidRDefault="008D3E79" w:rsidP="00D53776">
      <w:pPr>
        <w:ind w:left="360"/>
        <w:rPr>
          <w:b/>
          <w:bCs/>
          <w:sz w:val="20"/>
          <w:szCs w:val="20"/>
        </w:rPr>
      </w:pPr>
      <w:r>
        <w:rPr>
          <w:b/>
          <w:bCs/>
          <w:noProof/>
          <w:sz w:val="20"/>
          <w:szCs w:val="20"/>
        </w:rPr>
        <w:drawing>
          <wp:inline distT="0" distB="0" distL="0" distR="0" wp14:anchorId="7954B0A7" wp14:editId="45B038F7">
            <wp:extent cx="5731510" cy="3408045"/>
            <wp:effectExtent l="0" t="0" r="2540" b="1905"/>
            <wp:docPr id="1067342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42017" name="Picture 1067342017"/>
                    <pic:cNvPicPr/>
                  </pic:nvPicPr>
                  <pic:blipFill>
                    <a:blip r:embed="rId35">
                      <a:extLst>
                        <a:ext uri="{28A0092B-C50C-407E-A947-70E740481C1C}">
                          <a14:useLocalDpi xmlns:a14="http://schemas.microsoft.com/office/drawing/2010/main" val="0"/>
                        </a:ext>
                      </a:extLst>
                    </a:blip>
                    <a:stretch>
                      <a:fillRect/>
                    </a:stretch>
                  </pic:blipFill>
                  <pic:spPr>
                    <a:xfrm>
                      <a:off x="0" y="0"/>
                      <a:ext cx="5731510" cy="3408045"/>
                    </a:xfrm>
                    <a:prstGeom prst="rect">
                      <a:avLst/>
                    </a:prstGeom>
                  </pic:spPr>
                </pic:pic>
              </a:graphicData>
            </a:graphic>
          </wp:inline>
        </w:drawing>
      </w:r>
    </w:p>
    <w:p w14:paraId="3C13F374" w14:textId="77777777" w:rsidR="00D53776" w:rsidRPr="00274B66" w:rsidRDefault="00D53776" w:rsidP="00274B66">
      <w:pPr>
        <w:ind w:left="360"/>
        <w:rPr>
          <w:b/>
          <w:bCs/>
          <w:sz w:val="20"/>
          <w:szCs w:val="20"/>
        </w:rPr>
      </w:pPr>
    </w:p>
    <w:p w14:paraId="36572BE8" w14:textId="072C2655" w:rsidR="00D53776" w:rsidRPr="00274B66" w:rsidRDefault="008D3E79" w:rsidP="00274B66">
      <w:pPr>
        <w:ind w:left="360"/>
        <w:rPr>
          <w:b/>
          <w:bCs/>
          <w:sz w:val="20"/>
          <w:szCs w:val="20"/>
        </w:rPr>
      </w:pPr>
      <w:r>
        <w:rPr>
          <w:b/>
          <w:bCs/>
          <w:noProof/>
          <w:sz w:val="20"/>
          <w:szCs w:val="20"/>
        </w:rPr>
        <w:drawing>
          <wp:inline distT="0" distB="0" distL="0" distR="0" wp14:anchorId="4AB00DA2" wp14:editId="10E28BBD">
            <wp:extent cx="5731510" cy="2766060"/>
            <wp:effectExtent l="0" t="0" r="2540" b="0"/>
            <wp:docPr id="161058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5866" name="Picture 16105866"/>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2766060"/>
                    </a:xfrm>
                    <a:prstGeom prst="rect">
                      <a:avLst/>
                    </a:prstGeom>
                  </pic:spPr>
                </pic:pic>
              </a:graphicData>
            </a:graphic>
          </wp:inline>
        </w:drawing>
      </w:r>
    </w:p>
    <w:p w14:paraId="772C5845" w14:textId="77777777" w:rsidR="00B00E43" w:rsidRPr="00E20B89" w:rsidRDefault="00B00E43">
      <w:pPr>
        <w:rPr>
          <w:b/>
          <w:bCs/>
          <w:sz w:val="20"/>
          <w:szCs w:val="20"/>
        </w:rPr>
      </w:pPr>
    </w:p>
    <w:p w14:paraId="7C104594" w14:textId="77777777" w:rsidR="00B052FE" w:rsidRPr="00E20B89" w:rsidRDefault="00B052FE">
      <w:pPr>
        <w:rPr>
          <w:b/>
          <w:bCs/>
          <w:sz w:val="20"/>
          <w:szCs w:val="20"/>
        </w:rPr>
      </w:pPr>
    </w:p>
    <w:p w14:paraId="0631C42E" w14:textId="77777777" w:rsidR="00D53776" w:rsidRDefault="00D53776">
      <w:pPr>
        <w:rPr>
          <w:b/>
          <w:bCs/>
          <w:sz w:val="20"/>
          <w:szCs w:val="20"/>
        </w:rPr>
      </w:pPr>
    </w:p>
    <w:p w14:paraId="2ED9F282" w14:textId="77777777" w:rsidR="00D53776" w:rsidRDefault="00D53776">
      <w:pPr>
        <w:rPr>
          <w:b/>
          <w:bCs/>
          <w:sz w:val="20"/>
          <w:szCs w:val="20"/>
        </w:rPr>
      </w:pPr>
    </w:p>
    <w:p w14:paraId="01CABA20" w14:textId="77777777" w:rsidR="00D53776" w:rsidRDefault="00D53776">
      <w:pPr>
        <w:rPr>
          <w:b/>
          <w:bCs/>
          <w:sz w:val="20"/>
          <w:szCs w:val="20"/>
        </w:rPr>
      </w:pPr>
    </w:p>
    <w:p w14:paraId="5AF12D56" w14:textId="77777777" w:rsidR="00D53776" w:rsidRDefault="00D53776">
      <w:pPr>
        <w:rPr>
          <w:b/>
          <w:bCs/>
          <w:sz w:val="20"/>
          <w:szCs w:val="20"/>
        </w:rPr>
      </w:pPr>
    </w:p>
    <w:p w14:paraId="4E4C3274" w14:textId="77777777" w:rsidR="00D53776" w:rsidRDefault="00D53776">
      <w:pPr>
        <w:rPr>
          <w:b/>
          <w:bCs/>
          <w:sz w:val="20"/>
          <w:szCs w:val="20"/>
        </w:rPr>
      </w:pPr>
    </w:p>
    <w:p w14:paraId="7E44F678" w14:textId="77777777" w:rsidR="00D53776" w:rsidRDefault="00D53776">
      <w:pPr>
        <w:rPr>
          <w:b/>
          <w:bCs/>
          <w:sz w:val="20"/>
          <w:szCs w:val="20"/>
        </w:rPr>
      </w:pPr>
    </w:p>
    <w:p w14:paraId="24389277" w14:textId="77777777" w:rsidR="00D53776" w:rsidRDefault="00D53776">
      <w:pPr>
        <w:rPr>
          <w:b/>
          <w:bCs/>
          <w:sz w:val="20"/>
          <w:szCs w:val="20"/>
        </w:rPr>
      </w:pPr>
    </w:p>
    <w:p w14:paraId="222ABE54" w14:textId="77777777" w:rsidR="00D53776" w:rsidRDefault="00D53776">
      <w:pPr>
        <w:rPr>
          <w:b/>
          <w:bCs/>
          <w:sz w:val="20"/>
          <w:szCs w:val="20"/>
        </w:rPr>
      </w:pPr>
    </w:p>
    <w:p w14:paraId="5CC1FEC2" w14:textId="77777777" w:rsidR="00D53776" w:rsidRDefault="00D53776">
      <w:pPr>
        <w:rPr>
          <w:b/>
          <w:bCs/>
          <w:sz w:val="20"/>
          <w:szCs w:val="20"/>
        </w:rPr>
      </w:pPr>
    </w:p>
    <w:p w14:paraId="41128085" w14:textId="77777777" w:rsidR="00D53776" w:rsidRDefault="00D53776">
      <w:pPr>
        <w:rPr>
          <w:b/>
          <w:bCs/>
          <w:sz w:val="20"/>
          <w:szCs w:val="20"/>
        </w:rPr>
      </w:pPr>
    </w:p>
    <w:p w14:paraId="14AC0CF4" w14:textId="77777777" w:rsidR="00D53776" w:rsidRDefault="00D53776">
      <w:pPr>
        <w:rPr>
          <w:b/>
          <w:bCs/>
          <w:sz w:val="20"/>
          <w:szCs w:val="20"/>
        </w:rPr>
      </w:pPr>
    </w:p>
    <w:p w14:paraId="03B505E6" w14:textId="77777777" w:rsidR="00D53776" w:rsidRDefault="00D53776">
      <w:pPr>
        <w:rPr>
          <w:b/>
          <w:bCs/>
          <w:sz w:val="20"/>
          <w:szCs w:val="20"/>
        </w:rPr>
      </w:pPr>
    </w:p>
    <w:p w14:paraId="41BE2F19" w14:textId="77777777" w:rsidR="00D53776" w:rsidRDefault="00D53776">
      <w:pPr>
        <w:rPr>
          <w:b/>
          <w:bCs/>
          <w:sz w:val="20"/>
          <w:szCs w:val="20"/>
        </w:rPr>
      </w:pPr>
    </w:p>
    <w:p w14:paraId="00C177E8" w14:textId="77777777" w:rsidR="00D53776" w:rsidRDefault="00D53776">
      <w:pPr>
        <w:rPr>
          <w:b/>
          <w:bCs/>
          <w:sz w:val="20"/>
          <w:szCs w:val="20"/>
        </w:rPr>
      </w:pPr>
    </w:p>
    <w:p w14:paraId="16F3FB1E" w14:textId="7ACFA298" w:rsidR="00AF31A6" w:rsidRPr="00E20B89" w:rsidRDefault="00AF31A6">
      <w:pPr>
        <w:rPr>
          <w:b/>
          <w:bCs/>
          <w:sz w:val="20"/>
          <w:szCs w:val="20"/>
        </w:rPr>
      </w:pPr>
      <w:r w:rsidRPr="00E20B89">
        <w:rPr>
          <w:b/>
          <w:bCs/>
          <w:sz w:val="20"/>
          <w:szCs w:val="20"/>
        </w:rPr>
        <w:lastRenderedPageBreak/>
        <w:t>Appendix V</w:t>
      </w:r>
      <w:r w:rsidR="009B17EA">
        <w:rPr>
          <w:b/>
          <w:bCs/>
          <w:sz w:val="20"/>
          <w:szCs w:val="20"/>
        </w:rPr>
        <w:t>I</w:t>
      </w:r>
      <w:r w:rsidR="00D53776">
        <w:rPr>
          <w:b/>
          <w:bCs/>
          <w:sz w:val="20"/>
          <w:szCs w:val="20"/>
        </w:rPr>
        <w:t>I</w:t>
      </w:r>
      <w:r w:rsidRPr="00E20B89">
        <w:rPr>
          <w:b/>
          <w:bCs/>
          <w:sz w:val="20"/>
          <w:szCs w:val="20"/>
        </w:rPr>
        <w:t xml:space="preserve"> : </w:t>
      </w:r>
      <w:r w:rsidR="00F93919" w:rsidRPr="00E20B89">
        <w:rPr>
          <w:b/>
          <w:bCs/>
          <w:sz w:val="20"/>
          <w:szCs w:val="20"/>
        </w:rPr>
        <w:t>Summary of b</w:t>
      </w:r>
      <w:r w:rsidRPr="00E20B89">
        <w:rPr>
          <w:b/>
          <w:bCs/>
          <w:sz w:val="20"/>
          <w:szCs w:val="20"/>
        </w:rPr>
        <w:t xml:space="preserve">iopsy based </w:t>
      </w:r>
      <w:r w:rsidR="00F93919" w:rsidRPr="00E20B89">
        <w:rPr>
          <w:b/>
          <w:bCs/>
          <w:sz w:val="20"/>
          <w:szCs w:val="20"/>
        </w:rPr>
        <w:t xml:space="preserve">liver fibrosis </w:t>
      </w:r>
      <w:r w:rsidRPr="00E20B89">
        <w:rPr>
          <w:b/>
          <w:bCs/>
          <w:sz w:val="20"/>
          <w:szCs w:val="20"/>
        </w:rPr>
        <w:t>study</w:t>
      </w:r>
    </w:p>
    <w:p w14:paraId="28F577C8" w14:textId="77777777" w:rsidR="00AF31A6" w:rsidRPr="00E20B89" w:rsidRDefault="00AF31A6">
      <w:pPr>
        <w:rPr>
          <w:b/>
          <w:bCs/>
          <w:sz w:val="20"/>
          <w:szCs w:val="20"/>
        </w:rPr>
      </w:pPr>
    </w:p>
    <w:tbl>
      <w:tblPr>
        <w:tblStyle w:val="TableGrid"/>
        <w:tblW w:w="9649" w:type="dxa"/>
        <w:jc w:val="center"/>
        <w:tblLook w:val="04A0" w:firstRow="1" w:lastRow="0" w:firstColumn="1" w:lastColumn="0" w:noHBand="0" w:noVBand="1"/>
      </w:tblPr>
      <w:tblGrid>
        <w:gridCol w:w="1127"/>
        <w:gridCol w:w="1294"/>
        <w:gridCol w:w="6157"/>
        <w:gridCol w:w="1071"/>
      </w:tblGrid>
      <w:tr w:rsidR="00D749B5" w:rsidRPr="00E20B89" w14:paraId="1BFF7C62" w14:textId="49A488F5" w:rsidTr="00D749B5">
        <w:trPr>
          <w:jc w:val="center"/>
        </w:trPr>
        <w:tc>
          <w:tcPr>
            <w:tcW w:w="1127" w:type="dxa"/>
          </w:tcPr>
          <w:p w14:paraId="64B1F97A" w14:textId="66AEE7E7" w:rsidR="00D749B5" w:rsidRPr="00E20B89" w:rsidRDefault="00D749B5" w:rsidP="00E20B89">
            <w:pPr>
              <w:jc w:val="center"/>
              <w:rPr>
                <w:b/>
                <w:bCs/>
                <w:sz w:val="20"/>
                <w:szCs w:val="20"/>
              </w:rPr>
            </w:pPr>
            <w:r w:rsidRPr="00E20B89">
              <w:rPr>
                <w:b/>
                <w:bCs/>
                <w:sz w:val="20"/>
                <w:szCs w:val="20"/>
              </w:rPr>
              <w:t xml:space="preserve">  Author</w:t>
            </w:r>
            <w:r>
              <w:rPr>
                <w:b/>
                <w:bCs/>
                <w:sz w:val="20"/>
                <w:szCs w:val="20"/>
              </w:rPr>
              <w:t xml:space="preserve"> (Year)</w:t>
            </w:r>
          </w:p>
        </w:tc>
        <w:tc>
          <w:tcPr>
            <w:tcW w:w="1278" w:type="dxa"/>
          </w:tcPr>
          <w:p w14:paraId="1ABC9FDB" w14:textId="2569142C" w:rsidR="00D749B5" w:rsidRPr="00E20B89" w:rsidRDefault="00D749B5" w:rsidP="00E20B89">
            <w:pPr>
              <w:rPr>
                <w:b/>
                <w:bCs/>
                <w:sz w:val="20"/>
                <w:szCs w:val="20"/>
              </w:rPr>
            </w:pPr>
            <w:r w:rsidRPr="00E20B89">
              <w:rPr>
                <w:b/>
                <w:bCs/>
                <w:sz w:val="20"/>
                <w:szCs w:val="20"/>
              </w:rPr>
              <w:t>Method of Scoring</w:t>
            </w:r>
          </w:p>
        </w:tc>
        <w:tc>
          <w:tcPr>
            <w:tcW w:w="6173" w:type="dxa"/>
          </w:tcPr>
          <w:p w14:paraId="514D4290" w14:textId="77777777" w:rsidR="00D749B5" w:rsidRPr="00E20B89" w:rsidRDefault="00D749B5" w:rsidP="00E20B89">
            <w:pPr>
              <w:jc w:val="both"/>
              <w:rPr>
                <w:b/>
                <w:bCs/>
                <w:sz w:val="20"/>
                <w:szCs w:val="20"/>
              </w:rPr>
            </w:pPr>
            <w:r w:rsidRPr="00E20B89">
              <w:rPr>
                <w:b/>
                <w:bCs/>
                <w:sz w:val="20"/>
                <w:szCs w:val="20"/>
              </w:rPr>
              <w:t>Key Results</w:t>
            </w:r>
          </w:p>
        </w:tc>
        <w:tc>
          <w:tcPr>
            <w:tcW w:w="1071" w:type="dxa"/>
          </w:tcPr>
          <w:p w14:paraId="4826EE47" w14:textId="262052D5" w:rsidR="00D749B5" w:rsidRPr="00E20B89" w:rsidRDefault="00D749B5" w:rsidP="00E20B89">
            <w:pPr>
              <w:jc w:val="both"/>
              <w:rPr>
                <w:b/>
                <w:bCs/>
                <w:sz w:val="20"/>
                <w:szCs w:val="20"/>
              </w:rPr>
            </w:pPr>
            <w:r>
              <w:rPr>
                <w:b/>
                <w:bCs/>
                <w:sz w:val="20"/>
                <w:szCs w:val="20"/>
              </w:rPr>
              <w:t>Reference</w:t>
            </w:r>
          </w:p>
        </w:tc>
      </w:tr>
      <w:tr w:rsidR="00D749B5" w:rsidRPr="00E20B89" w14:paraId="2A158A84" w14:textId="188FFA61" w:rsidTr="00D749B5">
        <w:trPr>
          <w:jc w:val="center"/>
        </w:trPr>
        <w:tc>
          <w:tcPr>
            <w:tcW w:w="1127" w:type="dxa"/>
          </w:tcPr>
          <w:p w14:paraId="122A531D" w14:textId="7CBF6E3C" w:rsidR="00D749B5" w:rsidRPr="00E20B89" w:rsidRDefault="00D749B5" w:rsidP="00E20B89">
            <w:pPr>
              <w:rPr>
                <w:sz w:val="20"/>
                <w:szCs w:val="20"/>
              </w:rPr>
            </w:pPr>
            <w:r>
              <w:rPr>
                <w:sz w:val="20"/>
                <w:szCs w:val="20"/>
              </w:rPr>
              <w:t>Li et al 2022</w:t>
            </w:r>
          </w:p>
        </w:tc>
        <w:tc>
          <w:tcPr>
            <w:tcW w:w="1278" w:type="dxa"/>
          </w:tcPr>
          <w:p w14:paraId="66A895D9" w14:textId="6A34573A" w:rsidR="00D749B5" w:rsidRPr="00E20B89" w:rsidRDefault="002D1CF8" w:rsidP="00E20B89">
            <w:pPr>
              <w:rPr>
                <w:sz w:val="20"/>
                <w:szCs w:val="20"/>
              </w:rPr>
            </w:pPr>
            <w:r w:rsidRPr="002D1CF8">
              <w:rPr>
                <w:sz w:val="20"/>
                <w:szCs w:val="20"/>
              </w:rPr>
              <w:t>Ishak fibrosis score, Contrast enhancement index (CEI) via MRI</w:t>
            </w:r>
          </w:p>
        </w:tc>
        <w:tc>
          <w:tcPr>
            <w:tcW w:w="6173" w:type="dxa"/>
          </w:tcPr>
          <w:p w14:paraId="741022D7" w14:textId="7F31298A" w:rsidR="00D749B5" w:rsidRPr="00E20B89" w:rsidRDefault="002D1CF8" w:rsidP="002D1CF8">
            <w:pPr>
              <w:jc w:val="both"/>
              <w:rPr>
                <w:sz w:val="20"/>
                <w:szCs w:val="20"/>
              </w:rPr>
            </w:pPr>
            <w:r w:rsidRPr="002D1CF8">
              <w:rPr>
                <w:sz w:val="20"/>
                <w:szCs w:val="20"/>
              </w:rPr>
              <w:t>The median stage of fibrosis did not noticeably change post-SVR overall. However, in the 33% of patients who did achieve actual fibrosis regression, the MRI CEI increased significantly while LSM decreased, proving CEI dynamically monitored regression effectively.</w:t>
            </w:r>
          </w:p>
        </w:tc>
        <w:tc>
          <w:tcPr>
            <w:tcW w:w="1071" w:type="dxa"/>
          </w:tcPr>
          <w:p w14:paraId="668513E2" w14:textId="6D4CE06E" w:rsidR="00D749B5" w:rsidRPr="00E20B89" w:rsidRDefault="00131373" w:rsidP="004964E6">
            <w:pPr>
              <w:jc w:val="both"/>
              <w:rPr>
                <w:sz w:val="20"/>
                <w:szCs w:val="20"/>
              </w:rPr>
            </w:pPr>
            <w:r>
              <w:rPr>
                <w:sz w:val="20"/>
                <w:szCs w:val="20"/>
              </w:rPr>
              <w:fldChar w:fldCharType="begin"/>
            </w:r>
            <w:r w:rsidR="003758D4">
              <w:rPr>
                <w:sz w:val="20"/>
                <w:szCs w:val="20"/>
              </w:rPr>
              <w:instrText xml:space="preserve"> ADDIN ZOTERO_ITEM CSL_CITATION {"citationID":"br4I2Bi6","properties":{"formattedCitation":"\\super 64\\nosupersub{}","plainCitation":"64","noteIndex":0},"citationItems":[{"id":1676,"uris":["http://zotero.org/users/5317696/items/7LDUATQE"],"itemData":{"id":1676,"type":"article-journal","abstract":"BACKGROUND\nDirect acting antiviral (DAA) therapy has enabled hepatitis C virus infection to become curable, while histological changes remain uncontained. Few valid non-invasive methods can be confirmed for use in surveillance. Gadolinium-ethoxybenzyl-diethylenetriamine penta-acetic acid (Gd-EOB-DTPA) is a liver-specific magnetic resonance imaging (MRI) contrast, related to liver function in the hepatobiliary phase (HBP). Whether Gd-EOB-DTPA-enhanced MRI can be used in the diagnosis and follow up of hepatic fibrosis in patients with chronic hepatitis C (CHC) has not been investigated. \n\nAIM\nTo investigate the diagnostic and follow-up values of Gd-EOB-DTPA-enhanced MRI for hepatic histology in patients with CHC.\n\nMETHODS\nPatients with CHC were invited to undergo Gd-EOB-DTPA-enhanced MRI and liver biopsy before treatment, and those with paired qualified MRI and liver biopsy specimens were included. Transient elastography (TE) and blood tests were also arranged. Patients treated with DAAs who achieved 24-wk sustained virological response (SVR) underwent Gd-EOB-DTPA-enhanced MRI and liver biopsy again. The signal intensity (SI) of the liver and muscle were measured in the unenhanced phase (UEP) (SIUEP-liver, SIUEP-muscle) and HBP (SIHBP-liver, SIHBP-muscle) via MRI. The contrast enhancement index (CEI) was calculated as [(SIHBP-liver/SIHBP-muscle)]/[(SIUEP-liver/SIUEP-muscle)]. Liver stiffness measurement (LSM) was confirmed with TE. Serologic markers, aspartate aminotransferase-to-platelet ratio index (APRI) and Fibrosis-4 (FIB-4), were also calculated according to blood tests. The grade of inflammation and stage of fibrosis were evaluated with the modified histology activity index (mHAI) and Ishak fibrosis score, respectively. Fibrosis regression was defined as a ≥ 1-point decrease in the Ishak fibrosis score. The correlation between the CEI and liver pathology was evaluated. The diagnostic and follow-up values of the CEI, LSM, and serologic markers were compared.\n\nRESULTS\nThirty-nine patients with CHC were enrolled [average age, 42.3 ± 14.4 years; 20/39 (51.3%) male]. Twenty-one enrolled patients had eligible paired Gd-EOB-DTPA-enhanced MRI and liver tissues after achieving SVR. The mHAI median significantly decreased after SVR [baseline 6.0 (4.5-13.5) vs SVR 2.0 (1.5-5.5), Z = 3.322, P = 0.017], but the median stage of fibrosis did not notably change (P &gt; 0.05). Sixty pairs of qualified MRI and liver tissue samples were available for use to analyze the relationship between the CEI and hepatic pathology. The CEI was negatively correlated with the mHAI (r = -0.56, P &lt; 0.001) and Ishak score (r = -0.69, P &lt; 0.001). Further stratified analysis showed that the value of the CEI decreased with the progression of the stage of fibrosis rather than with the grade of necroinflammation. For patients with Ishak score ≥ 5, the areas under receiver operating characteristics curve of the CEI, LSM, APRI, and FIB-4 were approximately at baseline, 0.87–0.93, and after achieving SVR, 0.83–0.91. The CEI cut-off value was stable (baseline 1.58 and SVR 1.59), but those of the APRI (from 1.05 to 0.24), FIB-4 (from 1.78 to 1.28), and LSM (from 10.8 kpa to 7.1 kpa) decreased dramatically. The APRI and FIB-4 cannot be used as diagnostic means for SVR in patients with Ishak score ≥ 3 (P &gt; 0.05). Seven patients achieved fibrosis regression after achieving SVR. In these patients, the CEI median increased (from 1.71 to 1.83, Z = -1.981, P = 0.048) and those of the APRI (from 1.71 to 1.83, Z = -2.878, P = 0.004) and LSM (from 6.6 to 4.8, Z = -2.366, P = 0.018) decreased. However, in patients without fibrosis regression, the medians of the APRI, FIB-4, and LSM also changed significantly (P &lt; 0.05).\n\nCONCLUSION\nGd-EOB-DTPA-enhanced MRI has good diagnostic value for staging fibrosis in patients with CHC. It can be used for fibrotic-change monitoring post SVR in patients with CHC treated with DAAs.","container-title":"World Journal of Gastroenterology","DOI":"10.3748/wjg.v28.i20.2214","ISSN":"1007-9327","issue":"20","journalAbbreviation":"World J Gastroenterol","page":"2214-2226","PMID":"35721884","PMCID":"PMC9157620","source":"PubMed Central","title":"Gadolinium-ethoxybenzyl-diethylenetriamine penta-acetic acid-enhanced magnetic resonance imaging for evaluating fibrosis regression in chronic hepatitis C patients after direct-acting antiviral","URL":"https://www.ncbi.nlm.nih.gov/pmc/articles/PMC9157620/","volume":"28","author":[{"family":"Li","given":"Xiao-He"},{"family":"Huang","given":"Rui"},{"family":"Yang","given":"Ming"},{"family":"Wang","given":"Jian"},{"family":"Gao","given":"Ying-Hui"},{"family":"Jin","given":"Qian"},{"family":"Ma","given":"Dan-Li"},{"family":"Wei","given":"Lai"},{"family":"Rao","given":"Hui-Ying"}],"accessed":{"date-parts":[["2025",8,21]]},"issued":{"date-parts":[["2022",5,28]]}}}],"schema":"https://github.com/citation-style-language/schema/raw/master/csl-citation.json"} </w:instrText>
            </w:r>
            <w:r>
              <w:rPr>
                <w:sz w:val="20"/>
                <w:szCs w:val="20"/>
              </w:rPr>
              <w:fldChar w:fldCharType="separate"/>
            </w:r>
            <w:r w:rsidR="003758D4" w:rsidRPr="003758D4">
              <w:rPr>
                <w:sz w:val="20"/>
                <w:vertAlign w:val="superscript"/>
              </w:rPr>
              <w:t>64</w:t>
            </w:r>
            <w:r>
              <w:rPr>
                <w:sz w:val="20"/>
                <w:szCs w:val="20"/>
              </w:rPr>
              <w:fldChar w:fldCharType="end"/>
            </w:r>
          </w:p>
        </w:tc>
      </w:tr>
      <w:tr w:rsidR="00D749B5" w:rsidRPr="00E20B89" w14:paraId="0DD1B4CF" w14:textId="1A58AB3B" w:rsidTr="00D749B5">
        <w:trPr>
          <w:jc w:val="center"/>
        </w:trPr>
        <w:tc>
          <w:tcPr>
            <w:tcW w:w="1127" w:type="dxa"/>
          </w:tcPr>
          <w:p w14:paraId="6549A3F2" w14:textId="0D839283" w:rsidR="00D749B5" w:rsidRPr="00E20B89" w:rsidRDefault="00D749B5" w:rsidP="00E20B89">
            <w:pPr>
              <w:rPr>
                <w:sz w:val="20"/>
                <w:szCs w:val="20"/>
              </w:rPr>
            </w:pPr>
            <w:proofErr w:type="spellStart"/>
            <w:r>
              <w:rPr>
                <w:sz w:val="20"/>
                <w:szCs w:val="20"/>
              </w:rPr>
              <w:t>Coilly</w:t>
            </w:r>
            <w:proofErr w:type="spellEnd"/>
            <w:r>
              <w:rPr>
                <w:sz w:val="20"/>
                <w:szCs w:val="20"/>
              </w:rPr>
              <w:t xml:space="preserve"> et al 2022</w:t>
            </w:r>
          </w:p>
        </w:tc>
        <w:tc>
          <w:tcPr>
            <w:tcW w:w="1278" w:type="dxa"/>
          </w:tcPr>
          <w:p w14:paraId="55235C05" w14:textId="04F593C3" w:rsidR="00D749B5" w:rsidRPr="00E20B89" w:rsidRDefault="00D749B5" w:rsidP="00E20B89">
            <w:pPr>
              <w:rPr>
                <w:sz w:val="20"/>
                <w:szCs w:val="20"/>
              </w:rPr>
            </w:pPr>
            <w:r w:rsidRPr="00E20B89">
              <w:rPr>
                <w:sz w:val="20"/>
                <w:szCs w:val="20"/>
              </w:rPr>
              <w:t>Histological Analysis</w:t>
            </w:r>
            <w:r w:rsidR="002D1CF8">
              <w:rPr>
                <w:sz w:val="20"/>
                <w:szCs w:val="20"/>
              </w:rPr>
              <w:t xml:space="preserve"> (</w:t>
            </w:r>
            <w:r w:rsidR="002D1CF8" w:rsidRPr="002D1CF8">
              <w:rPr>
                <w:sz w:val="20"/>
                <w:szCs w:val="20"/>
              </w:rPr>
              <w:t>METAVIR scoring system for fibrosis</w:t>
            </w:r>
            <w:r w:rsidR="002D1CF8">
              <w:rPr>
                <w:sz w:val="20"/>
                <w:szCs w:val="20"/>
              </w:rPr>
              <w:t>)</w:t>
            </w:r>
          </w:p>
        </w:tc>
        <w:tc>
          <w:tcPr>
            <w:tcW w:w="6173" w:type="dxa"/>
          </w:tcPr>
          <w:p w14:paraId="488E153E" w14:textId="1C138E2B" w:rsidR="00D749B5" w:rsidRPr="00E20B89" w:rsidRDefault="002D1CF8" w:rsidP="002D1CF8">
            <w:pPr>
              <w:jc w:val="both"/>
              <w:rPr>
                <w:sz w:val="20"/>
                <w:szCs w:val="20"/>
              </w:rPr>
            </w:pPr>
            <w:r w:rsidRPr="002D1CF8">
              <w:rPr>
                <w:sz w:val="20"/>
                <w:szCs w:val="20"/>
              </w:rPr>
              <w:t>In liver transplant patients with fibrosing cholestatic hepatitis, fibrosis worsened in 58.8% of patients (10 out of 17) post-DAA treatment</w:t>
            </w:r>
            <w:r>
              <w:rPr>
                <w:sz w:val="20"/>
                <w:szCs w:val="20"/>
              </w:rPr>
              <w:t>.</w:t>
            </w:r>
            <w:r w:rsidRPr="002D1CF8">
              <w:rPr>
                <w:sz w:val="20"/>
                <w:szCs w:val="20"/>
              </w:rPr>
              <w:t xml:space="preserve"> This demonstrated that HCV eradication does not protect against rapid fibrosis progression in this specific severe population.</w:t>
            </w:r>
          </w:p>
        </w:tc>
        <w:tc>
          <w:tcPr>
            <w:tcW w:w="1071" w:type="dxa"/>
          </w:tcPr>
          <w:p w14:paraId="56ADC003" w14:textId="3E883C05" w:rsidR="00D749B5" w:rsidRPr="00E20B89" w:rsidRDefault="00131373" w:rsidP="00E20B89">
            <w:pPr>
              <w:jc w:val="both"/>
              <w:rPr>
                <w:sz w:val="20"/>
                <w:szCs w:val="20"/>
              </w:rPr>
            </w:pPr>
            <w:r>
              <w:rPr>
                <w:sz w:val="20"/>
                <w:szCs w:val="20"/>
              </w:rPr>
              <w:fldChar w:fldCharType="begin"/>
            </w:r>
            <w:r w:rsidR="003758D4">
              <w:rPr>
                <w:sz w:val="20"/>
                <w:szCs w:val="20"/>
              </w:rPr>
              <w:instrText xml:space="preserve"> ADDIN ZOTERO_ITEM CSL_CITATION {"citationID":"71WABHHi","properties":{"formattedCitation":"\\super 65\\nosupersub{}","plainCitation":"65","noteIndex":0},"citationItems":[{"id":1675,"uris":["http://zotero.org/users/5317696/items/R8943PHY"],"itemData":{"id":1675,"type":"article-journal","abstract":"Introduction\nHepatitis C virus (HCV) may recur after liver transplantation (LT) in the severe form of fibrosing cholestatic hepatitis (FCH). The prognosis dramatically improved by the use of direct acting antivirals (DAAs). The aim of the present study was to describe the change in histological features of FCH after virological eradication.\nMethods\nFrom the ANRS CUPILT cohort we included 17 patients who presented FCH and at least two graft biopsies, one before DAA-treatment and one after. A single expert pathologist, blinded for clinical outcome, retrospectively confirmed the diagnosis of FCH and progression of fibrosis.\nResults\nDiagnosis of FCH was made after a median [IQR] 6.0 [3.1–11.8] months after LT, and the median interval between diagnosis and onset of treatment was 1.2 [0.7–6.1] months. The rate of viral eradication was 94.1%. The median delay between the pre-treatment and the treatment biopsies was 12.5 [11.1–20.0] months. Between the end of treatment and the second biopsy, the delay was 5.3 [0.6–7.4] months. Fibrosis stage worsened in 10 patients (58.8%); 6 patients had cirrhosis (35.3%). Chronic rejection appeared in 4 (23.5%) patients.\nConclusion\nOur results suggest that, despite viral eradication in patients presenting FCH after LT, fibrosis progression was observed in half of patients. This should encourage monitoring fibrosis progression despite HCV cure.","container-title":"Clinics and Research in Hepatology and Gastroenterology","DOI":"10.1016/j.clinre.2022.102024","ISSN":"2210-7401","issue":"9","journalAbbreviation":"Clinics and Research in Hepatology and Gastroenterology","page":"102024","source":"ScienceDirect","title":"HCV eradication does not protect from fibrosis progression in patients with fibrosing cholestatic hepatitis after liver transplantation","URL":"https://www.sciencedirect.com/science/article/pii/S2210740122001589","volume":"46","author":[{"family":"Coilly","given":"Audrey"},{"family":"Sebagh","given":"Mylène"},{"family":"Fougerou-Leurent","given":"Claire"},{"family":"Pageaux","given":"Georges-Philippe"},{"family":"Leroy","given":"Vincent"},{"family":"Radenne","given":"Sylvie"},{"family":"Silvain","given":"Christine"},{"family":"Lebray","given":"Pascal"},{"family":"Houssel-Debry","given":"Pauline"},{"family":"Cagnot","given":"Carole"},{"family":"Rossignol","given":"Emilie"},{"family":"Danjou","given":"Hélène"},{"family":"Veislinger","given":"Aurélie"},{"family":"Samuel","given":"Didier"},{"family":"Duclos-Vallée","given":"Jean-Charles"},{"family":"Dumortier","given":"Jérôme"}],"accessed":{"date-parts":[["2025",8,21]]},"issued":{"date-parts":[["2022",11,1]]}}}],"schema":"https://github.com/citation-style-language/schema/raw/master/csl-citation.json"} </w:instrText>
            </w:r>
            <w:r>
              <w:rPr>
                <w:sz w:val="20"/>
                <w:szCs w:val="20"/>
              </w:rPr>
              <w:fldChar w:fldCharType="separate"/>
            </w:r>
            <w:r w:rsidR="003758D4" w:rsidRPr="003758D4">
              <w:rPr>
                <w:sz w:val="20"/>
                <w:vertAlign w:val="superscript"/>
              </w:rPr>
              <w:t>65</w:t>
            </w:r>
            <w:r>
              <w:rPr>
                <w:sz w:val="20"/>
                <w:szCs w:val="20"/>
              </w:rPr>
              <w:fldChar w:fldCharType="end"/>
            </w:r>
          </w:p>
        </w:tc>
      </w:tr>
      <w:tr w:rsidR="00D749B5" w:rsidRPr="00E20B89" w14:paraId="4A0B0A7A" w14:textId="3821570F" w:rsidTr="00D749B5">
        <w:trPr>
          <w:jc w:val="center"/>
        </w:trPr>
        <w:tc>
          <w:tcPr>
            <w:tcW w:w="1127" w:type="dxa"/>
          </w:tcPr>
          <w:p w14:paraId="62FEB4CC" w14:textId="66EBA241" w:rsidR="00D749B5" w:rsidRPr="00E20B89" w:rsidRDefault="00D749B5" w:rsidP="00E20B89">
            <w:pPr>
              <w:rPr>
                <w:sz w:val="20"/>
                <w:szCs w:val="20"/>
              </w:rPr>
            </w:pPr>
            <w:r w:rsidRPr="00E20B89">
              <w:rPr>
                <w:sz w:val="20"/>
                <w:szCs w:val="20"/>
              </w:rPr>
              <w:t>Putra</w:t>
            </w:r>
            <w:r>
              <w:rPr>
                <w:sz w:val="20"/>
                <w:szCs w:val="20"/>
              </w:rPr>
              <w:t xml:space="preserve"> et al 201</w:t>
            </w:r>
            <w:r w:rsidR="00131373">
              <w:rPr>
                <w:sz w:val="20"/>
                <w:szCs w:val="20"/>
              </w:rPr>
              <w:t>8</w:t>
            </w:r>
          </w:p>
        </w:tc>
        <w:tc>
          <w:tcPr>
            <w:tcW w:w="1278" w:type="dxa"/>
          </w:tcPr>
          <w:p w14:paraId="606AE514" w14:textId="7B60BF30" w:rsidR="00D749B5" w:rsidRPr="00E20B89" w:rsidRDefault="00D749B5" w:rsidP="00E20B89">
            <w:pPr>
              <w:rPr>
                <w:sz w:val="20"/>
                <w:szCs w:val="20"/>
              </w:rPr>
            </w:pPr>
            <w:r w:rsidRPr="00E20B89">
              <w:rPr>
                <w:sz w:val="20"/>
                <w:szCs w:val="20"/>
              </w:rPr>
              <w:t>Histological Assessment</w:t>
            </w:r>
            <w:r w:rsidR="00A619F0">
              <w:rPr>
                <w:sz w:val="20"/>
                <w:szCs w:val="20"/>
              </w:rPr>
              <w:t xml:space="preserve"> (</w:t>
            </w:r>
            <w:r w:rsidR="00A619F0" w:rsidRPr="00A619F0">
              <w:rPr>
                <w:sz w:val="20"/>
                <w:szCs w:val="20"/>
              </w:rPr>
              <w:t>Ishak Fibrosis score, Laennec Cirrhosis subtype</w:t>
            </w:r>
            <w:r w:rsidR="00A619F0">
              <w:rPr>
                <w:sz w:val="20"/>
                <w:szCs w:val="20"/>
              </w:rPr>
              <w:t>)</w:t>
            </w:r>
          </w:p>
        </w:tc>
        <w:tc>
          <w:tcPr>
            <w:tcW w:w="6173" w:type="dxa"/>
          </w:tcPr>
          <w:p w14:paraId="5E42F703" w14:textId="3FD429D1" w:rsidR="00D749B5" w:rsidRPr="00E20B89" w:rsidRDefault="00A619F0" w:rsidP="00A619F0">
            <w:pPr>
              <w:jc w:val="both"/>
              <w:rPr>
                <w:sz w:val="20"/>
                <w:szCs w:val="20"/>
              </w:rPr>
            </w:pPr>
            <w:r w:rsidRPr="00A619F0">
              <w:rPr>
                <w:sz w:val="20"/>
                <w:szCs w:val="20"/>
              </w:rPr>
              <w:t>No significant difference in fibrosis severity or Laennec cirrhosis subtype (predominantly 4B) was observed between liver transplant patients who achieved SVR and those who did not. Mild cirrhosis (Stage 4A) showing features of fibrosis regression (interrupted and floating septa) was observed in 20% of SVR(+) patients, identical to SVR(-) controls, suggesting regression is not noticeably evident in the short term (median 24 weeks)</w:t>
            </w:r>
            <w:r>
              <w:rPr>
                <w:sz w:val="20"/>
                <w:szCs w:val="20"/>
              </w:rPr>
              <w:t>.</w:t>
            </w:r>
          </w:p>
        </w:tc>
        <w:tc>
          <w:tcPr>
            <w:tcW w:w="1071" w:type="dxa"/>
          </w:tcPr>
          <w:p w14:paraId="7215A766" w14:textId="687AA43B" w:rsidR="00D749B5" w:rsidRPr="00E20B89" w:rsidRDefault="00131373" w:rsidP="0014673F">
            <w:pPr>
              <w:jc w:val="both"/>
              <w:rPr>
                <w:sz w:val="20"/>
                <w:szCs w:val="20"/>
              </w:rPr>
            </w:pPr>
            <w:r>
              <w:rPr>
                <w:sz w:val="20"/>
                <w:szCs w:val="20"/>
              </w:rPr>
              <w:fldChar w:fldCharType="begin"/>
            </w:r>
            <w:r w:rsidR="003758D4">
              <w:rPr>
                <w:sz w:val="20"/>
                <w:szCs w:val="20"/>
              </w:rPr>
              <w:instrText xml:space="preserve"> ADDIN ZOTERO_ITEM CSL_CITATION {"citationID":"o5lsMNzb","properties":{"formattedCitation":"\\super 59\\nosupersub{}","plainCitation":"59","noteIndex":0},"citationItems":[{"id":1673,"uris":["http://zotero.org/users/5317696/items/LMGYDWTS"],"itemData":{"id":1673,"type":"article-journal","abstract":"AIMS: The use of direct-acting anti-viral agents (DAAs) has resulted in extremely high sustained virological response (SVR) rates in patients being treated while on liver transplantation (LT) waiting lists. The aim of this study was to evaluate the histological findings of hepatitis C virus (HCV) patients who achieved SVR after receiving DAA treatment [SVR(+)] prior to LT, and compare them with HCV patients who had not achieved SVR [SVR(-)].\nMETHODS AND RESULTS: Fifty-eight adult HCV patients who underwent LT at our institution from 2014 to 2016 were included in the study. Two pathologists, blinded to SVR status, simultaneously evaluated the histological sections. Assessment included the Histology Activity Index (HAI/modified Knodell score), fibrosis stage (Ishak score), and Laennec cirrhosis stage. The study group comprised 25 SVR(+) patients (56% male; mean age, 63.8 years), and the control group comprised 33 SVR(-) patients (69% male; mean age, 61.7 years). There was no significant difference in HAI between the groups (P = 0.414). Patients who achieved SVR also did not show less portal inflammation (P = 0.787), interface hepatitis (P = 0.999), confluent necrosis (P = 0.627) or spotty necrosis (P = 0.093) than the control group. There was a trend towards a higher degree of inflammation in patients who achieved SVR in &lt;24 weeks (P = 0.07). The degree of focal lytic necrosis/apoptosis and portal inflammation was more prominent in SVR(+) patients with shorter SVR-LT intervals.\nCONCLUSIONS: Our study is the first to report persistent inflammation in HCV patients who received DAAs prior to LT. This supports the notion that inflammation is immunologically driven and that inflammation persists despite the absence of virus.","container-title":"Histopathology","DOI":"10.1111/his.13453","ISSN":"1365-2559","issue":"6","journalAbbreviation":"Histopathology","language":"eng","page":"990-996","PMID":"29235144","source":"PubMed","title":"Histological assessment of the liver explant in transplanted hepatitis C virus patients achieving sustained virological response with direct-acting antiviral agents","volume":"72","author":[{"family":"Putra","given":"Juan"},{"family":"Schiano","given":"Thomas D."},{"family":"Fiel","given":"M. Isabel"}],"issued":{"date-parts":[["2018",5]]}}}],"schema":"https://github.com/citation-style-language/schema/raw/master/csl-citation.json"} </w:instrText>
            </w:r>
            <w:r>
              <w:rPr>
                <w:sz w:val="20"/>
                <w:szCs w:val="20"/>
              </w:rPr>
              <w:fldChar w:fldCharType="separate"/>
            </w:r>
            <w:r w:rsidR="003758D4" w:rsidRPr="003758D4">
              <w:rPr>
                <w:sz w:val="20"/>
                <w:vertAlign w:val="superscript"/>
              </w:rPr>
              <w:t>59</w:t>
            </w:r>
            <w:r>
              <w:rPr>
                <w:sz w:val="20"/>
                <w:szCs w:val="20"/>
              </w:rPr>
              <w:fldChar w:fldCharType="end"/>
            </w:r>
          </w:p>
        </w:tc>
      </w:tr>
      <w:tr w:rsidR="00D749B5" w:rsidRPr="00E20B89" w14:paraId="7CBFB3BC" w14:textId="43C3E2CC" w:rsidTr="00D749B5">
        <w:trPr>
          <w:jc w:val="center"/>
        </w:trPr>
        <w:tc>
          <w:tcPr>
            <w:tcW w:w="1127" w:type="dxa"/>
          </w:tcPr>
          <w:p w14:paraId="07E2FA25" w14:textId="0AC886BF" w:rsidR="00D749B5" w:rsidRPr="00E20B89" w:rsidRDefault="00D749B5" w:rsidP="00E20B89">
            <w:pPr>
              <w:rPr>
                <w:sz w:val="20"/>
                <w:szCs w:val="20"/>
              </w:rPr>
            </w:pPr>
            <w:r w:rsidRPr="00E20B89">
              <w:rPr>
                <w:sz w:val="20"/>
                <w:szCs w:val="20"/>
              </w:rPr>
              <w:t>Enomoto</w:t>
            </w:r>
            <w:r>
              <w:rPr>
                <w:sz w:val="20"/>
                <w:szCs w:val="20"/>
              </w:rPr>
              <w:t xml:space="preserve"> et al 2018</w:t>
            </w:r>
          </w:p>
        </w:tc>
        <w:tc>
          <w:tcPr>
            <w:tcW w:w="1278" w:type="dxa"/>
          </w:tcPr>
          <w:p w14:paraId="29A3248D" w14:textId="36C7E318" w:rsidR="00D749B5" w:rsidRPr="00E20B89" w:rsidRDefault="00D749B5" w:rsidP="00E20B89">
            <w:pPr>
              <w:rPr>
                <w:sz w:val="20"/>
                <w:szCs w:val="20"/>
              </w:rPr>
            </w:pPr>
            <w:r w:rsidRPr="00E20B89">
              <w:rPr>
                <w:sz w:val="20"/>
                <w:szCs w:val="20"/>
              </w:rPr>
              <w:t>Histological Examination</w:t>
            </w:r>
            <w:r w:rsidR="00A619F0">
              <w:rPr>
                <w:sz w:val="20"/>
                <w:szCs w:val="20"/>
              </w:rPr>
              <w:t xml:space="preserve"> (</w:t>
            </w:r>
            <w:r w:rsidR="00A619F0" w:rsidRPr="00A619F0">
              <w:rPr>
                <w:sz w:val="20"/>
                <w:szCs w:val="20"/>
              </w:rPr>
              <w:t>METAVIR</w:t>
            </w:r>
            <w:r w:rsidR="002D1CF8">
              <w:rPr>
                <w:sz w:val="20"/>
                <w:szCs w:val="20"/>
              </w:rPr>
              <w:t xml:space="preserve"> fibrosis</w:t>
            </w:r>
            <w:r w:rsidR="00A619F0" w:rsidRPr="00A619F0">
              <w:rPr>
                <w:sz w:val="20"/>
                <w:szCs w:val="20"/>
              </w:rPr>
              <w:t xml:space="preserve"> scoring system</w:t>
            </w:r>
            <w:r w:rsidR="00A619F0">
              <w:rPr>
                <w:sz w:val="20"/>
                <w:szCs w:val="20"/>
              </w:rPr>
              <w:t>)</w:t>
            </w:r>
          </w:p>
        </w:tc>
        <w:tc>
          <w:tcPr>
            <w:tcW w:w="6173" w:type="dxa"/>
          </w:tcPr>
          <w:p w14:paraId="72BDF728" w14:textId="495506CD" w:rsidR="00D749B5" w:rsidRPr="00E20B89" w:rsidRDefault="00A619F0" w:rsidP="00A619F0">
            <w:pPr>
              <w:jc w:val="both"/>
              <w:rPr>
                <w:sz w:val="20"/>
                <w:szCs w:val="20"/>
              </w:rPr>
            </w:pPr>
            <w:r w:rsidRPr="00A619F0">
              <w:rPr>
                <w:sz w:val="20"/>
                <w:szCs w:val="20"/>
              </w:rPr>
              <w:t>The stage of fibrosis did not significantly regress overall in paired biopsies post-DAA treatment (p=0.45). Although bridging fibrous bundles became thinner, improvement in liver fibrosis stage was not overtly evident in the short term, with fibrosis worsening in 4 patients, remaining unchanged in 11, and improving in 5</w:t>
            </w:r>
          </w:p>
        </w:tc>
        <w:tc>
          <w:tcPr>
            <w:tcW w:w="1071" w:type="dxa"/>
          </w:tcPr>
          <w:p w14:paraId="4CE097EE" w14:textId="21F4986B" w:rsidR="00D749B5" w:rsidRPr="00E20B89" w:rsidRDefault="00131373" w:rsidP="00E20B89">
            <w:pPr>
              <w:jc w:val="both"/>
              <w:rPr>
                <w:sz w:val="20"/>
                <w:szCs w:val="20"/>
              </w:rPr>
            </w:pPr>
            <w:r>
              <w:rPr>
                <w:sz w:val="20"/>
                <w:szCs w:val="20"/>
              </w:rPr>
              <w:fldChar w:fldCharType="begin"/>
            </w:r>
            <w:r w:rsidR="003758D4">
              <w:rPr>
                <w:sz w:val="20"/>
                <w:szCs w:val="20"/>
              </w:rPr>
              <w:instrText xml:space="preserve"> ADDIN ZOTERO_ITEM CSL_CITATION {"citationID":"0DSuORdL","properties":{"formattedCitation":"\\super 20\\nosupersub{}","plainCitation":"20","noteIndex":0},"citationItems":[{"id":1670,"uris":["http://zotero.org/users/5317696/items/YP8KNAN7"],"itemData":{"id":1670,"type":"article-journal","abstract":"Background Interferon-free, direct-acting antiviral treatments can result in a sustained virologic response in nearly 100% of patients with chronic hepatitis C virus infection. Aims The purpose of this study was to evaluate histological improvement after achieving a sustained virologic response to direct-acting antiviral treatments in patients with chronic hepatitis C. Methods Among 691 patients with chronic hepatitis C who achieved a sustained virologic response to direct-acting antivirals, 51 underwent liver biopsy 41 ± 20 weeks after the end of treatment despite normal transaminase levels. In 20 patients, liver biopsy specimens obtained a median of 1.2 years before the start of treatment were available. Results Among the 51 patients who underwent post-sustained virologic response biopsies, the grade of inflammation was A0 in 18 patients, A1 in 24, A2 in eight, and A3 in one; the stage of fibrosis was F0 in three patients, F1 in 20, F2 in 15, F3 in nine, and F4 in four. Among the nine post-sustained virologic response biopsy specimens with moderate-to-severe inflammation (≥A2), four showed S1-to-S3 steatosis (&gt;5% of hepatocytes affected). In the 20 paired biopsy specimens, the inflammation grade significantly regressed (p = 0.0043), but the fibrosis stage did not (p = 0.45). Histological improvement, defined as a ≥ 2-point decrease in the Knodell inflammatory score and no worsening of the fibrosis, was found in 11 (55%) patients. The iron accumulation had significantly regressed (p = 0.0093), but the steatosis had not (p = 0.10). Conclusions Even if transaminases become normal after obtaining a sustained virologic response, significant histological inflammation of unknown cause was found in some patients. Additionally, improvement in liver fibrosis was not evident in the short term.","container-title":"United European Gastroenterology Journal","DOI":"10.1177/2050640618791053","ISSN":"2050-6414","issue":"9","journalAbbreviation":"UEG Journal","language":"en","license":"© 2018 The Authors. UEG Journal published by Wiley Periodicals LLC. on behalf of United European Gastroenterology","note":"_eprint: https://onlinelibrary.wiley.com/doi/pdf/10.1177/2050640618791053","page":"1391-1400","source":"Wiley Online Library","title":"Short-term histological evaluations after achieving a sustained virologic response to direct-acting antiviral treatment for chronic hepatitis C","URL":"https://onlinelibrary.wiley.com/doi/abs/10.1177/2050640618791053","volume":"6","author":[{"family":"Enomoto","given":"Masaru"},{"family":"Ikura","given":"Yoshihiro"},{"family":"Tamori","given":"Akihiro"},{"family":"Kozuka","given":"Ritsuzo"},{"family":"Motoyama","given":"Hiroyuki"},{"family":"Kawamura","given":"Etsushi"},{"family":"Hagihara","given":"Atsushi"},{"family":"Fujii","given":"Hideki"},{"family":"Uchida-Kobayashi","given":"Sawako"},{"family":"Morikawa","given":"Hiroyasu"},{"family":"Murakami","given":"Yoshiki"},{"family":"Kawada","given":"Norifumi"}],"accessed":{"date-parts":[["2025",8,21]]},"issued":{"date-parts":[["2018"]]}}}],"schema":"https://github.com/citation-style-language/schema/raw/master/csl-citation.json"} </w:instrText>
            </w:r>
            <w:r>
              <w:rPr>
                <w:sz w:val="20"/>
                <w:szCs w:val="20"/>
              </w:rPr>
              <w:fldChar w:fldCharType="separate"/>
            </w:r>
            <w:r w:rsidR="003758D4" w:rsidRPr="003758D4">
              <w:rPr>
                <w:sz w:val="20"/>
                <w:vertAlign w:val="superscript"/>
              </w:rPr>
              <w:t>20</w:t>
            </w:r>
            <w:r>
              <w:rPr>
                <w:sz w:val="20"/>
                <w:szCs w:val="20"/>
              </w:rPr>
              <w:fldChar w:fldCharType="end"/>
            </w:r>
          </w:p>
        </w:tc>
      </w:tr>
      <w:tr w:rsidR="00D749B5" w:rsidRPr="00E20B89" w14:paraId="0890670B" w14:textId="5F316DE9" w:rsidTr="00D749B5">
        <w:trPr>
          <w:jc w:val="center"/>
        </w:trPr>
        <w:tc>
          <w:tcPr>
            <w:tcW w:w="1127" w:type="dxa"/>
          </w:tcPr>
          <w:p w14:paraId="5B6AF5D0" w14:textId="2728918F" w:rsidR="00D749B5" w:rsidRPr="00E20B89" w:rsidRDefault="00D749B5" w:rsidP="00E20B89">
            <w:pPr>
              <w:rPr>
                <w:sz w:val="20"/>
                <w:szCs w:val="20"/>
              </w:rPr>
            </w:pPr>
            <w:r w:rsidRPr="00E20B89">
              <w:rPr>
                <w:sz w:val="20"/>
                <w:szCs w:val="20"/>
              </w:rPr>
              <w:t xml:space="preserve">Teegen </w:t>
            </w:r>
            <w:r>
              <w:rPr>
                <w:sz w:val="20"/>
                <w:szCs w:val="20"/>
              </w:rPr>
              <w:t>et al 2019</w:t>
            </w:r>
          </w:p>
        </w:tc>
        <w:tc>
          <w:tcPr>
            <w:tcW w:w="1278" w:type="dxa"/>
          </w:tcPr>
          <w:p w14:paraId="316501C2" w14:textId="0E5E982B" w:rsidR="00D749B5" w:rsidRPr="00E20B89" w:rsidRDefault="00D749B5" w:rsidP="00E20B89">
            <w:pPr>
              <w:rPr>
                <w:sz w:val="20"/>
                <w:szCs w:val="20"/>
              </w:rPr>
            </w:pPr>
            <w:r w:rsidRPr="00E20B89">
              <w:rPr>
                <w:sz w:val="20"/>
                <w:szCs w:val="20"/>
              </w:rPr>
              <w:t>Histological examination</w:t>
            </w:r>
            <w:r w:rsidR="00A619F0">
              <w:rPr>
                <w:sz w:val="20"/>
                <w:szCs w:val="20"/>
              </w:rPr>
              <w:t xml:space="preserve"> (</w:t>
            </w:r>
            <w:r w:rsidR="00A619F0" w:rsidRPr="00A619F0">
              <w:rPr>
                <w:sz w:val="20"/>
                <w:szCs w:val="20"/>
              </w:rPr>
              <w:t>Desmet &amp; Scheuer classification for fibrosis (0-4)</w:t>
            </w:r>
            <w:r w:rsidR="00A619F0">
              <w:rPr>
                <w:sz w:val="20"/>
                <w:szCs w:val="20"/>
              </w:rPr>
              <w:t>)</w:t>
            </w:r>
          </w:p>
        </w:tc>
        <w:tc>
          <w:tcPr>
            <w:tcW w:w="6173" w:type="dxa"/>
          </w:tcPr>
          <w:p w14:paraId="48ABF986" w14:textId="04D60477" w:rsidR="00D749B5" w:rsidRPr="00E20B89" w:rsidRDefault="00A619F0" w:rsidP="00A619F0">
            <w:pPr>
              <w:jc w:val="both"/>
              <w:rPr>
                <w:sz w:val="20"/>
                <w:szCs w:val="20"/>
              </w:rPr>
            </w:pPr>
            <w:r w:rsidRPr="00A619F0">
              <w:rPr>
                <w:sz w:val="20"/>
                <w:szCs w:val="20"/>
              </w:rPr>
              <w:t>Post-treatment biopsies in liver transplant recipients revealed a significant improvement in the distribution of fibrosis towards lower stages (p=0.031). Fibrosis regression was observed in 25 patients, while 13 experienced progression and 25 remained stable.</w:t>
            </w:r>
          </w:p>
        </w:tc>
        <w:tc>
          <w:tcPr>
            <w:tcW w:w="1071" w:type="dxa"/>
          </w:tcPr>
          <w:p w14:paraId="0652656E" w14:textId="336984A9" w:rsidR="00D749B5" w:rsidRPr="00E20B89" w:rsidRDefault="00131373" w:rsidP="0014673F">
            <w:pPr>
              <w:jc w:val="both"/>
              <w:rPr>
                <w:sz w:val="20"/>
                <w:szCs w:val="20"/>
              </w:rPr>
            </w:pPr>
            <w:r>
              <w:rPr>
                <w:sz w:val="20"/>
                <w:szCs w:val="20"/>
              </w:rPr>
              <w:fldChar w:fldCharType="begin"/>
            </w:r>
            <w:r w:rsidR="003758D4">
              <w:rPr>
                <w:sz w:val="20"/>
                <w:szCs w:val="20"/>
              </w:rPr>
              <w:instrText xml:space="preserve"> ADDIN ZOTERO_ITEM CSL_CITATION {"citationID":"QpEvB53s","properties":{"formattedCitation":"\\super 60\\nosupersub{}","plainCitation":"60","noteIndex":0},"citationItems":[{"id":1671,"uris":["http://zotero.org/users/5317696/items/7UFH2394"],"itemData":{"id":1671,"type":"article-journal","abstract":"Background Direct-acting antivirals allow efficient and safe treatment of hepatitis C (HCV) before and after liver transplantation (LT). However, the impact of sofosbuvir on the graft, diabetes, and on kidney function is not answered yet. Primary endpoint of this analysis was the evaluation of kidney function after antiviral treatment (AVT). Secondary endpoints were the assessment of extrahepatic manifestation of HCV-infection by diabetes mellitus and the histopathological changes in terms of inflammation, content of fat, and fibrosis stage. Methods From 2014 to 4/2015, 100 patients with HCV-recurrence after LT were successfully treated with AVT. Ninety-eight received a sofosbuvir-based regimen. Indication was based on genotype, transplant fibrosis stage, and urgency. Biopsies were evaluated before and after treatment. Renal function and diabetes were assessed before, during, and after AVT. Results All patients achieved sustained virological response. A significant improvement of inflammation (P = 0.001) and fibrosis stage (P = 0.031) were observed. Significantly less insulin was required in 32 patients with diabetes (P &lt; 0.001) to keep Hb1Ac unchanged after AVT. Kidney function was stable during, 12 weeks after and 48 weeks after antiviral therapy. Stages of renal insufficiency were comparable before and after AVT. Conclusion Successful sofosbuvir-based AVT leads to a variety of positive development in transplant patients including a significant improvement of inflammation, fat content and fibrosis, a significant decrease in daily insulin dose and no significant impairment of kidney function.","container-title":"Transplant Infectious Disease","DOI":"10.1111/tid.13020","ISSN":"1399-3062","issue":"1","language":"en","license":"© 2018 John Wiley &amp; Sons A/S. Published by John Wiley &amp; Sons Ltd","note":"_eprint: https://onlinelibrary.wiley.com/doi/pdf/10.1111/tid.13020","page":"e13020","source":"Wiley Online Library","title":"Evaluation of histological dynamics, kidney function and diabetes in liver transplant patients after antiviral treatment with direct-acting antivirals: Therapy of HCV-recurrence","title-short":"Evaluation of histological dynamics, kidney function and diabetes in liver transplant patients after antiviral treatment with direct-acting antivirals","URL":"https://onlinelibrary.wiley.com/doi/abs/10.1111/tid.13020","volume":"21","author":[{"family":"Teegen","given":"Eva M."},{"family":"Dürr","given":"Michael"},{"family":"Maurer","given":"Max M."},{"family":"Eurich","given":"Franziska"},{"family":"Vollbort","given":"Antonia"},{"family":"Globke","given":"Brigitta"},{"family":"Bahra","given":"Marcus"},{"family":"Blaeker","given":"Hendrik"},{"family":"Pratschke","given":"Johann"},{"family":"Eurich","given":"Dennis"}],"accessed":{"date-parts":[["2025",8,21]]},"issued":{"date-parts":[["2019"]]}}}],"schema":"https://github.com/citation-style-language/schema/raw/master/csl-citation.json"} </w:instrText>
            </w:r>
            <w:r>
              <w:rPr>
                <w:sz w:val="20"/>
                <w:szCs w:val="20"/>
              </w:rPr>
              <w:fldChar w:fldCharType="separate"/>
            </w:r>
            <w:r w:rsidR="003758D4" w:rsidRPr="003758D4">
              <w:rPr>
                <w:sz w:val="20"/>
                <w:vertAlign w:val="superscript"/>
              </w:rPr>
              <w:t>60</w:t>
            </w:r>
            <w:r>
              <w:rPr>
                <w:sz w:val="20"/>
                <w:szCs w:val="20"/>
              </w:rPr>
              <w:fldChar w:fldCharType="end"/>
            </w:r>
          </w:p>
        </w:tc>
      </w:tr>
      <w:tr w:rsidR="00D749B5" w:rsidRPr="00E20B89" w14:paraId="73DFCF8C" w14:textId="099F2485" w:rsidTr="00D749B5">
        <w:trPr>
          <w:jc w:val="center"/>
        </w:trPr>
        <w:tc>
          <w:tcPr>
            <w:tcW w:w="1127" w:type="dxa"/>
          </w:tcPr>
          <w:p w14:paraId="4ABE726B" w14:textId="0352FD1D" w:rsidR="00D749B5" w:rsidRPr="00E20B89" w:rsidRDefault="00D749B5" w:rsidP="00E20B89">
            <w:pPr>
              <w:rPr>
                <w:sz w:val="20"/>
                <w:szCs w:val="20"/>
              </w:rPr>
            </w:pPr>
            <w:r w:rsidRPr="00E20B89">
              <w:rPr>
                <w:sz w:val="20"/>
                <w:szCs w:val="20"/>
              </w:rPr>
              <w:t>Wang</w:t>
            </w:r>
            <w:r>
              <w:rPr>
                <w:sz w:val="20"/>
                <w:szCs w:val="20"/>
              </w:rPr>
              <w:t xml:space="preserve"> et al 2019</w:t>
            </w:r>
          </w:p>
        </w:tc>
        <w:tc>
          <w:tcPr>
            <w:tcW w:w="1278" w:type="dxa"/>
          </w:tcPr>
          <w:p w14:paraId="4CE93542" w14:textId="77777777" w:rsidR="00D749B5" w:rsidRDefault="00D749B5" w:rsidP="00E20B89">
            <w:pPr>
              <w:rPr>
                <w:sz w:val="20"/>
                <w:szCs w:val="20"/>
              </w:rPr>
            </w:pPr>
            <w:r w:rsidRPr="00E20B89">
              <w:rPr>
                <w:sz w:val="20"/>
                <w:szCs w:val="20"/>
              </w:rPr>
              <w:t>Histological Evaluation</w:t>
            </w:r>
          </w:p>
          <w:p w14:paraId="07384645" w14:textId="592F7D2D" w:rsidR="002D1CF8" w:rsidRPr="00E20B89" w:rsidRDefault="002D1CF8" w:rsidP="00E20B89">
            <w:pPr>
              <w:rPr>
                <w:sz w:val="20"/>
                <w:szCs w:val="20"/>
              </w:rPr>
            </w:pPr>
            <w:r>
              <w:rPr>
                <w:sz w:val="20"/>
                <w:szCs w:val="20"/>
              </w:rPr>
              <w:t>(</w:t>
            </w:r>
            <w:r w:rsidRPr="002D1CF8">
              <w:rPr>
                <w:sz w:val="20"/>
                <w:szCs w:val="20"/>
              </w:rPr>
              <w:t>Ishak classification (fibrosis stage S)</w:t>
            </w:r>
            <w:r>
              <w:rPr>
                <w:sz w:val="20"/>
                <w:szCs w:val="20"/>
              </w:rPr>
              <w:t>)</w:t>
            </w:r>
          </w:p>
        </w:tc>
        <w:tc>
          <w:tcPr>
            <w:tcW w:w="6173" w:type="dxa"/>
          </w:tcPr>
          <w:p w14:paraId="1C93F9B8" w14:textId="66CD16D7" w:rsidR="00D749B5" w:rsidRPr="00E20B89" w:rsidRDefault="002D1CF8" w:rsidP="00E20B89">
            <w:pPr>
              <w:jc w:val="both"/>
              <w:rPr>
                <w:sz w:val="20"/>
                <w:szCs w:val="20"/>
              </w:rPr>
            </w:pPr>
            <w:r w:rsidRPr="002D1CF8">
              <w:rPr>
                <w:color w:val="231F20"/>
                <w:sz w:val="20"/>
                <w:szCs w:val="20"/>
              </w:rPr>
              <w:t>The presence of occult HCV infection (OCI) post-SVR was significantly linked to more severe residual fibrosis. The frequency of fibrosis regression was significantly lower in OCI patients (35.7%) compared to those without OCI (61.0%), indicating OCI negatively impacts fibrosis improvement.</w:t>
            </w:r>
          </w:p>
        </w:tc>
        <w:tc>
          <w:tcPr>
            <w:tcW w:w="1071" w:type="dxa"/>
          </w:tcPr>
          <w:p w14:paraId="3948B232" w14:textId="30DA4DCB" w:rsidR="00D749B5" w:rsidRPr="00E20B89" w:rsidRDefault="00131373" w:rsidP="00E20B89">
            <w:pPr>
              <w:jc w:val="both"/>
              <w:rPr>
                <w:color w:val="231F20"/>
                <w:sz w:val="20"/>
                <w:szCs w:val="20"/>
              </w:rPr>
            </w:pPr>
            <w:r>
              <w:rPr>
                <w:color w:val="231F20"/>
                <w:sz w:val="20"/>
                <w:szCs w:val="20"/>
              </w:rPr>
              <w:fldChar w:fldCharType="begin"/>
            </w:r>
            <w:r w:rsidR="003758D4">
              <w:rPr>
                <w:color w:val="231F20"/>
                <w:sz w:val="20"/>
                <w:szCs w:val="20"/>
              </w:rPr>
              <w:instrText xml:space="preserve"> ADDIN ZOTERO_ITEM CSL_CITATION {"citationID":"P8ojGcYh","properties":{"formattedCitation":"\\super 61\\nosupersub{}","plainCitation":"61","noteIndex":0},"citationItems":[{"id":1667,"uris":["http://zotero.org/users/5317696/items/CEARE7K5"],"itemData":{"id":1667,"type":"article-journal","abstract":"BACKGROUND: Whether achieving sustained virological response (SVR) in patients with hepatitis C attains complete elimination of hepatitis C virus (HCV) is unknown, because occult HCV infection (OCI), defined as the detection of HCV-RNA in hepatocytes or peripheral blood mononuclear cells (PBMC) in absence of serum HCV-RNA, may occur. We thus investigated the prevalence and clinical relevance of OCI.\nMETHODS: Subjects from three hospitals who had achieved serum HCV clearance, including 60 of Direct-acting antiviral agents (DAAs) induced SVR, 50 of pegylated interferon plus ribavirin (PR) induced SVR, and 30 of spontaneous resolution, were subjected to detect HCV-RNA in liver by robust RNAscope assay and PBMC by qPCR. Paired liver biopsies at baseline and at SVR24 were analyzed.\nRESULTS: OCI was detected in 16 of 140 subjects (11.4%), with 15.0% in DAA-based group, 10.0% in PR group and 6.7% in spontaneously resolved group. In DAA-based subgroups, the incidence of OCI was gradually increased in group of solely DAA(s) therapy, combining DAA and PR therapy and combining DAA and ribavirin therapy. OCI is more frequent in patients with genotype 3. No correlation between baseline viral load, interleukin-28B genotype, baseline transaminases, post-SVR transaminases and OCI were found. However, OCI was significantly linked with severity of fibrosis and active inflammation at post-SVR, even considering basal fibrosis status. In addition, both the magnitude and the frequency of fibrosis regression were lower in patients with OCI than in those without OCI. In the multivariate analysis, PR therapy was identified an independent negative prognostic factor for both hepatic inflammation (P = .022) and fibrosis regression (P = .015). Importantly, we found HCV relapse in one of the OCI patients at 48 weeks after the end of PR treatment.\nCONCLUSIONS: HCV-RNA can persist in hepatocytes and/or PBMC in a certain of patients who achieved spontaneous or treatment-induced HCV RNA clearance from serum and associated with persistent histological abnormality. Our findings provide new insights into cure of HCV and could influence the following-up scenario after SVR.","container-title":"EBioMedicine","DOI":"10.1016/j.ebiom.2019.07.043","ISSN":"2352-3964","journalAbbreviation":"EBioMedicine","language":"eng","page":"227-235","PMID":"31345785","PMCID":"PMC6711338","source":"PubMed","title":"Detection of residual HCV-RNA in patients who have achieved sustained virological response is associated with persistent histological abnormality","volume":"46","author":[{"family":"Wang","given":"Yijin"},{"family":"Rao","given":"Huiying"},{"family":"Chi","given":"Xiumei"},{"family":"Li","given":"Boan"},{"family":"Liu","given":"Hongyang"},{"family":"Wu","given":"Liyuan"},{"family":"Zhang","given":"Hao"},{"family":"Liu","given":"Shuhong"},{"family":"Zhou","given":"Gaungde"},{"family":"Li","given":"Na"},{"family":"Niu","given":"Junqi"},{"family":"Wei","given":"Lai"},{"family":"Zhao","given":"Jingmin"}],"issued":{"date-parts":[["2019",8]]}}}],"schema":"https://github.com/citation-style-language/schema/raw/master/csl-citation.json"} </w:instrText>
            </w:r>
            <w:r>
              <w:rPr>
                <w:color w:val="231F20"/>
                <w:sz w:val="20"/>
                <w:szCs w:val="20"/>
              </w:rPr>
              <w:fldChar w:fldCharType="separate"/>
            </w:r>
            <w:r w:rsidR="003758D4" w:rsidRPr="003758D4">
              <w:rPr>
                <w:sz w:val="20"/>
                <w:vertAlign w:val="superscript"/>
              </w:rPr>
              <w:t>61</w:t>
            </w:r>
            <w:r>
              <w:rPr>
                <w:color w:val="231F20"/>
                <w:sz w:val="20"/>
                <w:szCs w:val="20"/>
              </w:rPr>
              <w:fldChar w:fldCharType="end"/>
            </w:r>
          </w:p>
        </w:tc>
      </w:tr>
      <w:tr w:rsidR="00D749B5" w:rsidRPr="00E20B89" w14:paraId="6C25FFC6" w14:textId="7EA156D4" w:rsidTr="00D749B5">
        <w:trPr>
          <w:jc w:val="center"/>
        </w:trPr>
        <w:tc>
          <w:tcPr>
            <w:tcW w:w="1127" w:type="dxa"/>
          </w:tcPr>
          <w:p w14:paraId="42BE596B" w14:textId="5B1F0372" w:rsidR="00D749B5" w:rsidRPr="00E20B89" w:rsidRDefault="00D749B5" w:rsidP="00E20B89">
            <w:pPr>
              <w:rPr>
                <w:sz w:val="20"/>
                <w:szCs w:val="20"/>
              </w:rPr>
            </w:pPr>
            <w:r w:rsidRPr="00E20B89">
              <w:rPr>
                <w:sz w:val="20"/>
                <w:szCs w:val="20"/>
              </w:rPr>
              <w:t>Saldarriaga</w:t>
            </w:r>
            <w:r>
              <w:rPr>
                <w:sz w:val="20"/>
                <w:szCs w:val="20"/>
              </w:rPr>
              <w:t xml:space="preserve"> et al 2021</w:t>
            </w:r>
          </w:p>
        </w:tc>
        <w:tc>
          <w:tcPr>
            <w:tcW w:w="1278" w:type="dxa"/>
          </w:tcPr>
          <w:p w14:paraId="1DDAA2B9" w14:textId="77777777" w:rsidR="00D749B5" w:rsidRDefault="00D749B5" w:rsidP="00E20B89">
            <w:pPr>
              <w:rPr>
                <w:sz w:val="20"/>
                <w:szCs w:val="20"/>
              </w:rPr>
            </w:pPr>
            <w:r w:rsidRPr="00E20B89">
              <w:rPr>
                <w:sz w:val="20"/>
                <w:szCs w:val="20"/>
              </w:rPr>
              <w:t>Quantitative imaging analysis</w:t>
            </w:r>
          </w:p>
          <w:p w14:paraId="1B794892" w14:textId="29224665" w:rsidR="002D1CF8" w:rsidRPr="00E20B89" w:rsidRDefault="002D1CF8" w:rsidP="00E20B89">
            <w:pPr>
              <w:rPr>
                <w:sz w:val="20"/>
                <w:szCs w:val="20"/>
              </w:rPr>
            </w:pPr>
            <w:r>
              <w:rPr>
                <w:sz w:val="20"/>
                <w:szCs w:val="20"/>
              </w:rPr>
              <w:t>(</w:t>
            </w:r>
            <w:r w:rsidRPr="002D1CF8">
              <w:rPr>
                <w:sz w:val="20"/>
                <w:szCs w:val="20"/>
              </w:rPr>
              <w:t>Ishak criteria for fibrosis, Collagen proportionate area (CPA) for quantitative imaging</w:t>
            </w:r>
            <w:r>
              <w:rPr>
                <w:sz w:val="20"/>
                <w:szCs w:val="20"/>
              </w:rPr>
              <w:t>)</w:t>
            </w:r>
          </w:p>
        </w:tc>
        <w:tc>
          <w:tcPr>
            <w:tcW w:w="6173" w:type="dxa"/>
          </w:tcPr>
          <w:p w14:paraId="70CFBA2B" w14:textId="4CD6A926" w:rsidR="00D749B5" w:rsidRPr="00E20B89" w:rsidRDefault="002D1CF8" w:rsidP="002D1CF8">
            <w:pPr>
              <w:jc w:val="both"/>
              <w:rPr>
                <w:sz w:val="20"/>
                <w:szCs w:val="20"/>
              </w:rPr>
            </w:pPr>
            <w:r w:rsidRPr="002D1CF8">
              <w:rPr>
                <w:sz w:val="20"/>
                <w:szCs w:val="20"/>
              </w:rPr>
              <w:t>There was no significant overall difference in Ishak fibrosis stages or CPA post-DAA treatment. However, significant individual variations occurred, including one patient whose fibrosis markedly progressed (CPA 6.74% to 32.02%) and another with pre-existing bridging fibrosis who developed cholangiocarcinoma.</w:t>
            </w:r>
          </w:p>
        </w:tc>
        <w:tc>
          <w:tcPr>
            <w:tcW w:w="1071" w:type="dxa"/>
          </w:tcPr>
          <w:p w14:paraId="0E8D04B8" w14:textId="2593DF4E" w:rsidR="00D749B5" w:rsidRPr="00E20B89" w:rsidRDefault="00131373" w:rsidP="00E20B89">
            <w:pPr>
              <w:jc w:val="both"/>
              <w:rPr>
                <w:sz w:val="20"/>
                <w:szCs w:val="20"/>
              </w:rPr>
            </w:pPr>
            <w:r>
              <w:rPr>
                <w:sz w:val="20"/>
                <w:szCs w:val="20"/>
              </w:rPr>
              <w:fldChar w:fldCharType="begin"/>
            </w:r>
            <w:r w:rsidR="003758D4">
              <w:rPr>
                <w:sz w:val="20"/>
                <w:szCs w:val="20"/>
              </w:rPr>
              <w:instrText xml:space="preserve"> ADDIN ZOTERO_ITEM CSL_CITATION {"citationID":"HqnHurnR","properties":{"formattedCitation":"\\super 63\\nosupersub{}","plainCitation":"63","noteIndex":0},"citationItems":[{"id":1665,"uris":["http://zotero.org/users/5317696/items/H2CIU3X7"],"itemData":{"id":1665,"type":"article-journal","abstract":"Direct-acting antivirals (DAA) have replaced interferon (IFN)-based therapies for hepatitis C virus. In this retrospective clinical study, we examined differences in histopathologic features in paired liver biopsies collected from the same patient before and after DAA and correlated these findings with clinical outcome. Biopsies (n = 19) were evaluated by quantitative imaging analysis to measure steatosis and fibrosis. Most patients had decreased steatosis in their post-treatment, follow-up biopsies. However, one patient had a striking increase in steatosis (from 0.86 to 6.32%) and later developed decompensated cirrhosis and hepatocellular carcinoma (HCC). This patient had a marked increase in fibrosis between biopsies, with a CPA of 6.74 to 32.02. Another patient, who already had bridging fibrosis at the time of her pre-treatment biopsy, developed cholangiocarcinoma after DAA. Even though the overall inflammatory activity in the post-treatment biopsies significantly decreased after treatment, 60% of patients had persistent portal lymphocytic inflammation. In summary, DAAs decreased steatosis and hepatic inflammation in most patients, although some may have persistence of lymphocytic portal inflammation. Patients known to have advanced fibrosis at treatment initiation and who have other risk factors for ongoing liver injury, such as steatosis, should be followed closely for the development of adverse outcomes, such as portal hypertension and primary liver cancers.","container-title":"Scientific Reports","DOI":"10.1038/s41598-021-93881-7","ISSN":"2045-2322","issue":"1","journalAbbreviation":"Sci Rep","language":"en","license":"2021 The Author(s)","page":"14506","publisher":"Nature Publishing Group","source":"www.nature.com","title":"Comparison of liver biopsies before and after direct-acting antiviral therapy for hepatitis C and correlation with clinical outcome","URL":"https://www.nature.com/articles/s41598-021-93881-7","volume":"11","author":[{"family":"Saldarriaga","given":"Omar A."},{"family":"Dye","given":"Bradley"},{"family":"Pham","given":"Judy"},{"family":"Wanninger","given":"Timothy G."},{"family":"Millian","given":"Daniel"},{"family":"Kueht","given":"Michael"},{"family":"Freiberg","given":"Benjamin"},{"family":"Utay","given":"Netanya"},{"family":"Stevenson","given":"Heather L."}],"accessed":{"date-parts":[["2025",8,21]]},"issued":{"date-parts":[["2021",7,15]]}}}],"schema":"https://github.com/citation-style-language/schema/raw/master/csl-citation.json"} </w:instrText>
            </w:r>
            <w:r>
              <w:rPr>
                <w:sz w:val="20"/>
                <w:szCs w:val="20"/>
              </w:rPr>
              <w:fldChar w:fldCharType="separate"/>
            </w:r>
            <w:r w:rsidR="003758D4" w:rsidRPr="003758D4">
              <w:rPr>
                <w:sz w:val="20"/>
                <w:vertAlign w:val="superscript"/>
              </w:rPr>
              <w:t>63</w:t>
            </w:r>
            <w:r>
              <w:rPr>
                <w:sz w:val="20"/>
                <w:szCs w:val="20"/>
              </w:rPr>
              <w:fldChar w:fldCharType="end"/>
            </w:r>
          </w:p>
        </w:tc>
      </w:tr>
      <w:tr w:rsidR="00D749B5" w:rsidRPr="00E20B89" w14:paraId="17ED49BC" w14:textId="52FACA81" w:rsidTr="00D749B5">
        <w:trPr>
          <w:jc w:val="center"/>
        </w:trPr>
        <w:tc>
          <w:tcPr>
            <w:tcW w:w="1127" w:type="dxa"/>
          </w:tcPr>
          <w:p w14:paraId="6D018588" w14:textId="7667757C" w:rsidR="00D749B5" w:rsidRPr="00E20B89" w:rsidRDefault="00D749B5" w:rsidP="00E20B89">
            <w:pPr>
              <w:rPr>
                <w:sz w:val="20"/>
                <w:szCs w:val="20"/>
              </w:rPr>
            </w:pPr>
            <w:r w:rsidRPr="00E20B89">
              <w:rPr>
                <w:sz w:val="20"/>
                <w:szCs w:val="20"/>
              </w:rPr>
              <w:t>Cheng</w:t>
            </w:r>
            <w:r>
              <w:rPr>
                <w:sz w:val="20"/>
                <w:szCs w:val="20"/>
              </w:rPr>
              <w:t xml:space="preserve"> et al 2021</w:t>
            </w:r>
          </w:p>
        </w:tc>
        <w:tc>
          <w:tcPr>
            <w:tcW w:w="1278" w:type="dxa"/>
          </w:tcPr>
          <w:p w14:paraId="6E6C9F20" w14:textId="14019D9E" w:rsidR="00D749B5" w:rsidRPr="00E20B89" w:rsidRDefault="00D749B5" w:rsidP="00E20B89">
            <w:pPr>
              <w:rPr>
                <w:sz w:val="20"/>
                <w:szCs w:val="20"/>
              </w:rPr>
            </w:pPr>
            <w:r w:rsidRPr="00E20B89">
              <w:rPr>
                <w:sz w:val="20"/>
                <w:szCs w:val="20"/>
              </w:rPr>
              <w:t>Histological Evaluation</w:t>
            </w:r>
            <w:r w:rsidR="002D1CF8">
              <w:rPr>
                <w:sz w:val="20"/>
                <w:szCs w:val="20"/>
              </w:rPr>
              <w:t xml:space="preserve"> (</w:t>
            </w:r>
            <w:r w:rsidR="002D1CF8" w:rsidRPr="002D1CF8">
              <w:rPr>
                <w:sz w:val="20"/>
                <w:szCs w:val="20"/>
              </w:rPr>
              <w:t xml:space="preserve">METAVIR fibrosis </w:t>
            </w:r>
            <w:r w:rsidR="002D1CF8" w:rsidRPr="002D1CF8">
              <w:rPr>
                <w:sz w:val="20"/>
                <w:szCs w:val="20"/>
              </w:rPr>
              <w:lastRenderedPageBreak/>
              <w:t>scoring system</w:t>
            </w:r>
            <w:r w:rsidR="002D1CF8">
              <w:rPr>
                <w:sz w:val="20"/>
                <w:szCs w:val="20"/>
              </w:rPr>
              <w:t>)</w:t>
            </w:r>
          </w:p>
        </w:tc>
        <w:tc>
          <w:tcPr>
            <w:tcW w:w="6173" w:type="dxa"/>
          </w:tcPr>
          <w:p w14:paraId="58217E0B" w14:textId="6223F969" w:rsidR="00D749B5" w:rsidRPr="00E20B89" w:rsidRDefault="002D1CF8" w:rsidP="002D1CF8">
            <w:pPr>
              <w:jc w:val="both"/>
              <w:rPr>
                <w:sz w:val="20"/>
                <w:szCs w:val="20"/>
              </w:rPr>
            </w:pPr>
            <w:r w:rsidRPr="002D1CF8">
              <w:rPr>
                <w:sz w:val="20"/>
                <w:szCs w:val="20"/>
              </w:rPr>
              <w:lastRenderedPageBreak/>
              <w:t>In paired biopsies, METAVIR fibrosis scores improved in 61.9% of patients post-DAA treatment, with over half the patients dropping to stages F0-F2. The study found no baseline host or virological factors predictive of histological fibrosis regression.</w:t>
            </w:r>
          </w:p>
        </w:tc>
        <w:tc>
          <w:tcPr>
            <w:tcW w:w="1071" w:type="dxa"/>
          </w:tcPr>
          <w:p w14:paraId="7A379186" w14:textId="08D30D2F" w:rsidR="00D749B5" w:rsidRPr="00E20B89" w:rsidRDefault="00131373" w:rsidP="00E20B89">
            <w:pPr>
              <w:jc w:val="both"/>
              <w:rPr>
                <w:sz w:val="20"/>
                <w:szCs w:val="20"/>
              </w:rPr>
            </w:pPr>
            <w:r>
              <w:rPr>
                <w:sz w:val="20"/>
                <w:szCs w:val="20"/>
              </w:rPr>
              <w:fldChar w:fldCharType="begin"/>
            </w:r>
            <w:r w:rsidR="003758D4">
              <w:rPr>
                <w:sz w:val="20"/>
                <w:szCs w:val="20"/>
              </w:rPr>
              <w:instrText xml:space="preserve"> ADDIN ZOTERO_ITEM CSL_CITATION {"citationID":"pBQCrDkt","properties":{"formattedCitation":"\\super 62\\nosupersub{}","plainCitation":"62","noteIndex":0},"citationItems":[{"id":1664,"uris":["http://zotero.org/users/5317696/items/UDWGNJY9"],"itemData":{"id":1664,"type":"article-journal","abstract":"BACKGROUND/PURPOSE: Direct-acting antiviral agents achieve sustained virological response in most chronic hepatitis C patients. However, histological responses are not consistent among all patients. We conducted an observational study to analyze the histological changes after direct-acting antiviral agent therapy.\nMETHODS: We recruited 220 patients who achieved sustained virological response after direct-acting antiviral agent. Histology was assessed by liver biopsy and laboratory indices including fibrosis-4 and aspartate aminotransferase to platelet ratio index. Primary outcomes were change in the dynamic laboratory results. Secondary outcomes were histological changes on liver biopsy. We analyzed the factors predictive of histological regression.\nRESULTS: The mean fibrosis-4 index decreased from 4.78 at baseline to 3.30, 3.31, 3.65, and 3.66 at week 4, 8, end of treatment, and 12 weeks after treatment, respectively (all p &lt; 0.01). Mean aspartate aminotransferase to platelet ratio index decreased from 1.62 at baseline to 0.61, 0.66, 0.64, and 0.82 at week 4, 8, end of treatment, and 12 weeks after treatment, respectively (all p &lt; 0.01). Mean Histological Activity Index at baseline and post-treatment was 6.9 ± 1.9 and 5.0 ± 2.3. The METAVIR fibrosis scores improved in 61.9% of the patients. We compared patients who achieved fibrosis-regression with the non-regression group. There was no significant difference in the baseline host/virological factors between the groups.\nCONCLUSION: Reversal of liver inflammation and fibrosis was achieved in a significant number of patients who received direct-acting antiviral agent. No baseline host or virological factor was predictive of histological regression after antiviral treatment.","container-title":"Journal of the Formosan Medical Association = Taiwan Yi Zhi","DOI":"10.1016/j.jfma.2020.11.018","ISSN":"0929-6646","issue":"5","journalAbbreviation":"J Formos Med Assoc","language":"eng","page":"1259-1268","PMID":"33339709","source":"PubMed","title":"Direct-acting antiviral therapy of chronic hepatitis C improves liver fibrosis, assessed by histological examination and laboratory markers","volume":"120","author":[{"family":"Cheng","given":"Chun-Han"},{"family":"Chu","given":"Chia-Ying"},{"family":"Chen","given":"Huan-Lin"},{"family":"Lin","given":"I.-Tsung"},{"family":"Wu","given":"Chia-Hsien"},{"family":"Lee","given":"Yuan-Kai"},{"family":"Hu","given":"Ping-Jen"},{"family":"Bair","given":"Ming-Jong"}],"issued":{"date-parts":[["2021",5]]}}}],"schema":"https://github.com/citation-style-language/schema/raw/master/csl-citation.json"} </w:instrText>
            </w:r>
            <w:r>
              <w:rPr>
                <w:sz w:val="20"/>
                <w:szCs w:val="20"/>
              </w:rPr>
              <w:fldChar w:fldCharType="separate"/>
            </w:r>
            <w:r w:rsidR="003758D4" w:rsidRPr="003758D4">
              <w:rPr>
                <w:sz w:val="20"/>
                <w:vertAlign w:val="superscript"/>
              </w:rPr>
              <w:t>62</w:t>
            </w:r>
            <w:r>
              <w:rPr>
                <w:sz w:val="20"/>
                <w:szCs w:val="20"/>
              </w:rPr>
              <w:fldChar w:fldCharType="end"/>
            </w:r>
          </w:p>
        </w:tc>
      </w:tr>
      <w:tr w:rsidR="0086257A" w:rsidRPr="00E20B89" w14:paraId="3C8A99B6" w14:textId="77777777" w:rsidTr="00D749B5">
        <w:trPr>
          <w:jc w:val="center"/>
        </w:trPr>
        <w:tc>
          <w:tcPr>
            <w:tcW w:w="1127" w:type="dxa"/>
          </w:tcPr>
          <w:p w14:paraId="5A1AC38A" w14:textId="33BE2DE4" w:rsidR="0086257A" w:rsidRPr="00E20B89" w:rsidRDefault="0086257A" w:rsidP="00E20B89">
            <w:pPr>
              <w:rPr>
                <w:sz w:val="20"/>
                <w:szCs w:val="20"/>
              </w:rPr>
            </w:pPr>
            <w:r>
              <w:rPr>
                <w:sz w:val="20"/>
                <w:szCs w:val="20"/>
              </w:rPr>
              <w:t>Hsieh et al 2024</w:t>
            </w:r>
          </w:p>
        </w:tc>
        <w:tc>
          <w:tcPr>
            <w:tcW w:w="1278" w:type="dxa"/>
          </w:tcPr>
          <w:p w14:paraId="4FCC6903" w14:textId="521A09DD" w:rsidR="0086257A" w:rsidRPr="00E20B89" w:rsidRDefault="002D1CF8" w:rsidP="00E20B89">
            <w:pPr>
              <w:rPr>
                <w:sz w:val="20"/>
                <w:szCs w:val="20"/>
              </w:rPr>
            </w:pPr>
            <w:r>
              <w:rPr>
                <w:sz w:val="20"/>
                <w:szCs w:val="20"/>
              </w:rPr>
              <w:t>Histological Assessment (</w:t>
            </w:r>
            <w:r w:rsidRPr="002D1CF8">
              <w:rPr>
                <w:sz w:val="20"/>
                <w:szCs w:val="20"/>
              </w:rPr>
              <w:t>METAVIR scoring system for fibrosis</w:t>
            </w:r>
            <w:r>
              <w:rPr>
                <w:sz w:val="20"/>
                <w:szCs w:val="20"/>
              </w:rPr>
              <w:t>)</w:t>
            </w:r>
          </w:p>
        </w:tc>
        <w:tc>
          <w:tcPr>
            <w:tcW w:w="6173" w:type="dxa"/>
          </w:tcPr>
          <w:p w14:paraId="6FE576CC" w14:textId="154AABD1" w:rsidR="0086257A" w:rsidRPr="00E20B89" w:rsidRDefault="002D1CF8" w:rsidP="002D1CF8">
            <w:pPr>
              <w:jc w:val="both"/>
              <w:rPr>
                <w:sz w:val="20"/>
                <w:szCs w:val="20"/>
              </w:rPr>
            </w:pPr>
            <w:r w:rsidRPr="002D1CF8">
              <w:rPr>
                <w:sz w:val="20"/>
                <w:szCs w:val="20"/>
              </w:rPr>
              <w:t>Fibrosis regression, stabilization, and progression occurred in 44.2%, 46.9%, and 8.8% of patients, respectively. Predictors of fibrosis regression included age &lt;65, baseline fibrosis &lt;3, hemoglobin ≥12.5 g/dL, and platelets ≥160 x 10</w:t>
            </w:r>
            <w:r w:rsidRPr="00274B66">
              <w:rPr>
                <w:sz w:val="20"/>
                <w:szCs w:val="20"/>
                <w:vertAlign w:val="superscript"/>
              </w:rPr>
              <w:t>3</w:t>
            </w:r>
            <w:r w:rsidRPr="002D1CF8">
              <w:rPr>
                <w:sz w:val="20"/>
                <w:szCs w:val="20"/>
              </w:rPr>
              <w:t>/</w:t>
            </w:r>
            <w:proofErr w:type="spellStart"/>
            <w:r w:rsidRPr="002D1CF8">
              <w:rPr>
                <w:sz w:val="20"/>
                <w:szCs w:val="20"/>
              </w:rPr>
              <w:t>mL.</w:t>
            </w:r>
            <w:proofErr w:type="spellEnd"/>
            <w:r w:rsidRPr="002D1CF8">
              <w:rPr>
                <w:sz w:val="20"/>
                <w:szCs w:val="20"/>
              </w:rPr>
              <w:t xml:space="preserve"> Predictors of fibrosis progression included age ≥66, BMI ≥26.5 kg/m</w:t>
            </w:r>
            <w:r w:rsidRPr="00274B66">
              <w:rPr>
                <w:sz w:val="20"/>
                <w:szCs w:val="20"/>
                <w:vertAlign w:val="superscript"/>
              </w:rPr>
              <w:t>2</w:t>
            </w:r>
            <w:r w:rsidRPr="002D1CF8">
              <w:rPr>
                <w:sz w:val="20"/>
                <w:szCs w:val="20"/>
              </w:rPr>
              <w:t>, sofosbuvir/ribavirin use, platelets &lt;119 x 10</w:t>
            </w:r>
            <w:r w:rsidRPr="00274B66">
              <w:rPr>
                <w:sz w:val="20"/>
                <w:szCs w:val="20"/>
                <w:vertAlign w:val="superscript"/>
              </w:rPr>
              <w:t>3</w:t>
            </w:r>
            <w:r w:rsidRPr="002D1CF8">
              <w:rPr>
                <w:sz w:val="20"/>
                <w:szCs w:val="20"/>
              </w:rPr>
              <w:t>/mL, and lack of early ALT normalization.</w:t>
            </w:r>
          </w:p>
        </w:tc>
        <w:tc>
          <w:tcPr>
            <w:tcW w:w="1071" w:type="dxa"/>
          </w:tcPr>
          <w:p w14:paraId="510B60BA" w14:textId="37C9B453" w:rsidR="0086257A" w:rsidRDefault="003758D4" w:rsidP="00E20B89">
            <w:pPr>
              <w:jc w:val="both"/>
              <w:rPr>
                <w:sz w:val="20"/>
                <w:szCs w:val="20"/>
              </w:rPr>
            </w:pPr>
            <w:r>
              <w:rPr>
                <w:sz w:val="20"/>
                <w:szCs w:val="20"/>
              </w:rPr>
              <w:fldChar w:fldCharType="begin"/>
            </w:r>
            <w:r>
              <w:rPr>
                <w:sz w:val="20"/>
                <w:szCs w:val="20"/>
              </w:rPr>
              <w:instrText xml:space="preserve"> ADDIN ZOTERO_ITEM CSL_CITATION {"citationID":"HP6cwGjU","properties":{"formattedCitation":"\\super 66\\nosupersub{}","plainCitation":"66","noteIndex":0},"citationItems":[{"id":3820,"uris":["http://zotero.org/users/5317696/items/BRQEDSVW"],"itemData":{"id":3820,"type":"article-journal","abstract":"Background/Purpose\nThere are limited studies performing paired liver biopsies in chronic hepatitis C (CHC) patients treated with direct-acting antivirals (DAA). We aimed to investigate the predictors of liver fibrosis changes assessed by paired liver biopsies in these patients.\nMethods\nFrom March 2017 to March 2020, 113 CHC patients were prospectively enrolled to receive DAA therapy at our hospital. Paired liver biopsies were performed at baseline and 12 weeks after the end of treatment.\nResults\nAmong the entire cohort, the rate of sustained virological response (SVR) was 100%. Four baseline variables independently predicted fibrosis regression, including age &lt;65 years [odds ratio (OR) = 2.725, p = 0.036], fibrosis stages (METAVIR scores) &lt; 3 (OR = 4.874, p = 0.040), hemoglobin levels ≥12.5 g/dL (OR = 3.538, p = 0.029), and platelet counts ≥160 103/μL (OR = 2.958, p = 0.023). Besides, five independent predictors of fibrosis progression included baseline age ≥66 years (OR = 16.351, p = 0.024), body mass index (BMI) ≥26.5 kg/m2 (OR = 21.666, p = 0.009), sofosbuvir/ribavirin use (OR = 29.465, p = 0.031), platelet counts &lt;119 103/μL (OR = 33.739, p = 0.026), and the absence of alanine aminotransferase (ALT) levels declining from &gt;35 U/L at baseline to ≤35 U/L at 4 weeks after baseline (OR = 284.534, p = 0.026).\nConclusion\nFor DAA-treated CHC patients, those with baseline age &lt;65 years, fibrosis stages &lt;3, hemoglobin levels ≥12.5 g/dL, or platelet counts ≥160 103/μL are more likely to attain fibrosis regression. There is a higher risk of fibrosis progression in those with baseline age ≥66 years, BMI ≥26.5 kg/m2, sofosbuvir/ribavirin use, platelet counts &lt;119 103/μL, or the absence of early ALT normalization at 4 weeks after baseline.","container-title":"Journal of Microbiology, Immunology and Infection","DOI":"10.1016/j.jmii.2024.08.005","ISSN":"1684-1182","issue":"6","journalAbbreviation":"Journal of Microbiology, Immunology and Infection","page":"840-853","publisher":"Elsevier","source":"ScienceDirect","title":"Predictors of liver fibrosis changes assessed by paired liver biopsies in chronic hepatitis C patients treated with direct-acting antivirals","URL":"https://www.sciencedirect.com/science/article/pii/S168411822400149X","volume":"57","author":[{"family":"Hsieh","given":"Ming-Han"},{"family":"Kao","given":"Tzu-Yu"},{"family":"Hsieh","given":"Ting-Hui"},{"family":"Kao","given":"Chun-Chi"},{"family":"Peng","given":"Cheng-Yuan"},{"family":"Lai","given":"Hsueh-Chou"},{"family":"Cheng","given":"Hsing-Hung"},{"family":"Ho","given":"Mao-Wang"},{"family":"Chi","given":"Chih-Yu"},{"family":"Kao","given":"Jung-Ta"}],"accessed":{"date-parts":[["2026",4,15]]},"issued":{"date-parts":[["2024",12,1]]}}}],"schema":"https://github.com/citation-style-language/schema/raw/master/csl-citation.json"} </w:instrText>
            </w:r>
            <w:r>
              <w:rPr>
                <w:sz w:val="20"/>
                <w:szCs w:val="20"/>
              </w:rPr>
              <w:fldChar w:fldCharType="separate"/>
            </w:r>
            <w:r w:rsidRPr="003758D4">
              <w:rPr>
                <w:sz w:val="20"/>
                <w:vertAlign w:val="superscript"/>
              </w:rPr>
              <w:t>66</w:t>
            </w:r>
            <w:r>
              <w:rPr>
                <w:sz w:val="20"/>
                <w:szCs w:val="20"/>
              </w:rPr>
              <w:fldChar w:fldCharType="end"/>
            </w:r>
          </w:p>
        </w:tc>
      </w:tr>
    </w:tbl>
    <w:p w14:paraId="3CEC557F" w14:textId="77777777" w:rsidR="00D749B5" w:rsidRDefault="00D749B5">
      <w:pPr>
        <w:rPr>
          <w:b/>
          <w:bCs/>
          <w:sz w:val="20"/>
          <w:szCs w:val="20"/>
        </w:rPr>
      </w:pPr>
    </w:p>
    <w:p w14:paraId="6316FB47" w14:textId="77777777" w:rsidR="005234E5" w:rsidRDefault="005234E5">
      <w:pPr>
        <w:rPr>
          <w:b/>
          <w:bCs/>
          <w:sz w:val="20"/>
          <w:szCs w:val="20"/>
        </w:rPr>
      </w:pPr>
    </w:p>
    <w:p w14:paraId="79A6A83C" w14:textId="77777777" w:rsidR="005234E5" w:rsidRDefault="005234E5">
      <w:pPr>
        <w:rPr>
          <w:b/>
          <w:bCs/>
          <w:sz w:val="20"/>
          <w:szCs w:val="20"/>
        </w:rPr>
      </w:pPr>
    </w:p>
    <w:p w14:paraId="1A60EE08" w14:textId="77777777" w:rsidR="005234E5" w:rsidRDefault="005234E5">
      <w:pPr>
        <w:rPr>
          <w:b/>
          <w:bCs/>
          <w:sz w:val="20"/>
          <w:szCs w:val="20"/>
        </w:rPr>
      </w:pPr>
    </w:p>
    <w:p w14:paraId="569B9318" w14:textId="77777777" w:rsidR="005234E5" w:rsidRDefault="005234E5">
      <w:pPr>
        <w:rPr>
          <w:b/>
          <w:bCs/>
          <w:sz w:val="20"/>
          <w:szCs w:val="20"/>
        </w:rPr>
      </w:pPr>
    </w:p>
    <w:p w14:paraId="68AF8063" w14:textId="77777777" w:rsidR="005234E5" w:rsidRDefault="005234E5">
      <w:pPr>
        <w:rPr>
          <w:b/>
          <w:bCs/>
          <w:sz w:val="20"/>
          <w:szCs w:val="20"/>
        </w:rPr>
      </w:pPr>
    </w:p>
    <w:p w14:paraId="57E3B0F1" w14:textId="77777777" w:rsidR="005234E5" w:rsidRDefault="005234E5">
      <w:pPr>
        <w:rPr>
          <w:b/>
          <w:bCs/>
          <w:sz w:val="20"/>
          <w:szCs w:val="20"/>
        </w:rPr>
      </w:pPr>
    </w:p>
    <w:p w14:paraId="7AAFF593" w14:textId="22BD070C" w:rsidR="00D876DD" w:rsidRDefault="00CB73A9" w:rsidP="00D876DD">
      <w:pPr>
        <w:rPr>
          <w:b/>
          <w:bCs/>
          <w:sz w:val="20"/>
          <w:szCs w:val="20"/>
        </w:rPr>
      </w:pPr>
      <w:r w:rsidRPr="00D749B5">
        <w:rPr>
          <w:b/>
          <w:bCs/>
          <w:sz w:val="20"/>
          <w:szCs w:val="20"/>
        </w:rPr>
        <w:t>Appendix V</w:t>
      </w:r>
      <w:r w:rsidR="00E20B89" w:rsidRPr="00D749B5">
        <w:rPr>
          <w:b/>
          <w:bCs/>
          <w:sz w:val="20"/>
          <w:szCs w:val="20"/>
        </w:rPr>
        <w:t>I</w:t>
      </w:r>
      <w:r w:rsidR="009B17EA">
        <w:rPr>
          <w:b/>
          <w:bCs/>
          <w:sz w:val="20"/>
          <w:szCs w:val="20"/>
        </w:rPr>
        <w:t>I</w:t>
      </w:r>
      <w:r w:rsidR="00D53776">
        <w:rPr>
          <w:b/>
          <w:bCs/>
          <w:sz w:val="20"/>
          <w:szCs w:val="20"/>
        </w:rPr>
        <w:t>I</w:t>
      </w:r>
      <w:r w:rsidRPr="00D749B5">
        <w:rPr>
          <w:b/>
          <w:bCs/>
          <w:sz w:val="20"/>
          <w:szCs w:val="20"/>
        </w:rPr>
        <w:t xml:space="preserve">: Meta regression </w:t>
      </w:r>
    </w:p>
    <w:p w14:paraId="353E5C3A" w14:textId="63EE045B" w:rsidR="00B052FE" w:rsidRDefault="00D876DD" w:rsidP="00D876DD">
      <w:pPr>
        <w:rPr>
          <w:b/>
          <w:bCs/>
          <w:sz w:val="20"/>
          <w:szCs w:val="20"/>
        </w:rPr>
      </w:pPr>
      <w:r>
        <w:rPr>
          <w:b/>
          <w:bCs/>
          <w:sz w:val="20"/>
          <w:szCs w:val="20"/>
        </w:rPr>
        <w:t xml:space="preserve">Table (A): </w:t>
      </w:r>
      <w:r w:rsidR="00FF77B6" w:rsidRPr="00274B66">
        <w:rPr>
          <w:b/>
          <w:bCs/>
          <w:sz w:val="20"/>
          <w:szCs w:val="20"/>
        </w:rPr>
        <w:t>Univariate Meta-Regression: Association of Study-Level Moderators with Liver Stiffness Measurement Change</w:t>
      </w:r>
    </w:p>
    <w:tbl>
      <w:tblPr>
        <w:tblStyle w:val="TableGrid"/>
        <w:tblW w:w="10201" w:type="dxa"/>
        <w:tblLayout w:type="fixed"/>
        <w:tblLook w:val="04A0" w:firstRow="1" w:lastRow="0" w:firstColumn="1" w:lastColumn="0" w:noHBand="0" w:noVBand="1"/>
      </w:tblPr>
      <w:tblGrid>
        <w:gridCol w:w="2122"/>
        <w:gridCol w:w="1836"/>
        <w:gridCol w:w="709"/>
        <w:gridCol w:w="1029"/>
        <w:gridCol w:w="1381"/>
        <w:gridCol w:w="992"/>
        <w:gridCol w:w="993"/>
        <w:gridCol w:w="1139"/>
      </w:tblGrid>
      <w:tr w:rsidR="005A7B31" w14:paraId="5AC64401" w14:textId="77777777" w:rsidTr="00F72FC0">
        <w:tc>
          <w:tcPr>
            <w:tcW w:w="2122" w:type="dxa"/>
            <w:shd w:val="clear" w:color="auto" w:fill="2E4057"/>
            <w:vAlign w:val="center"/>
          </w:tcPr>
          <w:p w14:paraId="07F24DA8" w14:textId="1C26C4E0" w:rsidR="005A7B31" w:rsidRDefault="005A7B31" w:rsidP="00F72FC0">
            <w:pPr>
              <w:spacing w:before="80" w:after="80"/>
              <w:jc w:val="center"/>
              <w:rPr>
                <w:b/>
                <w:bCs/>
                <w:sz w:val="20"/>
                <w:szCs w:val="20"/>
              </w:rPr>
            </w:pPr>
            <w:r w:rsidRPr="00274B66">
              <w:rPr>
                <w:rFonts w:eastAsia="Arial"/>
                <w:b/>
                <w:bCs/>
                <w:color w:val="FFFFFF"/>
                <w:sz w:val="20"/>
                <w:szCs w:val="20"/>
                <w:lang w:eastAsia="en-IN" w:bidi="hi-IN"/>
              </w:rPr>
              <w:t>Moderator</w:t>
            </w:r>
          </w:p>
        </w:tc>
        <w:tc>
          <w:tcPr>
            <w:tcW w:w="1836" w:type="dxa"/>
            <w:shd w:val="clear" w:color="auto" w:fill="2E4057"/>
            <w:vAlign w:val="center"/>
          </w:tcPr>
          <w:p w14:paraId="7599D84E" w14:textId="165B9866" w:rsidR="005A7B31" w:rsidRDefault="005A7B31" w:rsidP="00F72FC0">
            <w:pPr>
              <w:jc w:val="center"/>
              <w:rPr>
                <w:b/>
                <w:bCs/>
                <w:sz w:val="20"/>
                <w:szCs w:val="20"/>
              </w:rPr>
            </w:pPr>
            <w:r w:rsidRPr="00274B66">
              <w:rPr>
                <w:rFonts w:eastAsia="Arial"/>
                <w:b/>
                <w:bCs/>
                <w:color w:val="FFFFFF"/>
                <w:sz w:val="20"/>
                <w:szCs w:val="20"/>
                <w:lang w:eastAsia="en-IN" w:bidi="hi-IN"/>
              </w:rPr>
              <w:t>β (95% CI)</w:t>
            </w:r>
          </w:p>
        </w:tc>
        <w:tc>
          <w:tcPr>
            <w:tcW w:w="709" w:type="dxa"/>
            <w:shd w:val="clear" w:color="auto" w:fill="2E4057"/>
            <w:vAlign w:val="center"/>
          </w:tcPr>
          <w:p w14:paraId="2A0C23F8" w14:textId="52F23E6C" w:rsidR="005A7B31" w:rsidRDefault="005A7B31" w:rsidP="00F72FC0">
            <w:pPr>
              <w:jc w:val="center"/>
              <w:rPr>
                <w:b/>
                <w:bCs/>
                <w:sz w:val="20"/>
                <w:szCs w:val="20"/>
              </w:rPr>
            </w:pPr>
            <w:r w:rsidRPr="00274B66">
              <w:rPr>
                <w:rFonts w:eastAsia="Arial"/>
                <w:b/>
                <w:bCs/>
                <w:color w:val="FFFFFF"/>
                <w:sz w:val="20"/>
                <w:szCs w:val="20"/>
                <w:lang w:eastAsia="en-IN" w:bidi="hi-IN"/>
              </w:rPr>
              <w:t>SE</w:t>
            </w:r>
          </w:p>
        </w:tc>
        <w:tc>
          <w:tcPr>
            <w:tcW w:w="1029" w:type="dxa"/>
            <w:shd w:val="clear" w:color="auto" w:fill="2E4057"/>
            <w:vAlign w:val="center"/>
          </w:tcPr>
          <w:p w14:paraId="2ECCAFD8" w14:textId="32518602" w:rsidR="005A7B31" w:rsidRDefault="005A7B31" w:rsidP="00F72FC0">
            <w:pPr>
              <w:jc w:val="center"/>
              <w:rPr>
                <w:b/>
                <w:bCs/>
                <w:sz w:val="20"/>
                <w:szCs w:val="20"/>
              </w:rPr>
            </w:pPr>
            <w:r w:rsidRPr="00274B66">
              <w:rPr>
                <w:rFonts w:eastAsia="Arial"/>
                <w:b/>
                <w:bCs/>
                <w:color w:val="FFFFFF"/>
                <w:sz w:val="20"/>
                <w:szCs w:val="20"/>
                <w:lang w:eastAsia="en-IN" w:bidi="hi-IN"/>
              </w:rPr>
              <w:t>z</w:t>
            </w:r>
          </w:p>
        </w:tc>
        <w:tc>
          <w:tcPr>
            <w:tcW w:w="1381" w:type="dxa"/>
            <w:shd w:val="clear" w:color="auto" w:fill="2E4057"/>
            <w:vAlign w:val="center"/>
          </w:tcPr>
          <w:p w14:paraId="7D82C7A2" w14:textId="7C8ECD38" w:rsidR="005A7B31" w:rsidRDefault="005A7B31" w:rsidP="00F72FC0">
            <w:pPr>
              <w:jc w:val="center"/>
              <w:rPr>
                <w:b/>
                <w:bCs/>
                <w:sz w:val="20"/>
                <w:szCs w:val="20"/>
              </w:rPr>
            </w:pPr>
            <w:r w:rsidRPr="00274B66">
              <w:rPr>
                <w:rFonts w:eastAsia="Arial"/>
                <w:b/>
                <w:bCs/>
                <w:color w:val="FFFFFF"/>
                <w:sz w:val="20"/>
                <w:szCs w:val="20"/>
                <w:lang w:eastAsia="en-IN" w:bidi="hi-IN"/>
              </w:rPr>
              <w:t>p-value</w:t>
            </w:r>
          </w:p>
        </w:tc>
        <w:tc>
          <w:tcPr>
            <w:tcW w:w="992" w:type="dxa"/>
            <w:shd w:val="clear" w:color="auto" w:fill="2E4057"/>
            <w:vAlign w:val="center"/>
          </w:tcPr>
          <w:p w14:paraId="1D318DB6" w14:textId="0D63DD06" w:rsidR="005A7B31" w:rsidRDefault="005A7B31" w:rsidP="00F72FC0">
            <w:pPr>
              <w:jc w:val="center"/>
              <w:rPr>
                <w:b/>
                <w:bCs/>
                <w:sz w:val="20"/>
                <w:szCs w:val="20"/>
              </w:rPr>
            </w:pPr>
            <w:r w:rsidRPr="00274B66">
              <w:rPr>
                <w:rFonts w:eastAsia="Arial"/>
                <w:b/>
                <w:bCs/>
                <w:color w:val="FFFFFF"/>
                <w:sz w:val="20"/>
                <w:szCs w:val="20"/>
                <w:lang w:eastAsia="en-IN" w:bidi="hi-IN"/>
              </w:rPr>
              <w:t>QM (</w:t>
            </w:r>
            <w:proofErr w:type="spellStart"/>
            <w:r w:rsidRPr="00274B66">
              <w:rPr>
                <w:rFonts w:eastAsia="Arial"/>
                <w:b/>
                <w:bCs/>
                <w:color w:val="FFFFFF"/>
                <w:sz w:val="20"/>
                <w:szCs w:val="20"/>
                <w:lang w:eastAsia="en-IN" w:bidi="hi-IN"/>
              </w:rPr>
              <w:t>df</w:t>
            </w:r>
            <w:proofErr w:type="spellEnd"/>
            <w:r w:rsidRPr="00274B66">
              <w:rPr>
                <w:rFonts w:eastAsia="Arial"/>
                <w:b/>
                <w:bCs/>
                <w:color w:val="FFFFFF"/>
                <w:sz w:val="20"/>
                <w:szCs w:val="20"/>
                <w:lang w:eastAsia="en-IN" w:bidi="hi-IN"/>
              </w:rPr>
              <w:t>)</w:t>
            </w:r>
          </w:p>
        </w:tc>
        <w:tc>
          <w:tcPr>
            <w:tcW w:w="993" w:type="dxa"/>
            <w:shd w:val="clear" w:color="auto" w:fill="2E4057"/>
            <w:vAlign w:val="center"/>
          </w:tcPr>
          <w:p w14:paraId="11163C56" w14:textId="4B22F670" w:rsidR="005A7B31" w:rsidRDefault="005A7B31" w:rsidP="00F72FC0">
            <w:pPr>
              <w:jc w:val="center"/>
              <w:rPr>
                <w:b/>
                <w:bCs/>
                <w:sz w:val="20"/>
                <w:szCs w:val="20"/>
              </w:rPr>
            </w:pPr>
            <w:r w:rsidRPr="00274B66">
              <w:rPr>
                <w:rFonts w:eastAsia="Arial"/>
                <w:b/>
                <w:bCs/>
                <w:color w:val="FFFFFF"/>
                <w:sz w:val="20"/>
                <w:szCs w:val="20"/>
                <w:lang w:eastAsia="en-IN" w:bidi="hi-IN"/>
              </w:rPr>
              <w:t>p (mod.)</w:t>
            </w:r>
          </w:p>
        </w:tc>
        <w:tc>
          <w:tcPr>
            <w:tcW w:w="1139" w:type="dxa"/>
            <w:shd w:val="clear" w:color="auto" w:fill="2E4057"/>
            <w:vAlign w:val="center"/>
          </w:tcPr>
          <w:p w14:paraId="1D157215" w14:textId="1754F690" w:rsidR="005A7B31" w:rsidRDefault="005A7B31" w:rsidP="00F72FC0">
            <w:pPr>
              <w:jc w:val="center"/>
              <w:rPr>
                <w:b/>
                <w:bCs/>
                <w:sz w:val="20"/>
                <w:szCs w:val="20"/>
              </w:rPr>
            </w:pPr>
            <w:r w:rsidRPr="00274B66">
              <w:rPr>
                <w:rFonts w:eastAsia="Arial"/>
                <w:b/>
                <w:bCs/>
                <w:color w:val="FFFFFF"/>
                <w:sz w:val="20"/>
                <w:szCs w:val="20"/>
                <w:lang w:eastAsia="en-IN" w:bidi="hi-IN"/>
              </w:rPr>
              <w:t>R² (%)</w:t>
            </w:r>
          </w:p>
        </w:tc>
      </w:tr>
      <w:tr w:rsidR="005A7B31" w14:paraId="731DF2D7" w14:textId="77777777" w:rsidTr="00F72FC0">
        <w:tc>
          <w:tcPr>
            <w:tcW w:w="10201" w:type="dxa"/>
            <w:gridSpan w:val="8"/>
            <w:vAlign w:val="center"/>
          </w:tcPr>
          <w:p w14:paraId="7DF9CC42" w14:textId="16A8C6AE" w:rsidR="005A7B31" w:rsidRDefault="005A7B31" w:rsidP="005A7B31">
            <w:pPr>
              <w:rPr>
                <w:b/>
                <w:bCs/>
                <w:sz w:val="20"/>
                <w:szCs w:val="20"/>
              </w:rPr>
            </w:pPr>
            <w:r w:rsidRPr="00274B66">
              <w:rPr>
                <w:rFonts w:eastAsia="Arial"/>
                <w:b/>
                <w:bCs/>
                <w:sz w:val="20"/>
                <w:szCs w:val="20"/>
                <w:lang w:eastAsia="en-IN" w:bidi="hi-IN"/>
              </w:rPr>
              <w:t>SVR-12 Cohort (outlier-adjusted, k = 24)</w:t>
            </w:r>
          </w:p>
        </w:tc>
      </w:tr>
      <w:tr w:rsidR="005A7B31" w14:paraId="0325B2B4" w14:textId="77777777" w:rsidTr="00F72FC0">
        <w:tc>
          <w:tcPr>
            <w:tcW w:w="10201" w:type="dxa"/>
            <w:gridSpan w:val="8"/>
            <w:vAlign w:val="center"/>
          </w:tcPr>
          <w:p w14:paraId="0D2FF063" w14:textId="0C07BBE6" w:rsidR="005A7B31" w:rsidRDefault="005A7B31" w:rsidP="005A7B31">
            <w:pPr>
              <w:rPr>
                <w:b/>
                <w:bCs/>
                <w:sz w:val="20"/>
                <w:szCs w:val="20"/>
              </w:rPr>
            </w:pPr>
            <w:r w:rsidRPr="00274B66">
              <w:rPr>
                <w:rFonts w:eastAsia="Arial"/>
                <w:b/>
                <w:bCs/>
                <w:sz w:val="20"/>
                <w:szCs w:val="20"/>
                <w:lang w:eastAsia="en-IN" w:bidi="hi-IN"/>
              </w:rPr>
              <w:t>Study Design</w:t>
            </w:r>
            <w:r>
              <w:rPr>
                <w:rFonts w:eastAsia="Arial"/>
                <w:b/>
                <w:bCs/>
                <w:sz w:val="20"/>
                <w:szCs w:val="20"/>
                <w:lang w:eastAsia="en-IN" w:bidi="hi-IN"/>
              </w:rPr>
              <w:t xml:space="preserve"> </w:t>
            </w:r>
            <w:r w:rsidRPr="00AF701B">
              <w:rPr>
                <w:rFonts w:eastAsia="Arial"/>
                <w:b/>
                <w:bCs/>
                <w:sz w:val="20"/>
                <w:szCs w:val="20"/>
                <w:lang w:eastAsia="en-IN" w:bidi="hi-IN"/>
              </w:rPr>
              <w:t>(k = 24, QM (</w:t>
            </w:r>
            <w:proofErr w:type="spellStart"/>
            <w:r w:rsidRPr="00AF701B">
              <w:rPr>
                <w:rFonts w:eastAsia="Arial"/>
                <w:b/>
                <w:bCs/>
                <w:sz w:val="20"/>
                <w:szCs w:val="20"/>
                <w:lang w:eastAsia="en-IN" w:bidi="hi-IN"/>
              </w:rPr>
              <w:t>df</w:t>
            </w:r>
            <w:proofErr w:type="spellEnd"/>
            <w:r w:rsidRPr="00AF701B">
              <w:rPr>
                <w:rFonts w:eastAsia="Arial"/>
                <w:b/>
                <w:bCs/>
                <w:sz w:val="20"/>
                <w:szCs w:val="20"/>
                <w:lang w:eastAsia="en-IN" w:bidi="hi-IN"/>
              </w:rPr>
              <w:t xml:space="preserve"> = </w:t>
            </w:r>
            <w:r w:rsidR="00503733">
              <w:rPr>
                <w:rFonts w:eastAsia="Arial"/>
                <w:b/>
                <w:bCs/>
                <w:sz w:val="20"/>
                <w:szCs w:val="20"/>
                <w:lang w:eastAsia="en-IN" w:bidi="hi-IN"/>
              </w:rPr>
              <w:t>1</w:t>
            </w:r>
            <w:r w:rsidRPr="00AF701B">
              <w:rPr>
                <w:rFonts w:eastAsia="Arial"/>
                <w:b/>
                <w:bCs/>
                <w:sz w:val="20"/>
                <w:szCs w:val="20"/>
                <w:lang w:eastAsia="en-IN" w:bidi="hi-IN"/>
              </w:rPr>
              <w:t xml:space="preserve">) = </w:t>
            </w:r>
            <w:r w:rsidR="00503733" w:rsidRPr="00503733">
              <w:rPr>
                <w:rFonts w:eastAsia="Arial"/>
                <w:b/>
                <w:bCs/>
                <w:sz w:val="20"/>
                <w:szCs w:val="20"/>
                <w:lang w:eastAsia="en-IN" w:bidi="hi-IN"/>
              </w:rPr>
              <w:t>1.88</w:t>
            </w:r>
            <w:r w:rsidR="00503733">
              <w:rPr>
                <w:rFonts w:eastAsia="Arial"/>
                <w:b/>
                <w:bCs/>
                <w:sz w:val="20"/>
                <w:szCs w:val="20"/>
                <w:lang w:eastAsia="en-IN" w:bidi="hi-IN"/>
              </w:rPr>
              <w:t>7</w:t>
            </w:r>
            <w:r w:rsidRPr="00AF701B">
              <w:rPr>
                <w:rFonts w:eastAsia="Arial"/>
                <w:b/>
                <w:bCs/>
                <w:sz w:val="20"/>
                <w:szCs w:val="20"/>
                <w:lang w:eastAsia="en-IN" w:bidi="hi-IN"/>
              </w:rPr>
              <w:t xml:space="preserve">, p </w:t>
            </w:r>
            <w:r>
              <w:rPr>
                <w:rFonts w:eastAsia="Arial"/>
                <w:b/>
                <w:bCs/>
                <w:sz w:val="20"/>
                <w:szCs w:val="20"/>
                <w:lang w:eastAsia="en-IN" w:bidi="hi-IN"/>
              </w:rPr>
              <w:t>&lt; 0.</w:t>
            </w:r>
            <w:r w:rsidRPr="00AF701B">
              <w:rPr>
                <w:rFonts w:eastAsia="Arial"/>
                <w:b/>
                <w:bCs/>
                <w:sz w:val="20"/>
                <w:szCs w:val="20"/>
                <w:lang w:eastAsia="en-IN" w:bidi="hi-IN"/>
              </w:rPr>
              <w:t>0001, R</w:t>
            </w:r>
            <w:r w:rsidRPr="00553BC7">
              <w:rPr>
                <w:rFonts w:eastAsia="Arial"/>
                <w:b/>
                <w:bCs/>
                <w:sz w:val="20"/>
                <w:szCs w:val="20"/>
                <w:vertAlign w:val="superscript"/>
                <w:lang w:eastAsia="en-IN" w:bidi="hi-IN"/>
              </w:rPr>
              <w:t>2</w:t>
            </w:r>
            <w:r w:rsidRPr="00AF701B">
              <w:rPr>
                <w:rFonts w:eastAsia="Arial"/>
                <w:b/>
                <w:bCs/>
                <w:sz w:val="20"/>
                <w:szCs w:val="20"/>
                <w:lang w:eastAsia="en-IN" w:bidi="hi-IN"/>
              </w:rPr>
              <w:t>=</w:t>
            </w:r>
            <w:r>
              <w:rPr>
                <w:rFonts w:eastAsia="Arial"/>
                <w:b/>
                <w:bCs/>
                <w:sz w:val="20"/>
                <w:szCs w:val="20"/>
                <w:lang w:eastAsia="en-IN" w:bidi="hi-IN"/>
              </w:rPr>
              <w:t>4.57</w:t>
            </w:r>
            <w:r w:rsidRPr="00AF701B">
              <w:rPr>
                <w:rFonts w:eastAsia="Arial"/>
                <w:b/>
                <w:bCs/>
                <w:sz w:val="20"/>
                <w:szCs w:val="20"/>
                <w:lang w:eastAsia="en-IN" w:bidi="hi-IN"/>
              </w:rPr>
              <w:t>%, Residual I</w:t>
            </w:r>
            <w:r w:rsidRPr="00553BC7">
              <w:rPr>
                <w:rFonts w:eastAsia="Arial"/>
                <w:b/>
                <w:bCs/>
                <w:sz w:val="20"/>
                <w:szCs w:val="20"/>
                <w:vertAlign w:val="superscript"/>
                <w:lang w:eastAsia="en-IN" w:bidi="hi-IN"/>
              </w:rPr>
              <w:t>2</w:t>
            </w:r>
            <w:r w:rsidRPr="00AF701B">
              <w:rPr>
                <w:rFonts w:eastAsia="Arial"/>
                <w:b/>
                <w:bCs/>
                <w:sz w:val="20"/>
                <w:szCs w:val="20"/>
                <w:lang w:eastAsia="en-IN" w:bidi="hi-IN"/>
              </w:rPr>
              <w:t>=9</w:t>
            </w:r>
            <w:r>
              <w:rPr>
                <w:rFonts w:eastAsia="Arial"/>
                <w:b/>
                <w:bCs/>
                <w:sz w:val="20"/>
                <w:szCs w:val="20"/>
                <w:lang w:eastAsia="en-IN" w:bidi="hi-IN"/>
              </w:rPr>
              <w:t>8.08</w:t>
            </w:r>
            <w:r w:rsidRPr="00AF701B">
              <w:rPr>
                <w:rFonts w:eastAsia="Arial"/>
                <w:b/>
                <w:bCs/>
                <w:sz w:val="20"/>
                <w:szCs w:val="20"/>
                <w:lang w:eastAsia="en-IN" w:bidi="hi-IN"/>
              </w:rPr>
              <w:t xml:space="preserve"> %)</w:t>
            </w:r>
          </w:p>
        </w:tc>
      </w:tr>
      <w:tr w:rsidR="005A7B31" w14:paraId="7E01579D" w14:textId="77777777" w:rsidTr="00F72FC0">
        <w:tc>
          <w:tcPr>
            <w:tcW w:w="2122" w:type="dxa"/>
            <w:vAlign w:val="center"/>
          </w:tcPr>
          <w:p w14:paraId="5845585B" w14:textId="51E8ADE8" w:rsidR="005A7B31" w:rsidRDefault="005A7B31" w:rsidP="00F72FC0">
            <w:pPr>
              <w:jc w:val="center"/>
              <w:rPr>
                <w:b/>
                <w:bCs/>
                <w:sz w:val="20"/>
                <w:szCs w:val="20"/>
              </w:rPr>
            </w:pPr>
            <w:r w:rsidRPr="00274B66">
              <w:rPr>
                <w:rFonts w:eastAsia="Arial"/>
                <w:sz w:val="20"/>
                <w:szCs w:val="20"/>
                <w:lang w:eastAsia="en-IN" w:bidi="hi-IN"/>
              </w:rPr>
              <w:t>Prospective</w:t>
            </w:r>
          </w:p>
        </w:tc>
        <w:tc>
          <w:tcPr>
            <w:tcW w:w="1836" w:type="dxa"/>
            <w:vAlign w:val="center"/>
          </w:tcPr>
          <w:p w14:paraId="775B75C0" w14:textId="5D12B177" w:rsidR="005A7B31" w:rsidRDefault="005A7B31" w:rsidP="00F72FC0">
            <w:pPr>
              <w:jc w:val="center"/>
              <w:rPr>
                <w:b/>
                <w:bCs/>
                <w:sz w:val="20"/>
                <w:szCs w:val="20"/>
              </w:rPr>
            </w:pPr>
            <w:r w:rsidRPr="00274B66">
              <w:rPr>
                <w:rFonts w:eastAsia="Arial"/>
                <w:sz w:val="20"/>
                <w:szCs w:val="20"/>
                <w:lang w:eastAsia="en-IN" w:bidi="hi-IN"/>
              </w:rPr>
              <w:t>0.</w:t>
            </w:r>
            <w:r w:rsidR="00503733">
              <w:rPr>
                <w:rFonts w:eastAsia="Arial"/>
                <w:sz w:val="20"/>
                <w:szCs w:val="20"/>
                <w:lang w:eastAsia="en-IN" w:bidi="hi-IN"/>
              </w:rPr>
              <w:t>3</w:t>
            </w:r>
            <w:r w:rsidRPr="00274B66">
              <w:rPr>
                <w:rFonts w:eastAsia="Arial"/>
                <w:sz w:val="20"/>
                <w:szCs w:val="20"/>
                <w:lang w:eastAsia="en-IN" w:bidi="hi-IN"/>
              </w:rPr>
              <w:t>2 (0.</w:t>
            </w:r>
            <w:r w:rsidR="00503733">
              <w:rPr>
                <w:rFonts w:eastAsia="Arial"/>
                <w:sz w:val="20"/>
                <w:szCs w:val="20"/>
                <w:lang w:eastAsia="en-IN" w:bidi="hi-IN"/>
              </w:rPr>
              <w:t>0</w:t>
            </w:r>
            <w:r w:rsidRPr="00274B66">
              <w:rPr>
                <w:rFonts w:eastAsia="Arial"/>
                <w:sz w:val="20"/>
                <w:szCs w:val="20"/>
                <w:lang w:eastAsia="en-IN" w:bidi="hi-IN"/>
              </w:rPr>
              <w:t>8, 0.</w:t>
            </w:r>
            <w:r w:rsidR="00503733">
              <w:rPr>
                <w:rFonts w:eastAsia="Arial"/>
                <w:sz w:val="20"/>
                <w:szCs w:val="20"/>
                <w:lang w:eastAsia="en-IN" w:bidi="hi-IN"/>
              </w:rPr>
              <w:t>5</w:t>
            </w:r>
            <w:r w:rsidRPr="00274B66">
              <w:rPr>
                <w:rFonts w:eastAsia="Arial"/>
                <w:sz w:val="20"/>
                <w:szCs w:val="20"/>
                <w:lang w:eastAsia="en-IN" w:bidi="hi-IN"/>
              </w:rPr>
              <w:t>6)</w:t>
            </w:r>
          </w:p>
        </w:tc>
        <w:tc>
          <w:tcPr>
            <w:tcW w:w="709" w:type="dxa"/>
            <w:vAlign w:val="center"/>
          </w:tcPr>
          <w:p w14:paraId="0AC136C5" w14:textId="5B437E22" w:rsidR="005A7B31" w:rsidRDefault="005A7B31" w:rsidP="00F72FC0">
            <w:pPr>
              <w:jc w:val="center"/>
              <w:rPr>
                <w:b/>
                <w:bCs/>
                <w:sz w:val="20"/>
                <w:szCs w:val="20"/>
              </w:rPr>
            </w:pPr>
            <w:r w:rsidRPr="00274B66">
              <w:rPr>
                <w:rFonts w:eastAsia="Arial"/>
                <w:sz w:val="20"/>
                <w:szCs w:val="20"/>
                <w:lang w:eastAsia="en-IN" w:bidi="hi-IN"/>
              </w:rPr>
              <w:t>0.</w:t>
            </w:r>
            <w:r w:rsidR="00503733">
              <w:rPr>
                <w:rFonts w:eastAsia="Arial"/>
                <w:sz w:val="20"/>
                <w:szCs w:val="20"/>
                <w:lang w:eastAsia="en-IN" w:bidi="hi-IN"/>
              </w:rPr>
              <w:t>123</w:t>
            </w:r>
          </w:p>
        </w:tc>
        <w:tc>
          <w:tcPr>
            <w:tcW w:w="1029" w:type="dxa"/>
            <w:vAlign w:val="center"/>
          </w:tcPr>
          <w:p w14:paraId="315EEC53" w14:textId="2A11B53E" w:rsidR="005A7B31" w:rsidRDefault="00503733" w:rsidP="00F72FC0">
            <w:pPr>
              <w:jc w:val="center"/>
              <w:rPr>
                <w:b/>
                <w:bCs/>
                <w:sz w:val="20"/>
                <w:szCs w:val="20"/>
              </w:rPr>
            </w:pPr>
            <w:r>
              <w:rPr>
                <w:rFonts w:eastAsia="Arial"/>
                <w:sz w:val="20"/>
                <w:szCs w:val="20"/>
                <w:lang w:eastAsia="en-IN" w:bidi="hi-IN"/>
              </w:rPr>
              <w:t>2.65</w:t>
            </w:r>
          </w:p>
        </w:tc>
        <w:tc>
          <w:tcPr>
            <w:tcW w:w="1381" w:type="dxa"/>
            <w:vAlign w:val="center"/>
          </w:tcPr>
          <w:p w14:paraId="219CEDF1" w14:textId="78A454AE" w:rsidR="005A7B31" w:rsidRPr="001E59BD" w:rsidRDefault="00306752" w:rsidP="00F72FC0">
            <w:pPr>
              <w:jc w:val="center"/>
              <w:rPr>
                <w:b/>
                <w:bCs/>
                <w:sz w:val="20"/>
                <w:szCs w:val="20"/>
              </w:rPr>
            </w:pPr>
            <w:r w:rsidRPr="001E59BD">
              <w:rPr>
                <w:rFonts w:eastAsia="Arial"/>
                <w:b/>
                <w:bCs/>
                <w:sz w:val="20"/>
                <w:szCs w:val="20"/>
                <w:lang w:eastAsia="en-IN" w:bidi="hi-IN"/>
              </w:rPr>
              <w:t>0</w:t>
            </w:r>
            <w:r w:rsidR="005A7B31" w:rsidRPr="001E59BD">
              <w:rPr>
                <w:rFonts w:eastAsia="Arial"/>
                <w:b/>
                <w:bCs/>
                <w:sz w:val="20"/>
                <w:szCs w:val="20"/>
                <w:lang w:eastAsia="en-IN" w:bidi="hi-IN"/>
              </w:rPr>
              <w:t>.00</w:t>
            </w:r>
            <w:r w:rsidR="00503733">
              <w:rPr>
                <w:rFonts w:eastAsia="Arial"/>
                <w:b/>
                <w:bCs/>
                <w:sz w:val="20"/>
                <w:szCs w:val="20"/>
                <w:lang w:eastAsia="en-IN" w:bidi="hi-IN"/>
              </w:rPr>
              <w:t>79</w:t>
            </w:r>
          </w:p>
        </w:tc>
        <w:tc>
          <w:tcPr>
            <w:tcW w:w="992" w:type="dxa"/>
            <w:vAlign w:val="center"/>
          </w:tcPr>
          <w:p w14:paraId="1C60FC76" w14:textId="78488EDA" w:rsidR="005A7B31" w:rsidRDefault="005A7B31" w:rsidP="00F72FC0">
            <w:pPr>
              <w:jc w:val="center"/>
              <w:rPr>
                <w:b/>
                <w:bCs/>
                <w:sz w:val="20"/>
                <w:szCs w:val="20"/>
              </w:rPr>
            </w:pPr>
            <w:r w:rsidRPr="00553BC7">
              <w:rPr>
                <w:rFonts w:eastAsia="Arial"/>
                <w:bCs/>
                <w:sz w:val="20"/>
                <w:szCs w:val="20"/>
                <w:lang w:eastAsia="en-IN" w:bidi="hi-IN"/>
              </w:rPr>
              <w:t>—</w:t>
            </w:r>
          </w:p>
        </w:tc>
        <w:tc>
          <w:tcPr>
            <w:tcW w:w="993" w:type="dxa"/>
            <w:vAlign w:val="center"/>
          </w:tcPr>
          <w:p w14:paraId="4FC20066" w14:textId="129D2ED2" w:rsidR="005A7B31" w:rsidRDefault="005A7B31" w:rsidP="00F72FC0">
            <w:pPr>
              <w:jc w:val="center"/>
              <w:rPr>
                <w:b/>
                <w:bCs/>
                <w:sz w:val="20"/>
                <w:szCs w:val="20"/>
              </w:rPr>
            </w:pPr>
            <w:r w:rsidRPr="00394818">
              <w:rPr>
                <w:rFonts w:eastAsia="Arial"/>
                <w:sz w:val="20"/>
                <w:szCs w:val="20"/>
                <w:lang w:eastAsia="en-IN" w:bidi="hi-IN"/>
              </w:rPr>
              <w:t>—</w:t>
            </w:r>
          </w:p>
        </w:tc>
        <w:tc>
          <w:tcPr>
            <w:tcW w:w="1139" w:type="dxa"/>
            <w:vAlign w:val="center"/>
          </w:tcPr>
          <w:p w14:paraId="60963879" w14:textId="3319D7E0" w:rsidR="005A7B31" w:rsidRDefault="005A7B31" w:rsidP="00F72FC0">
            <w:pPr>
              <w:jc w:val="center"/>
              <w:rPr>
                <w:b/>
                <w:bCs/>
                <w:sz w:val="20"/>
                <w:szCs w:val="20"/>
              </w:rPr>
            </w:pPr>
            <w:r w:rsidRPr="00394818">
              <w:rPr>
                <w:rFonts w:eastAsia="Arial"/>
                <w:sz w:val="20"/>
                <w:szCs w:val="20"/>
                <w:lang w:eastAsia="en-IN" w:bidi="hi-IN"/>
              </w:rPr>
              <w:t>—</w:t>
            </w:r>
          </w:p>
        </w:tc>
      </w:tr>
      <w:tr w:rsidR="005A7B31" w14:paraId="195B2C9A" w14:textId="77777777" w:rsidTr="00F72FC0">
        <w:tc>
          <w:tcPr>
            <w:tcW w:w="10201" w:type="dxa"/>
            <w:gridSpan w:val="8"/>
            <w:vAlign w:val="center"/>
          </w:tcPr>
          <w:p w14:paraId="38511338" w14:textId="02850032" w:rsidR="005A7B31" w:rsidRPr="001E59BD" w:rsidRDefault="005A7B31" w:rsidP="005A7B31">
            <w:pPr>
              <w:rPr>
                <w:b/>
                <w:bCs/>
                <w:sz w:val="20"/>
                <w:szCs w:val="20"/>
              </w:rPr>
            </w:pPr>
            <w:r w:rsidRPr="001E59BD">
              <w:rPr>
                <w:rFonts w:eastAsia="Arial"/>
                <w:b/>
                <w:bCs/>
                <w:sz w:val="20"/>
                <w:szCs w:val="20"/>
                <w:lang w:eastAsia="en-IN" w:bidi="hi-IN"/>
              </w:rPr>
              <w:t>Geographic Region (k = 24, QM (</w:t>
            </w:r>
            <w:proofErr w:type="spellStart"/>
            <w:r w:rsidRPr="001E59BD">
              <w:rPr>
                <w:rFonts w:eastAsia="Arial"/>
                <w:b/>
                <w:bCs/>
                <w:sz w:val="20"/>
                <w:szCs w:val="20"/>
                <w:lang w:eastAsia="en-IN" w:bidi="hi-IN"/>
              </w:rPr>
              <w:t>df</w:t>
            </w:r>
            <w:proofErr w:type="spellEnd"/>
            <w:r w:rsidRPr="001E59BD">
              <w:rPr>
                <w:rFonts w:eastAsia="Arial"/>
                <w:b/>
                <w:bCs/>
                <w:sz w:val="20"/>
                <w:szCs w:val="20"/>
                <w:lang w:eastAsia="en-IN" w:bidi="hi-IN"/>
              </w:rPr>
              <w:t xml:space="preserve"> = 5) = 51.51, p &lt; 0.0001, R</w:t>
            </w:r>
            <w:r w:rsidRPr="001E59BD">
              <w:rPr>
                <w:rFonts w:eastAsia="Arial"/>
                <w:b/>
                <w:bCs/>
                <w:sz w:val="20"/>
                <w:szCs w:val="20"/>
                <w:vertAlign w:val="superscript"/>
                <w:lang w:eastAsia="en-IN" w:bidi="hi-IN"/>
              </w:rPr>
              <w:t>2</w:t>
            </w:r>
            <w:r w:rsidRPr="001E59BD">
              <w:rPr>
                <w:rFonts w:eastAsia="Arial"/>
                <w:b/>
                <w:bCs/>
                <w:sz w:val="20"/>
                <w:szCs w:val="20"/>
                <w:lang w:eastAsia="en-IN" w:bidi="hi-IN"/>
              </w:rPr>
              <w:t>=0%, Residual I</w:t>
            </w:r>
            <w:r w:rsidRPr="001E59BD">
              <w:rPr>
                <w:rFonts w:eastAsia="Arial"/>
                <w:b/>
                <w:bCs/>
                <w:sz w:val="20"/>
                <w:szCs w:val="20"/>
                <w:vertAlign w:val="superscript"/>
                <w:lang w:eastAsia="en-IN" w:bidi="hi-IN"/>
              </w:rPr>
              <w:t>2</w:t>
            </w:r>
            <w:r w:rsidRPr="001E59BD">
              <w:rPr>
                <w:rFonts w:eastAsia="Arial"/>
                <w:b/>
                <w:bCs/>
                <w:sz w:val="20"/>
                <w:szCs w:val="20"/>
                <w:lang w:eastAsia="en-IN" w:bidi="hi-IN"/>
              </w:rPr>
              <w:t>=98.51 %)</w:t>
            </w:r>
          </w:p>
        </w:tc>
      </w:tr>
      <w:tr w:rsidR="005A7B31" w14:paraId="68C4590C" w14:textId="77777777" w:rsidTr="00F72FC0">
        <w:tc>
          <w:tcPr>
            <w:tcW w:w="2122" w:type="dxa"/>
            <w:vAlign w:val="center"/>
          </w:tcPr>
          <w:p w14:paraId="1D1493B9" w14:textId="1AF0EA98" w:rsidR="005A7B31" w:rsidRDefault="005A7B31" w:rsidP="00F72FC0">
            <w:pPr>
              <w:jc w:val="center"/>
              <w:rPr>
                <w:b/>
                <w:bCs/>
                <w:sz w:val="20"/>
                <w:szCs w:val="20"/>
              </w:rPr>
            </w:pPr>
            <w:r w:rsidRPr="00274B66">
              <w:rPr>
                <w:rFonts w:eastAsia="Arial"/>
                <w:sz w:val="20"/>
                <w:szCs w:val="20"/>
                <w:lang w:eastAsia="en-IN" w:bidi="hi-IN"/>
              </w:rPr>
              <w:t>European</w:t>
            </w:r>
          </w:p>
        </w:tc>
        <w:tc>
          <w:tcPr>
            <w:tcW w:w="1836" w:type="dxa"/>
            <w:vAlign w:val="center"/>
          </w:tcPr>
          <w:p w14:paraId="3973F28E" w14:textId="147F68D9" w:rsidR="005A7B31" w:rsidRDefault="005A7B31" w:rsidP="00F72FC0">
            <w:pPr>
              <w:jc w:val="center"/>
              <w:rPr>
                <w:b/>
                <w:bCs/>
                <w:sz w:val="20"/>
                <w:szCs w:val="20"/>
              </w:rPr>
            </w:pPr>
            <w:r w:rsidRPr="00274B66">
              <w:rPr>
                <w:rFonts w:eastAsia="Arial"/>
                <w:sz w:val="20"/>
                <w:szCs w:val="20"/>
                <w:lang w:eastAsia="en-IN" w:bidi="hi-IN"/>
              </w:rPr>
              <w:t>0.</w:t>
            </w:r>
            <w:r w:rsidR="00503733">
              <w:rPr>
                <w:rFonts w:eastAsia="Arial"/>
                <w:sz w:val="20"/>
                <w:szCs w:val="20"/>
                <w:lang w:eastAsia="en-IN" w:bidi="hi-IN"/>
              </w:rPr>
              <w:t>15</w:t>
            </w:r>
            <w:r w:rsidRPr="00274B66">
              <w:rPr>
                <w:rFonts w:eastAsia="Arial"/>
                <w:sz w:val="20"/>
                <w:szCs w:val="20"/>
                <w:lang w:eastAsia="en-IN" w:bidi="hi-IN"/>
              </w:rPr>
              <w:t xml:space="preserve"> (</w:t>
            </w:r>
            <w:r w:rsidR="00503733" w:rsidRPr="00503733">
              <w:rPr>
                <w:rFonts w:eastAsia="Arial"/>
                <w:sz w:val="20"/>
                <w:szCs w:val="20"/>
                <w:lang w:eastAsia="en-IN" w:bidi="hi-IN"/>
              </w:rPr>
              <w:t>−</w:t>
            </w:r>
            <w:r w:rsidRPr="00274B66">
              <w:rPr>
                <w:rFonts w:eastAsia="Arial"/>
                <w:sz w:val="20"/>
                <w:szCs w:val="20"/>
                <w:lang w:eastAsia="en-IN" w:bidi="hi-IN"/>
              </w:rPr>
              <w:t>0.</w:t>
            </w:r>
            <w:r w:rsidR="00503733">
              <w:rPr>
                <w:rFonts w:eastAsia="Arial"/>
                <w:sz w:val="20"/>
                <w:szCs w:val="20"/>
                <w:lang w:eastAsia="en-IN" w:bidi="hi-IN"/>
              </w:rPr>
              <w:t>19</w:t>
            </w:r>
            <w:r w:rsidRPr="00274B66">
              <w:rPr>
                <w:rFonts w:eastAsia="Arial"/>
                <w:sz w:val="20"/>
                <w:szCs w:val="20"/>
                <w:lang w:eastAsia="en-IN" w:bidi="hi-IN"/>
              </w:rPr>
              <w:t>, 0.4</w:t>
            </w:r>
            <w:r w:rsidR="001E02D7">
              <w:rPr>
                <w:rFonts w:eastAsia="Arial"/>
                <w:sz w:val="20"/>
                <w:szCs w:val="20"/>
                <w:lang w:eastAsia="en-IN" w:bidi="hi-IN"/>
              </w:rPr>
              <w:t>9</w:t>
            </w:r>
            <w:r w:rsidRPr="00274B66">
              <w:rPr>
                <w:rFonts w:eastAsia="Arial"/>
                <w:sz w:val="20"/>
                <w:szCs w:val="20"/>
                <w:lang w:eastAsia="en-IN" w:bidi="hi-IN"/>
              </w:rPr>
              <w:t>)</w:t>
            </w:r>
          </w:p>
        </w:tc>
        <w:tc>
          <w:tcPr>
            <w:tcW w:w="709" w:type="dxa"/>
            <w:vAlign w:val="center"/>
          </w:tcPr>
          <w:p w14:paraId="302CFCF7" w14:textId="262D5DC3" w:rsidR="005A7B31" w:rsidRDefault="005A7B31" w:rsidP="00F72FC0">
            <w:pPr>
              <w:jc w:val="center"/>
              <w:rPr>
                <w:b/>
                <w:bCs/>
                <w:sz w:val="20"/>
                <w:szCs w:val="20"/>
              </w:rPr>
            </w:pPr>
            <w:r w:rsidRPr="00274B66">
              <w:rPr>
                <w:rFonts w:eastAsia="Arial"/>
                <w:sz w:val="20"/>
                <w:szCs w:val="20"/>
                <w:lang w:eastAsia="en-IN" w:bidi="hi-IN"/>
              </w:rPr>
              <w:t>0.1</w:t>
            </w:r>
            <w:r w:rsidR="001E02D7">
              <w:rPr>
                <w:rFonts w:eastAsia="Arial"/>
                <w:sz w:val="20"/>
                <w:szCs w:val="20"/>
                <w:lang w:eastAsia="en-IN" w:bidi="hi-IN"/>
              </w:rPr>
              <w:t>74</w:t>
            </w:r>
          </w:p>
        </w:tc>
        <w:tc>
          <w:tcPr>
            <w:tcW w:w="1029" w:type="dxa"/>
            <w:vAlign w:val="center"/>
          </w:tcPr>
          <w:p w14:paraId="48F15F3B" w14:textId="1434BE99" w:rsidR="005A7B31" w:rsidRPr="001E02D7" w:rsidRDefault="001E02D7" w:rsidP="00F72FC0">
            <w:pPr>
              <w:jc w:val="center"/>
              <w:rPr>
                <w:sz w:val="20"/>
                <w:szCs w:val="20"/>
              </w:rPr>
            </w:pPr>
            <w:r w:rsidRPr="001E02D7">
              <w:rPr>
                <w:rFonts w:eastAsia="Arial"/>
                <w:sz w:val="20"/>
                <w:szCs w:val="20"/>
                <w:lang w:eastAsia="en-IN" w:bidi="hi-IN"/>
              </w:rPr>
              <w:t>0.871</w:t>
            </w:r>
          </w:p>
        </w:tc>
        <w:tc>
          <w:tcPr>
            <w:tcW w:w="1381" w:type="dxa"/>
            <w:vAlign w:val="center"/>
          </w:tcPr>
          <w:p w14:paraId="6EDF298E" w14:textId="0B91BB50" w:rsidR="005A7B31" w:rsidRPr="001E02D7" w:rsidRDefault="00186A9A" w:rsidP="00F72FC0">
            <w:pPr>
              <w:jc w:val="center"/>
              <w:rPr>
                <w:sz w:val="20"/>
                <w:szCs w:val="20"/>
              </w:rPr>
            </w:pPr>
            <w:r w:rsidRPr="001E02D7">
              <w:rPr>
                <w:rFonts w:eastAsia="Arial"/>
                <w:sz w:val="20"/>
                <w:szCs w:val="20"/>
                <w:lang w:eastAsia="en-IN" w:bidi="hi-IN"/>
              </w:rPr>
              <w:t xml:space="preserve">0.3835  </w:t>
            </w:r>
          </w:p>
        </w:tc>
        <w:tc>
          <w:tcPr>
            <w:tcW w:w="992" w:type="dxa"/>
            <w:vAlign w:val="center"/>
          </w:tcPr>
          <w:p w14:paraId="024A2599" w14:textId="3B17EF5B" w:rsidR="005A7B31" w:rsidRDefault="005A7B31" w:rsidP="00F72FC0">
            <w:pPr>
              <w:jc w:val="center"/>
              <w:rPr>
                <w:b/>
                <w:bCs/>
                <w:sz w:val="20"/>
                <w:szCs w:val="20"/>
              </w:rPr>
            </w:pPr>
            <w:r w:rsidRPr="00553BC7">
              <w:rPr>
                <w:rFonts w:eastAsia="Arial"/>
                <w:bCs/>
                <w:sz w:val="20"/>
                <w:szCs w:val="20"/>
                <w:lang w:eastAsia="en-IN" w:bidi="hi-IN"/>
              </w:rPr>
              <w:t>—</w:t>
            </w:r>
          </w:p>
        </w:tc>
        <w:tc>
          <w:tcPr>
            <w:tcW w:w="993" w:type="dxa"/>
            <w:vAlign w:val="center"/>
          </w:tcPr>
          <w:p w14:paraId="71911F8B" w14:textId="20465AB1" w:rsidR="005A7B31" w:rsidRDefault="005A7B31" w:rsidP="00F72FC0">
            <w:pPr>
              <w:jc w:val="center"/>
              <w:rPr>
                <w:b/>
                <w:bCs/>
                <w:sz w:val="20"/>
                <w:szCs w:val="20"/>
              </w:rPr>
            </w:pPr>
            <w:r w:rsidRPr="00394818">
              <w:rPr>
                <w:rFonts w:eastAsia="Arial"/>
                <w:sz w:val="20"/>
                <w:szCs w:val="20"/>
                <w:lang w:eastAsia="en-IN" w:bidi="hi-IN"/>
              </w:rPr>
              <w:t>—</w:t>
            </w:r>
          </w:p>
        </w:tc>
        <w:tc>
          <w:tcPr>
            <w:tcW w:w="1139" w:type="dxa"/>
            <w:vAlign w:val="center"/>
          </w:tcPr>
          <w:p w14:paraId="677403D8" w14:textId="4611E99B" w:rsidR="005A7B31" w:rsidRDefault="005A7B31" w:rsidP="00F72FC0">
            <w:pPr>
              <w:jc w:val="center"/>
              <w:rPr>
                <w:b/>
                <w:bCs/>
                <w:sz w:val="20"/>
                <w:szCs w:val="20"/>
              </w:rPr>
            </w:pPr>
            <w:r w:rsidRPr="00394818">
              <w:rPr>
                <w:rFonts w:eastAsia="Arial"/>
                <w:sz w:val="20"/>
                <w:szCs w:val="20"/>
                <w:lang w:eastAsia="en-IN" w:bidi="hi-IN"/>
              </w:rPr>
              <w:t>—</w:t>
            </w:r>
          </w:p>
        </w:tc>
      </w:tr>
      <w:tr w:rsidR="005A7B31" w14:paraId="1F3FF3A1" w14:textId="77777777" w:rsidTr="00F72FC0">
        <w:tc>
          <w:tcPr>
            <w:tcW w:w="2122" w:type="dxa"/>
            <w:vAlign w:val="center"/>
          </w:tcPr>
          <w:p w14:paraId="4F990A8F" w14:textId="383BA6B7" w:rsidR="005A7B31" w:rsidRDefault="005A7B31" w:rsidP="00F72FC0">
            <w:pPr>
              <w:jc w:val="center"/>
              <w:rPr>
                <w:b/>
                <w:bCs/>
                <w:sz w:val="20"/>
                <w:szCs w:val="20"/>
              </w:rPr>
            </w:pPr>
            <w:r w:rsidRPr="00274B66">
              <w:rPr>
                <w:rFonts w:eastAsia="Arial"/>
                <w:sz w:val="20"/>
                <w:szCs w:val="20"/>
                <w:lang w:eastAsia="en-IN" w:bidi="hi-IN"/>
              </w:rPr>
              <w:t>South-East Asia</w:t>
            </w:r>
          </w:p>
        </w:tc>
        <w:tc>
          <w:tcPr>
            <w:tcW w:w="1836" w:type="dxa"/>
            <w:vAlign w:val="center"/>
          </w:tcPr>
          <w:p w14:paraId="3D36EAB0" w14:textId="28699E87" w:rsidR="005A7B31" w:rsidRDefault="005A7B31" w:rsidP="00F72FC0">
            <w:pPr>
              <w:jc w:val="center"/>
              <w:rPr>
                <w:b/>
                <w:bCs/>
                <w:sz w:val="20"/>
                <w:szCs w:val="20"/>
              </w:rPr>
            </w:pPr>
            <w:r w:rsidRPr="00274B66">
              <w:rPr>
                <w:rFonts w:eastAsia="Arial"/>
                <w:sz w:val="20"/>
                <w:szCs w:val="20"/>
                <w:lang w:eastAsia="en-IN" w:bidi="hi-IN"/>
              </w:rPr>
              <w:t>0.</w:t>
            </w:r>
            <w:r w:rsidR="00503733">
              <w:rPr>
                <w:rFonts w:eastAsia="Arial"/>
                <w:sz w:val="20"/>
                <w:szCs w:val="20"/>
                <w:lang w:eastAsia="en-IN" w:bidi="hi-IN"/>
              </w:rPr>
              <w:t>05</w:t>
            </w:r>
            <w:r w:rsidRPr="00274B66">
              <w:rPr>
                <w:rFonts w:eastAsia="Arial"/>
                <w:sz w:val="20"/>
                <w:szCs w:val="20"/>
                <w:lang w:eastAsia="en-IN" w:bidi="hi-IN"/>
              </w:rPr>
              <w:t xml:space="preserve"> (</w:t>
            </w:r>
            <w:r w:rsidR="001E02D7" w:rsidRPr="001E02D7">
              <w:rPr>
                <w:rFonts w:eastAsia="Arial"/>
                <w:sz w:val="20"/>
                <w:szCs w:val="20"/>
                <w:lang w:eastAsia="en-IN" w:bidi="hi-IN"/>
              </w:rPr>
              <w:t>−</w:t>
            </w:r>
            <w:r w:rsidRPr="00274B66">
              <w:rPr>
                <w:rFonts w:eastAsia="Arial"/>
                <w:sz w:val="20"/>
                <w:szCs w:val="20"/>
                <w:lang w:eastAsia="en-IN" w:bidi="hi-IN"/>
              </w:rPr>
              <w:t>0.</w:t>
            </w:r>
            <w:r w:rsidR="001E02D7">
              <w:rPr>
                <w:rFonts w:eastAsia="Arial"/>
                <w:sz w:val="20"/>
                <w:szCs w:val="20"/>
                <w:lang w:eastAsia="en-IN" w:bidi="hi-IN"/>
              </w:rPr>
              <w:t>33</w:t>
            </w:r>
            <w:r w:rsidRPr="00274B66">
              <w:rPr>
                <w:rFonts w:eastAsia="Arial"/>
                <w:sz w:val="20"/>
                <w:szCs w:val="20"/>
                <w:lang w:eastAsia="en-IN" w:bidi="hi-IN"/>
              </w:rPr>
              <w:t>, 0.</w:t>
            </w:r>
            <w:r w:rsidR="001E02D7">
              <w:rPr>
                <w:rFonts w:eastAsia="Arial"/>
                <w:sz w:val="20"/>
                <w:szCs w:val="20"/>
                <w:lang w:eastAsia="en-IN" w:bidi="hi-IN"/>
              </w:rPr>
              <w:t>45</w:t>
            </w:r>
            <w:r w:rsidRPr="00274B66">
              <w:rPr>
                <w:rFonts w:eastAsia="Arial"/>
                <w:sz w:val="20"/>
                <w:szCs w:val="20"/>
                <w:lang w:eastAsia="en-IN" w:bidi="hi-IN"/>
              </w:rPr>
              <w:t>)</w:t>
            </w:r>
          </w:p>
        </w:tc>
        <w:tc>
          <w:tcPr>
            <w:tcW w:w="709" w:type="dxa"/>
            <w:vAlign w:val="center"/>
          </w:tcPr>
          <w:p w14:paraId="7ED63A80" w14:textId="48BA1A5D" w:rsidR="005A7B31" w:rsidRDefault="005A7B31" w:rsidP="00F72FC0">
            <w:pPr>
              <w:jc w:val="center"/>
              <w:rPr>
                <w:b/>
                <w:bCs/>
                <w:sz w:val="20"/>
                <w:szCs w:val="20"/>
              </w:rPr>
            </w:pPr>
            <w:r w:rsidRPr="00274B66">
              <w:rPr>
                <w:rFonts w:eastAsia="Arial"/>
                <w:sz w:val="20"/>
                <w:szCs w:val="20"/>
                <w:lang w:eastAsia="en-IN" w:bidi="hi-IN"/>
              </w:rPr>
              <w:t>0.1</w:t>
            </w:r>
            <w:r w:rsidR="001E02D7">
              <w:rPr>
                <w:rFonts w:eastAsia="Arial"/>
                <w:sz w:val="20"/>
                <w:szCs w:val="20"/>
                <w:lang w:eastAsia="en-IN" w:bidi="hi-IN"/>
              </w:rPr>
              <w:t>98</w:t>
            </w:r>
          </w:p>
        </w:tc>
        <w:tc>
          <w:tcPr>
            <w:tcW w:w="1029" w:type="dxa"/>
            <w:vAlign w:val="center"/>
          </w:tcPr>
          <w:p w14:paraId="7B8F3529" w14:textId="6EFED781" w:rsidR="005A7B31" w:rsidRPr="001E02D7" w:rsidRDefault="001E02D7" w:rsidP="00F72FC0">
            <w:pPr>
              <w:jc w:val="center"/>
              <w:rPr>
                <w:sz w:val="20"/>
                <w:szCs w:val="20"/>
              </w:rPr>
            </w:pPr>
            <w:r w:rsidRPr="001E02D7">
              <w:rPr>
                <w:sz w:val="20"/>
                <w:szCs w:val="20"/>
              </w:rPr>
              <w:t>0.296</w:t>
            </w:r>
          </w:p>
        </w:tc>
        <w:tc>
          <w:tcPr>
            <w:tcW w:w="1381" w:type="dxa"/>
            <w:vAlign w:val="center"/>
          </w:tcPr>
          <w:p w14:paraId="3FF75F0E" w14:textId="2A5D49CE" w:rsidR="005A7B31" w:rsidRPr="001E02D7" w:rsidRDefault="00186A9A" w:rsidP="00F72FC0">
            <w:pPr>
              <w:jc w:val="center"/>
              <w:rPr>
                <w:sz w:val="20"/>
                <w:szCs w:val="20"/>
              </w:rPr>
            </w:pPr>
            <w:r w:rsidRPr="001E02D7">
              <w:rPr>
                <w:rFonts w:eastAsia="Arial"/>
                <w:sz w:val="20"/>
                <w:szCs w:val="20"/>
                <w:lang w:eastAsia="en-IN" w:bidi="hi-IN"/>
              </w:rPr>
              <w:t>0.4922</w:t>
            </w:r>
          </w:p>
        </w:tc>
        <w:tc>
          <w:tcPr>
            <w:tcW w:w="992" w:type="dxa"/>
            <w:vAlign w:val="center"/>
          </w:tcPr>
          <w:p w14:paraId="10066AFD" w14:textId="3433B9F1" w:rsidR="005A7B31" w:rsidRDefault="005A7B31" w:rsidP="00F72FC0">
            <w:pPr>
              <w:jc w:val="center"/>
              <w:rPr>
                <w:b/>
                <w:bCs/>
                <w:sz w:val="20"/>
                <w:szCs w:val="20"/>
              </w:rPr>
            </w:pPr>
            <w:r w:rsidRPr="00553BC7">
              <w:rPr>
                <w:rFonts w:eastAsia="Arial"/>
                <w:bCs/>
                <w:sz w:val="20"/>
                <w:szCs w:val="20"/>
                <w:lang w:eastAsia="en-IN" w:bidi="hi-IN"/>
              </w:rPr>
              <w:t>—</w:t>
            </w:r>
          </w:p>
        </w:tc>
        <w:tc>
          <w:tcPr>
            <w:tcW w:w="993" w:type="dxa"/>
            <w:vAlign w:val="center"/>
          </w:tcPr>
          <w:p w14:paraId="614329A6" w14:textId="3F712AE4" w:rsidR="005A7B31" w:rsidRDefault="005A7B31" w:rsidP="00F72FC0">
            <w:pPr>
              <w:jc w:val="center"/>
              <w:rPr>
                <w:b/>
                <w:bCs/>
                <w:sz w:val="20"/>
                <w:szCs w:val="20"/>
              </w:rPr>
            </w:pPr>
            <w:r w:rsidRPr="00394818">
              <w:rPr>
                <w:rFonts w:eastAsia="Arial"/>
                <w:sz w:val="20"/>
                <w:szCs w:val="20"/>
                <w:lang w:eastAsia="en-IN" w:bidi="hi-IN"/>
              </w:rPr>
              <w:t>—</w:t>
            </w:r>
          </w:p>
        </w:tc>
        <w:tc>
          <w:tcPr>
            <w:tcW w:w="1139" w:type="dxa"/>
            <w:vAlign w:val="center"/>
          </w:tcPr>
          <w:p w14:paraId="68A1B8EB" w14:textId="73874C95" w:rsidR="005A7B31" w:rsidRDefault="005A7B31" w:rsidP="00F72FC0">
            <w:pPr>
              <w:jc w:val="center"/>
              <w:rPr>
                <w:b/>
                <w:bCs/>
                <w:sz w:val="20"/>
                <w:szCs w:val="20"/>
              </w:rPr>
            </w:pPr>
            <w:r w:rsidRPr="00394818">
              <w:rPr>
                <w:rFonts w:eastAsia="Arial"/>
                <w:sz w:val="20"/>
                <w:szCs w:val="20"/>
                <w:lang w:eastAsia="en-IN" w:bidi="hi-IN"/>
              </w:rPr>
              <w:t>—</w:t>
            </w:r>
          </w:p>
        </w:tc>
      </w:tr>
      <w:tr w:rsidR="005A7B31" w14:paraId="175B8D09" w14:textId="77777777" w:rsidTr="00F72FC0">
        <w:tc>
          <w:tcPr>
            <w:tcW w:w="2122" w:type="dxa"/>
            <w:vAlign w:val="center"/>
          </w:tcPr>
          <w:p w14:paraId="73721C4F" w14:textId="2891F594" w:rsidR="005A7B31" w:rsidRDefault="005A7B31" w:rsidP="00F72FC0">
            <w:pPr>
              <w:jc w:val="center"/>
              <w:rPr>
                <w:b/>
                <w:bCs/>
                <w:sz w:val="20"/>
                <w:szCs w:val="20"/>
              </w:rPr>
            </w:pPr>
            <w:r w:rsidRPr="00274B66">
              <w:rPr>
                <w:rFonts w:eastAsia="Arial"/>
                <w:sz w:val="20"/>
                <w:szCs w:val="20"/>
                <w:lang w:eastAsia="en-IN" w:bidi="hi-IN"/>
              </w:rPr>
              <w:t>Western Pacific</w:t>
            </w:r>
          </w:p>
        </w:tc>
        <w:tc>
          <w:tcPr>
            <w:tcW w:w="1836" w:type="dxa"/>
            <w:vAlign w:val="center"/>
          </w:tcPr>
          <w:p w14:paraId="7BB50512" w14:textId="5A53623F" w:rsidR="005A7B31" w:rsidRDefault="00503733" w:rsidP="00F72FC0">
            <w:pPr>
              <w:jc w:val="center"/>
              <w:rPr>
                <w:b/>
                <w:bCs/>
                <w:sz w:val="20"/>
                <w:szCs w:val="20"/>
              </w:rPr>
            </w:pPr>
            <w:r w:rsidRPr="00503733">
              <w:rPr>
                <w:rFonts w:eastAsia="Arial"/>
                <w:sz w:val="20"/>
                <w:szCs w:val="20"/>
                <w:lang w:eastAsia="en-IN" w:bidi="hi-IN"/>
              </w:rPr>
              <w:t>−</w:t>
            </w:r>
            <w:r w:rsidR="005A7B31" w:rsidRPr="00274B66">
              <w:rPr>
                <w:rFonts w:eastAsia="Arial"/>
                <w:sz w:val="20"/>
                <w:szCs w:val="20"/>
                <w:lang w:eastAsia="en-IN" w:bidi="hi-IN"/>
              </w:rPr>
              <w:t>0.</w:t>
            </w:r>
            <w:r>
              <w:rPr>
                <w:rFonts w:eastAsia="Arial"/>
                <w:sz w:val="20"/>
                <w:szCs w:val="20"/>
                <w:lang w:eastAsia="en-IN" w:bidi="hi-IN"/>
              </w:rPr>
              <w:t>08</w:t>
            </w:r>
            <w:r w:rsidR="005A7B31" w:rsidRPr="00274B66">
              <w:rPr>
                <w:rFonts w:eastAsia="Arial"/>
                <w:sz w:val="20"/>
                <w:szCs w:val="20"/>
                <w:lang w:eastAsia="en-IN" w:bidi="hi-IN"/>
              </w:rPr>
              <w:t xml:space="preserve"> (0.</w:t>
            </w:r>
            <w:r w:rsidR="001E02D7">
              <w:rPr>
                <w:rFonts w:eastAsia="Arial"/>
                <w:sz w:val="20"/>
                <w:szCs w:val="20"/>
                <w:lang w:eastAsia="en-IN" w:bidi="hi-IN"/>
              </w:rPr>
              <w:t>5</w:t>
            </w:r>
            <w:r w:rsidR="005A7B31" w:rsidRPr="00274B66">
              <w:rPr>
                <w:rFonts w:eastAsia="Arial"/>
                <w:sz w:val="20"/>
                <w:szCs w:val="20"/>
                <w:lang w:eastAsia="en-IN" w:bidi="hi-IN"/>
              </w:rPr>
              <w:t>1, 0.</w:t>
            </w:r>
            <w:r w:rsidR="001E02D7">
              <w:rPr>
                <w:rFonts w:eastAsia="Arial"/>
                <w:sz w:val="20"/>
                <w:szCs w:val="20"/>
                <w:lang w:eastAsia="en-IN" w:bidi="hi-IN"/>
              </w:rPr>
              <w:t>33</w:t>
            </w:r>
            <w:r w:rsidR="005A7B31" w:rsidRPr="00274B66">
              <w:rPr>
                <w:rFonts w:eastAsia="Arial"/>
                <w:sz w:val="20"/>
                <w:szCs w:val="20"/>
                <w:lang w:eastAsia="en-IN" w:bidi="hi-IN"/>
              </w:rPr>
              <w:t>)</w:t>
            </w:r>
          </w:p>
        </w:tc>
        <w:tc>
          <w:tcPr>
            <w:tcW w:w="709" w:type="dxa"/>
            <w:vAlign w:val="center"/>
          </w:tcPr>
          <w:p w14:paraId="6A9085D6" w14:textId="0025E594" w:rsidR="005A7B31" w:rsidRDefault="005A7B31" w:rsidP="00F72FC0">
            <w:pPr>
              <w:jc w:val="center"/>
              <w:rPr>
                <w:b/>
                <w:bCs/>
                <w:sz w:val="20"/>
                <w:szCs w:val="20"/>
              </w:rPr>
            </w:pPr>
            <w:r w:rsidRPr="00274B66">
              <w:rPr>
                <w:rFonts w:eastAsia="Arial"/>
                <w:sz w:val="20"/>
                <w:szCs w:val="20"/>
                <w:lang w:eastAsia="en-IN" w:bidi="hi-IN"/>
              </w:rPr>
              <w:t>0.</w:t>
            </w:r>
            <w:r w:rsidR="001E02D7">
              <w:rPr>
                <w:rFonts w:eastAsia="Arial"/>
                <w:sz w:val="20"/>
                <w:szCs w:val="20"/>
                <w:lang w:eastAsia="en-IN" w:bidi="hi-IN"/>
              </w:rPr>
              <w:t>216</w:t>
            </w:r>
          </w:p>
        </w:tc>
        <w:tc>
          <w:tcPr>
            <w:tcW w:w="1029" w:type="dxa"/>
            <w:vAlign w:val="center"/>
          </w:tcPr>
          <w:p w14:paraId="456B5E26" w14:textId="19FA4BE8" w:rsidR="005A7B31" w:rsidRPr="001E02D7" w:rsidRDefault="001E02D7" w:rsidP="00F72FC0">
            <w:pPr>
              <w:jc w:val="center"/>
              <w:rPr>
                <w:sz w:val="20"/>
                <w:szCs w:val="20"/>
              </w:rPr>
            </w:pPr>
            <w:r w:rsidRPr="001E02D7">
              <w:rPr>
                <w:sz w:val="20"/>
                <w:szCs w:val="20"/>
              </w:rPr>
              <w:t>−0.416</w:t>
            </w:r>
          </w:p>
        </w:tc>
        <w:tc>
          <w:tcPr>
            <w:tcW w:w="1381" w:type="dxa"/>
            <w:vAlign w:val="center"/>
          </w:tcPr>
          <w:p w14:paraId="4307B7DD" w14:textId="33C7CAC0" w:rsidR="005A7B31" w:rsidRPr="001E02D7" w:rsidRDefault="00306752" w:rsidP="00F72FC0">
            <w:pPr>
              <w:jc w:val="center"/>
              <w:rPr>
                <w:sz w:val="20"/>
                <w:szCs w:val="20"/>
              </w:rPr>
            </w:pPr>
            <w:r w:rsidRPr="001E02D7">
              <w:rPr>
                <w:rFonts w:eastAsia="Arial"/>
                <w:sz w:val="20"/>
                <w:szCs w:val="20"/>
                <w:lang w:eastAsia="en-IN" w:bidi="hi-IN"/>
              </w:rPr>
              <w:t>0</w:t>
            </w:r>
            <w:r w:rsidR="005A7B31" w:rsidRPr="001E02D7">
              <w:rPr>
                <w:rFonts w:eastAsia="Arial"/>
                <w:sz w:val="20"/>
                <w:szCs w:val="20"/>
                <w:lang w:eastAsia="en-IN" w:bidi="hi-IN"/>
              </w:rPr>
              <w:t>.046</w:t>
            </w:r>
          </w:p>
        </w:tc>
        <w:tc>
          <w:tcPr>
            <w:tcW w:w="992" w:type="dxa"/>
            <w:vAlign w:val="center"/>
          </w:tcPr>
          <w:p w14:paraId="1A256DE2" w14:textId="5DC57AD0" w:rsidR="005A7B31" w:rsidRDefault="005A7B31" w:rsidP="00F72FC0">
            <w:pPr>
              <w:jc w:val="center"/>
              <w:rPr>
                <w:b/>
                <w:bCs/>
                <w:sz w:val="20"/>
                <w:szCs w:val="20"/>
              </w:rPr>
            </w:pPr>
            <w:r w:rsidRPr="00553BC7">
              <w:rPr>
                <w:rFonts w:eastAsia="Arial"/>
                <w:bCs/>
                <w:sz w:val="20"/>
                <w:szCs w:val="20"/>
                <w:lang w:eastAsia="en-IN" w:bidi="hi-IN"/>
              </w:rPr>
              <w:t>—</w:t>
            </w:r>
          </w:p>
        </w:tc>
        <w:tc>
          <w:tcPr>
            <w:tcW w:w="993" w:type="dxa"/>
            <w:vAlign w:val="center"/>
          </w:tcPr>
          <w:p w14:paraId="28F52D5A" w14:textId="7C055AB2" w:rsidR="005A7B31" w:rsidRDefault="005A7B31" w:rsidP="00F72FC0">
            <w:pPr>
              <w:jc w:val="center"/>
              <w:rPr>
                <w:b/>
                <w:bCs/>
                <w:sz w:val="20"/>
                <w:szCs w:val="20"/>
              </w:rPr>
            </w:pPr>
            <w:r w:rsidRPr="00394818">
              <w:rPr>
                <w:rFonts w:eastAsia="Arial"/>
                <w:sz w:val="20"/>
                <w:szCs w:val="20"/>
                <w:lang w:eastAsia="en-IN" w:bidi="hi-IN"/>
              </w:rPr>
              <w:t>—</w:t>
            </w:r>
          </w:p>
        </w:tc>
        <w:tc>
          <w:tcPr>
            <w:tcW w:w="1139" w:type="dxa"/>
            <w:vAlign w:val="center"/>
          </w:tcPr>
          <w:p w14:paraId="60D99CA7" w14:textId="74755666" w:rsidR="005A7B31" w:rsidRDefault="005A7B31" w:rsidP="00F72FC0">
            <w:pPr>
              <w:jc w:val="center"/>
              <w:rPr>
                <w:b/>
                <w:bCs/>
                <w:sz w:val="20"/>
                <w:szCs w:val="20"/>
              </w:rPr>
            </w:pPr>
            <w:r w:rsidRPr="00394818">
              <w:rPr>
                <w:rFonts w:eastAsia="Arial"/>
                <w:sz w:val="20"/>
                <w:szCs w:val="20"/>
                <w:lang w:eastAsia="en-IN" w:bidi="hi-IN"/>
              </w:rPr>
              <w:t>—</w:t>
            </w:r>
          </w:p>
        </w:tc>
      </w:tr>
      <w:tr w:rsidR="005A7B31" w14:paraId="4957B77B" w14:textId="77777777" w:rsidTr="00F72FC0">
        <w:tc>
          <w:tcPr>
            <w:tcW w:w="2122" w:type="dxa"/>
            <w:vAlign w:val="center"/>
          </w:tcPr>
          <w:p w14:paraId="2E3E47FF" w14:textId="54806B15" w:rsidR="005A7B31" w:rsidRDefault="005A7B31" w:rsidP="00F72FC0">
            <w:pPr>
              <w:jc w:val="center"/>
              <w:rPr>
                <w:b/>
                <w:bCs/>
                <w:sz w:val="20"/>
                <w:szCs w:val="20"/>
              </w:rPr>
            </w:pPr>
            <w:r w:rsidRPr="00274B66">
              <w:rPr>
                <w:rFonts w:eastAsia="Arial"/>
                <w:sz w:val="20"/>
                <w:szCs w:val="20"/>
                <w:lang w:eastAsia="en-IN" w:bidi="hi-IN"/>
              </w:rPr>
              <w:t>Region of Americas</w:t>
            </w:r>
          </w:p>
        </w:tc>
        <w:tc>
          <w:tcPr>
            <w:tcW w:w="1836" w:type="dxa"/>
            <w:vAlign w:val="center"/>
          </w:tcPr>
          <w:p w14:paraId="265CBE2E" w14:textId="274D4C35" w:rsidR="005A7B31" w:rsidRDefault="00503733" w:rsidP="00F72FC0">
            <w:pPr>
              <w:jc w:val="center"/>
              <w:rPr>
                <w:b/>
                <w:bCs/>
                <w:sz w:val="20"/>
                <w:szCs w:val="20"/>
              </w:rPr>
            </w:pPr>
            <w:r w:rsidRPr="00503733">
              <w:rPr>
                <w:rFonts w:eastAsia="Arial"/>
                <w:sz w:val="20"/>
                <w:szCs w:val="20"/>
                <w:lang w:eastAsia="en-IN" w:bidi="hi-IN"/>
              </w:rPr>
              <w:t>−</w:t>
            </w:r>
            <w:r w:rsidR="005A7B31" w:rsidRPr="00274B66">
              <w:rPr>
                <w:rFonts w:eastAsia="Arial"/>
                <w:sz w:val="20"/>
                <w:szCs w:val="20"/>
                <w:lang w:eastAsia="en-IN" w:bidi="hi-IN"/>
              </w:rPr>
              <w:t>0.2</w:t>
            </w:r>
            <w:r>
              <w:rPr>
                <w:rFonts w:eastAsia="Arial"/>
                <w:sz w:val="20"/>
                <w:szCs w:val="20"/>
                <w:lang w:eastAsia="en-IN" w:bidi="hi-IN"/>
              </w:rPr>
              <w:t>2</w:t>
            </w:r>
            <w:r w:rsidR="005A7B31" w:rsidRPr="00274B66">
              <w:rPr>
                <w:rFonts w:eastAsia="Arial"/>
                <w:sz w:val="20"/>
                <w:szCs w:val="20"/>
                <w:lang w:eastAsia="en-IN" w:bidi="hi-IN"/>
              </w:rPr>
              <w:t xml:space="preserve"> (−0.</w:t>
            </w:r>
            <w:r w:rsidR="001E02D7">
              <w:rPr>
                <w:rFonts w:eastAsia="Arial"/>
                <w:sz w:val="20"/>
                <w:szCs w:val="20"/>
                <w:lang w:eastAsia="en-IN" w:bidi="hi-IN"/>
              </w:rPr>
              <w:t>88</w:t>
            </w:r>
            <w:r w:rsidR="005A7B31" w:rsidRPr="00274B66">
              <w:rPr>
                <w:rFonts w:eastAsia="Arial"/>
                <w:sz w:val="20"/>
                <w:szCs w:val="20"/>
                <w:lang w:eastAsia="en-IN" w:bidi="hi-IN"/>
              </w:rPr>
              <w:t>, 0.</w:t>
            </w:r>
            <w:r w:rsidR="001E02D7">
              <w:rPr>
                <w:rFonts w:eastAsia="Arial"/>
                <w:sz w:val="20"/>
                <w:szCs w:val="20"/>
                <w:lang w:eastAsia="en-IN" w:bidi="hi-IN"/>
              </w:rPr>
              <w:t>43</w:t>
            </w:r>
            <w:r w:rsidR="005A7B31" w:rsidRPr="00274B66">
              <w:rPr>
                <w:rFonts w:eastAsia="Arial"/>
                <w:sz w:val="20"/>
                <w:szCs w:val="20"/>
                <w:lang w:eastAsia="en-IN" w:bidi="hi-IN"/>
              </w:rPr>
              <w:t>)</w:t>
            </w:r>
          </w:p>
        </w:tc>
        <w:tc>
          <w:tcPr>
            <w:tcW w:w="709" w:type="dxa"/>
            <w:vAlign w:val="center"/>
          </w:tcPr>
          <w:p w14:paraId="4EF8BB8F" w14:textId="1FC31DBE" w:rsidR="005A7B31" w:rsidRDefault="005A7B31" w:rsidP="00F72FC0">
            <w:pPr>
              <w:jc w:val="center"/>
              <w:rPr>
                <w:b/>
                <w:bCs/>
                <w:sz w:val="20"/>
                <w:szCs w:val="20"/>
              </w:rPr>
            </w:pPr>
            <w:r w:rsidRPr="00274B66">
              <w:rPr>
                <w:rFonts w:eastAsia="Arial"/>
                <w:sz w:val="20"/>
                <w:szCs w:val="20"/>
                <w:lang w:eastAsia="en-IN" w:bidi="hi-IN"/>
              </w:rPr>
              <w:t>0.3</w:t>
            </w:r>
            <w:r w:rsidR="001E02D7">
              <w:rPr>
                <w:rFonts w:eastAsia="Arial"/>
                <w:sz w:val="20"/>
                <w:szCs w:val="20"/>
                <w:lang w:eastAsia="en-IN" w:bidi="hi-IN"/>
              </w:rPr>
              <w:t>34</w:t>
            </w:r>
          </w:p>
        </w:tc>
        <w:tc>
          <w:tcPr>
            <w:tcW w:w="1029" w:type="dxa"/>
            <w:vAlign w:val="center"/>
          </w:tcPr>
          <w:p w14:paraId="3740366A" w14:textId="1A778DD8" w:rsidR="005A7B31" w:rsidRPr="001E02D7" w:rsidRDefault="001E02D7" w:rsidP="00F72FC0">
            <w:pPr>
              <w:jc w:val="center"/>
              <w:rPr>
                <w:sz w:val="20"/>
                <w:szCs w:val="20"/>
              </w:rPr>
            </w:pPr>
            <w:r w:rsidRPr="001E02D7">
              <w:rPr>
                <w:sz w:val="20"/>
                <w:szCs w:val="20"/>
              </w:rPr>
              <w:t>−0.687</w:t>
            </w:r>
          </w:p>
        </w:tc>
        <w:tc>
          <w:tcPr>
            <w:tcW w:w="1381" w:type="dxa"/>
            <w:vAlign w:val="center"/>
          </w:tcPr>
          <w:p w14:paraId="357455B4" w14:textId="58E5CA5D" w:rsidR="005A7B31" w:rsidRPr="001E02D7" w:rsidRDefault="00186A9A" w:rsidP="00F72FC0">
            <w:pPr>
              <w:jc w:val="center"/>
              <w:rPr>
                <w:sz w:val="20"/>
                <w:szCs w:val="20"/>
              </w:rPr>
            </w:pPr>
            <w:r w:rsidRPr="001E02D7">
              <w:rPr>
                <w:rFonts w:eastAsia="Arial"/>
                <w:sz w:val="20"/>
                <w:szCs w:val="20"/>
                <w:lang w:eastAsia="en-IN" w:bidi="hi-IN"/>
              </w:rPr>
              <w:t>0.7672</w:t>
            </w:r>
          </w:p>
        </w:tc>
        <w:tc>
          <w:tcPr>
            <w:tcW w:w="992" w:type="dxa"/>
            <w:vAlign w:val="center"/>
          </w:tcPr>
          <w:p w14:paraId="4B08A206" w14:textId="5CF837A7" w:rsidR="005A7B31" w:rsidRDefault="005A7B31" w:rsidP="00F72FC0">
            <w:pPr>
              <w:jc w:val="center"/>
              <w:rPr>
                <w:b/>
                <w:bCs/>
                <w:sz w:val="20"/>
                <w:szCs w:val="20"/>
              </w:rPr>
            </w:pPr>
            <w:r w:rsidRPr="00553BC7">
              <w:rPr>
                <w:rFonts w:eastAsia="Arial"/>
                <w:bCs/>
                <w:sz w:val="20"/>
                <w:szCs w:val="20"/>
                <w:lang w:eastAsia="en-IN" w:bidi="hi-IN"/>
              </w:rPr>
              <w:t>—</w:t>
            </w:r>
          </w:p>
        </w:tc>
        <w:tc>
          <w:tcPr>
            <w:tcW w:w="993" w:type="dxa"/>
            <w:vAlign w:val="center"/>
          </w:tcPr>
          <w:p w14:paraId="253C8C89" w14:textId="397BE686" w:rsidR="005A7B31" w:rsidRDefault="005A7B31" w:rsidP="00F72FC0">
            <w:pPr>
              <w:jc w:val="center"/>
              <w:rPr>
                <w:b/>
                <w:bCs/>
                <w:sz w:val="20"/>
                <w:szCs w:val="20"/>
              </w:rPr>
            </w:pPr>
            <w:r w:rsidRPr="00394818">
              <w:rPr>
                <w:rFonts w:eastAsia="Arial"/>
                <w:sz w:val="20"/>
                <w:szCs w:val="20"/>
                <w:lang w:eastAsia="en-IN" w:bidi="hi-IN"/>
              </w:rPr>
              <w:t>—</w:t>
            </w:r>
          </w:p>
        </w:tc>
        <w:tc>
          <w:tcPr>
            <w:tcW w:w="1139" w:type="dxa"/>
            <w:vAlign w:val="center"/>
          </w:tcPr>
          <w:p w14:paraId="1EE81AC5" w14:textId="614768E3" w:rsidR="005A7B31" w:rsidRDefault="005A7B31" w:rsidP="00F72FC0">
            <w:pPr>
              <w:jc w:val="center"/>
              <w:rPr>
                <w:b/>
                <w:bCs/>
                <w:sz w:val="20"/>
                <w:szCs w:val="20"/>
              </w:rPr>
            </w:pPr>
            <w:r w:rsidRPr="00394818">
              <w:rPr>
                <w:rFonts w:eastAsia="Arial"/>
                <w:sz w:val="20"/>
                <w:szCs w:val="20"/>
                <w:lang w:eastAsia="en-IN" w:bidi="hi-IN"/>
              </w:rPr>
              <w:t>—</w:t>
            </w:r>
          </w:p>
        </w:tc>
      </w:tr>
      <w:tr w:rsidR="005A7B31" w14:paraId="2FF87A36" w14:textId="77777777" w:rsidTr="00F72FC0">
        <w:tc>
          <w:tcPr>
            <w:tcW w:w="10201" w:type="dxa"/>
            <w:gridSpan w:val="8"/>
            <w:vAlign w:val="center"/>
          </w:tcPr>
          <w:p w14:paraId="2F42C7D1" w14:textId="296B2F12" w:rsidR="005A7B31" w:rsidRDefault="005A7B31" w:rsidP="005A7B31">
            <w:pPr>
              <w:rPr>
                <w:b/>
                <w:bCs/>
                <w:sz w:val="20"/>
                <w:szCs w:val="20"/>
              </w:rPr>
            </w:pPr>
            <w:r w:rsidRPr="00274B66">
              <w:rPr>
                <w:rFonts w:eastAsia="Arial"/>
                <w:b/>
                <w:bCs/>
                <w:sz w:val="20"/>
                <w:szCs w:val="20"/>
                <w:lang w:eastAsia="en-IN" w:bidi="hi-IN"/>
              </w:rPr>
              <w:t>Case Characteristics</w:t>
            </w:r>
            <w:r>
              <w:rPr>
                <w:rFonts w:eastAsia="Arial"/>
                <w:b/>
                <w:bCs/>
                <w:sz w:val="20"/>
                <w:szCs w:val="20"/>
                <w:lang w:eastAsia="en-IN" w:bidi="hi-IN"/>
              </w:rPr>
              <w:t xml:space="preserve"> </w:t>
            </w:r>
            <w:r w:rsidRPr="001D21A6">
              <w:rPr>
                <w:rFonts w:eastAsia="Arial"/>
                <w:b/>
                <w:bCs/>
                <w:sz w:val="20"/>
                <w:szCs w:val="20"/>
                <w:lang w:eastAsia="en-IN" w:bidi="hi-IN"/>
              </w:rPr>
              <w:t>(k = 24, QM (</w:t>
            </w:r>
            <w:proofErr w:type="spellStart"/>
            <w:r w:rsidRPr="001D21A6">
              <w:rPr>
                <w:rFonts w:eastAsia="Arial"/>
                <w:b/>
                <w:bCs/>
                <w:sz w:val="20"/>
                <w:szCs w:val="20"/>
                <w:lang w:eastAsia="en-IN" w:bidi="hi-IN"/>
              </w:rPr>
              <w:t>df</w:t>
            </w:r>
            <w:proofErr w:type="spellEnd"/>
            <w:r w:rsidRPr="001D21A6">
              <w:rPr>
                <w:rFonts w:eastAsia="Arial"/>
                <w:b/>
                <w:bCs/>
                <w:sz w:val="20"/>
                <w:szCs w:val="20"/>
                <w:lang w:eastAsia="en-IN" w:bidi="hi-IN"/>
              </w:rPr>
              <w:t xml:space="preserve"> = </w:t>
            </w:r>
            <w:r>
              <w:rPr>
                <w:rFonts w:eastAsia="Arial"/>
                <w:b/>
                <w:bCs/>
                <w:sz w:val="20"/>
                <w:szCs w:val="20"/>
                <w:lang w:eastAsia="en-IN" w:bidi="hi-IN"/>
              </w:rPr>
              <w:t>3</w:t>
            </w:r>
            <w:r w:rsidRPr="001D21A6">
              <w:rPr>
                <w:rFonts w:eastAsia="Arial"/>
                <w:b/>
                <w:bCs/>
                <w:sz w:val="20"/>
                <w:szCs w:val="20"/>
                <w:lang w:eastAsia="en-IN" w:bidi="hi-IN"/>
              </w:rPr>
              <w:t>) =</w:t>
            </w:r>
            <w:r>
              <w:rPr>
                <w:rFonts w:eastAsia="Arial"/>
                <w:b/>
                <w:bCs/>
                <w:sz w:val="20"/>
                <w:szCs w:val="20"/>
                <w:lang w:eastAsia="en-IN" w:bidi="hi-IN"/>
              </w:rPr>
              <w:t>78.92</w:t>
            </w:r>
            <w:r w:rsidRPr="001D21A6">
              <w:rPr>
                <w:rFonts w:eastAsia="Arial"/>
                <w:b/>
                <w:bCs/>
                <w:sz w:val="20"/>
                <w:szCs w:val="20"/>
                <w:lang w:eastAsia="en-IN" w:bidi="hi-IN"/>
              </w:rPr>
              <w:t>, p &lt; 0.0001, R</w:t>
            </w:r>
            <w:r w:rsidRPr="00553BC7">
              <w:rPr>
                <w:rFonts w:eastAsia="Arial"/>
                <w:b/>
                <w:bCs/>
                <w:sz w:val="20"/>
                <w:szCs w:val="20"/>
                <w:vertAlign w:val="superscript"/>
                <w:lang w:eastAsia="en-IN" w:bidi="hi-IN"/>
              </w:rPr>
              <w:t>2</w:t>
            </w:r>
            <w:r w:rsidRPr="001D21A6">
              <w:rPr>
                <w:rFonts w:eastAsia="Arial"/>
                <w:b/>
                <w:bCs/>
                <w:sz w:val="20"/>
                <w:szCs w:val="20"/>
                <w:lang w:eastAsia="en-IN" w:bidi="hi-IN"/>
              </w:rPr>
              <w:t>=</w:t>
            </w:r>
            <w:r>
              <w:rPr>
                <w:rFonts w:eastAsia="Arial"/>
                <w:b/>
                <w:bCs/>
                <w:sz w:val="20"/>
                <w:szCs w:val="20"/>
                <w:lang w:eastAsia="en-IN" w:bidi="hi-IN"/>
              </w:rPr>
              <w:t>23.41</w:t>
            </w:r>
            <w:r w:rsidRPr="001D21A6">
              <w:rPr>
                <w:rFonts w:eastAsia="Arial"/>
                <w:b/>
                <w:bCs/>
                <w:sz w:val="20"/>
                <w:szCs w:val="20"/>
                <w:lang w:eastAsia="en-IN" w:bidi="hi-IN"/>
              </w:rPr>
              <w:t>%, Residual I</w:t>
            </w:r>
            <w:r w:rsidRPr="00553BC7">
              <w:rPr>
                <w:rFonts w:eastAsia="Arial"/>
                <w:b/>
                <w:bCs/>
                <w:sz w:val="20"/>
                <w:szCs w:val="20"/>
                <w:vertAlign w:val="superscript"/>
                <w:lang w:eastAsia="en-IN" w:bidi="hi-IN"/>
              </w:rPr>
              <w:t>2</w:t>
            </w:r>
            <w:r w:rsidRPr="001D21A6">
              <w:rPr>
                <w:rFonts w:eastAsia="Arial"/>
                <w:b/>
                <w:bCs/>
                <w:sz w:val="20"/>
                <w:szCs w:val="20"/>
                <w:lang w:eastAsia="en-IN" w:bidi="hi-IN"/>
              </w:rPr>
              <w:t>=9</w:t>
            </w:r>
            <w:r>
              <w:rPr>
                <w:rFonts w:eastAsia="Arial"/>
                <w:b/>
                <w:bCs/>
                <w:sz w:val="20"/>
                <w:szCs w:val="20"/>
                <w:lang w:eastAsia="en-IN" w:bidi="hi-IN"/>
              </w:rPr>
              <w:t>7</w:t>
            </w:r>
            <w:r w:rsidRPr="001D21A6">
              <w:rPr>
                <w:rFonts w:eastAsia="Arial"/>
                <w:b/>
                <w:bCs/>
                <w:sz w:val="20"/>
                <w:szCs w:val="20"/>
                <w:lang w:eastAsia="en-IN" w:bidi="hi-IN"/>
              </w:rPr>
              <w:t>.08 %)</w:t>
            </w:r>
          </w:p>
        </w:tc>
      </w:tr>
      <w:tr w:rsidR="005A7B31" w14:paraId="56A9761D" w14:textId="77777777" w:rsidTr="00F72FC0">
        <w:tc>
          <w:tcPr>
            <w:tcW w:w="2122" w:type="dxa"/>
            <w:vAlign w:val="center"/>
          </w:tcPr>
          <w:p w14:paraId="0DE20B83" w14:textId="5E1F588F" w:rsidR="005A7B31" w:rsidRDefault="005A7B31" w:rsidP="00F72FC0">
            <w:pPr>
              <w:jc w:val="center"/>
              <w:rPr>
                <w:b/>
                <w:bCs/>
                <w:sz w:val="20"/>
                <w:szCs w:val="20"/>
              </w:rPr>
            </w:pPr>
            <w:r>
              <w:rPr>
                <w:rFonts w:eastAsia="Arial"/>
                <w:sz w:val="20"/>
                <w:szCs w:val="20"/>
                <w:lang w:eastAsia="en-IN" w:bidi="hi-IN"/>
              </w:rPr>
              <w:t>CHC with compensated/ decompensated cirrhosis</w:t>
            </w:r>
          </w:p>
        </w:tc>
        <w:tc>
          <w:tcPr>
            <w:tcW w:w="1836" w:type="dxa"/>
            <w:vAlign w:val="center"/>
          </w:tcPr>
          <w:p w14:paraId="33E06646" w14:textId="107466F0" w:rsidR="005A7B31" w:rsidRDefault="005A7B31" w:rsidP="00F72FC0">
            <w:pPr>
              <w:jc w:val="center"/>
              <w:rPr>
                <w:b/>
                <w:bCs/>
                <w:sz w:val="20"/>
                <w:szCs w:val="20"/>
              </w:rPr>
            </w:pPr>
            <w:r>
              <w:rPr>
                <w:rFonts w:eastAsia="Arial"/>
                <w:sz w:val="20"/>
                <w:szCs w:val="20"/>
                <w:lang w:eastAsia="en-IN" w:bidi="hi-IN"/>
              </w:rPr>
              <w:t>0.</w:t>
            </w:r>
            <w:r w:rsidR="001E02D7">
              <w:rPr>
                <w:rFonts w:eastAsia="Arial"/>
                <w:sz w:val="20"/>
                <w:szCs w:val="20"/>
                <w:lang w:eastAsia="en-IN" w:bidi="hi-IN"/>
              </w:rPr>
              <w:t>32</w:t>
            </w:r>
            <w:r>
              <w:rPr>
                <w:rFonts w:eastAsia="Arial"/>
                <w:sz w:val="20"/>
                <w:szCs w:val="20"/>
                <w:lang w:eastAsia="en-IN" w:bidi="hi-IN"/>
              </w:rPr>
              <w:t xml:space="preserve"> (0.</w:t>
            </w:r>
            <w:r w:rsidR="001E02D7">
              <w:rPr>
                <w:rFonts w:eastAsia="Arial"/>
                <w:sz w:val="20"/>
                <w:szCs w:val="20"/>
                <w:lang w:eastAsia="en-IN" w:bidi="hi-IN"/>
              </w:rPr>
              <w:t>09</w:t>
            </w:r>
            <w:r>
              <w:rPr>
                <w:rFonts w:eastAsia="Arial"/>
                <w:sz w:val="20"/>
                <w:szCs w:val="20"/>
                <w:lang w:eastAsia="en-IN" w:bidi="hi-IN"/>
              </w:rPr>
              <w:t>, 0.</w:t>
            </w:r>
            <w:r w:rsidR="001E02D7">
              <w:rPr>
                <w:rFonts w:eastAsia="Arial"/>
                <w:sz w:val="20"/>
                <w:szCs w:val="20"/>
                <w:lang w:eastAsia="en-IN" w:bidi="hi-IN"/>
              </w:rPr>
              <w:t>55</w:t>
            </w:r>
            <w:r>
              <w:rPr>
                <w:rFonts w:eastAsia="Arial"/>
                <w:sz w:val="20"/>
                <w:szCs w:val="20"/>
                <w:lang w:eastAsia="en-IN" w:bidi="hi-IN"/>
              </w:rPr>
              <w:t>)</w:t>
            </w:r>
          </w:p>
        </w:tc>
        <w:tc>
          <w:tcPr>
            <w:tcW w:w="709" w:type="dxa"/>
            <w:vAlign w:val="center"/>
          </w:tcPr>
          <w:p w14:paraId="42C0626C" w14:textId="745F2A51" w:rsidR="005A7B31" w:rsidRDefault="005A7B31" w:rsidP="00F72FC0">
            <w:pPr>
              <w:jc w:val="center"/>
              <w:rPr>
                <w:b/>
                <w:bCs/>
                <w:sz w:val="20"/>
                <w:szCs w:val="20"/>
              </w:rPr>
            </w:pPr>
            <w:r>
              <w:rPr>
                <w:rFonts w:eastAsia="Arial"/>
                <w:sz w:val="20"/>
                <w:szCs w:val="20"/>
                <w:lang w:eastAsia="en-IN" w:bidi="hi-IN"/>
              </w:rPr>
              <w:t>0.</w:t>
            </w:r>
            <w:r w:rsidR="001E02D7">
              <w:rPr>
                <w:rFonts w:eastAsia="Arial"/>
                <w:sz w:val="20"/>
                <w:szCs w:val="20"/>
                <w:lang w:eastAsia="en-IN" w:bidi="hi-IN"/>
              </w:rPr>
              <w:t>115</w:t>
            </w:r>
          </w:p>
        </w:tc>
        <w:tc>
          <w:tcPr>
            <w:tcW w:w="1029" w:type="dxa"/>
            <w:vAlign w:val="center"/>
          </w:tcPr>
          <w:p w14:paraId="698C9EA7" w14:textId="3A7B21BD" w:rsidR="005A7B31" w:rsidRPr="001E02D7" w:rsidRDefault="001E02D7" w:rsidP="00F72FC0">
            <w:pPr>
              <w:jc w:val="center"/>
              <w:rPr>
                <w:sz w:val="20"/>
                <w:szCs w:val="20"/>
              </w:rPr>
            </w:pPr>
            <w:r w:rsidRPr="001E02D7">
              <w:rPr>
                <w:sz w:val="20"/>
                <w:szCs w:val="20"/>
              </w:rPr>
              <w:t>2.81</w:t>
            </w:r>
          </w:p>
        </w:tc>
        <w:tc>
          <w:tcPr>
            <w:tcW w:w="1381" w:type="dxa"/>
            <w:vAlign w:val="center"/>
          </w:tcPr>
          <w:p w14:paraId="52AF4934" w14:textId="6667E050" w:rsidR="005A7B31" w:rsidRDefault="00306752" w:rsidP="00F72FC0">
            <w:pPr>
              <w:jc w:val="center"/>
              <w:rPr>
                <w:b/>
                <w:bCs/>
                <w:sz w:val="20"/>
                <w:szCs w:val="20"/>
              </w:rPr>
            </w:pPr>
            <w:r>
              <w:rPr>
                <w:rFonts w:eastAsia="Arial"/>
                <w:b/>
                <w:bCs/>
                <w:sz w:val="20"/>
                <w:szCs w:val="20"/>
                <w:lang w:eastAsia="en-IN" w:bidi="hi-IN"/>
              </w:rPr>
              <w:t>0</w:t>
            </w:r>
            <w:r w:rsidR="005A7B31" w:rsidRPr="00553BC7">
              <w:rPr>
                <w:rFonts w:eastAsia="Arial"/>
                <w:b/>
                <w:bCs/>
                <w:sz w:val="20"/>
                <w:szCs w:val="20"/>
                <w:lang w:eastAsia="en-IN" w:bidi="hi-IN"/>
              </w:rPr>
              <w:t>.00</w:t>
            </w:r>
            <w:r w:rsidR="001E02D7">
              <w:rPr>
                <w:rFonts w:eastAsia="Arial"/>
                <w:b/>
                <w:bCs/>
                <w:sz w:val="20"/>
                <w:szCs w:val="20"/>
                <w:lang w:eastAsia="en-IN" w:bidi="hi-IN"/>
              </w:rPr>
              <w:t>49</w:t>
            </w:r>
          </w:p>
        </w:tc>
        <w:tc>
          <w:tcPr>
            <w:tcW w:w="992" w:type="dxa"/>
            <w:vAlign w:val="center"/>
          </w:tcPr>
          <w:p w14:paraId="2998363F" w14:textId="6863DE4C" w:rsidR="005A7B31" w:rsidRDefault="005A7B31" w:rsidP="00F72FC0">
            <w:pPr>
              <w:jc w:val="center"/>
              <w:rPr>
                <w:b/>
                <w:bCs/>
                <w:sz w:val="20"/>
                <w:szCs w:val="20"/>
              </w:rPr>
            </w:pPr>
            <w:r w:rsidRPr="00553BC7">
              <w:rPr>
                <w:rFonts w:eastAsia="Arial"/>
                <w:bCs/>
                <w:sz w:val="20"/>
                <w:szCs w:val="20"/>
                <w:lang w:eastAsia="en-IN" w:bidi="hi-IN"/>
              </w:rPr>
              <w:t>—</w:t>
            </w:r>
          </w:p>
        </w:tc>
        <w:tc>
          <w:tcPr>
            <w:tcW w:w="993" w:type="dxa"/>
            <w:vAlign w:val="center"/>
          </w:tcPr>
          <w:p w14:paraId="4F65C702" w14:textId="5A540AA2" w:rsidR="005A7B31" w:rsidRDefault="005A7B31" w:rsidP="00F72FC0">
            <w:pPr>
              <w:jc w:val="center"/>
              <w:rPr>
                <w:b/>
                <w:bCs/>
                <w:sz w:val="20"/>
                <w:szCs w:val="20"/>
              </w:rPr>
            </w:pPr>
            <w:r w:rsidRPr="00394818">
              <w:rPr>
                <w:rFonts w:eastAsia="Arial"/>
                <w:sz w:val="20"/>
                <w:szCs w:val="20"/>
                <w:lang w:eastAsia="en-IN" w:bidi="hi-IN"/>
              </w:rPr>
              <w:t>—</w:t>
            </w:r>
          </w:p>
        </w:tc>
        <w:tc>
          <w:tcPr>
            <w:tcW w:w="1139" w:type="dxa"/>
            <w:vAlign w:val="center"/>
          </w:tcPr>
          <w:p w14:paraId="0E907371" w14:textId="6528E0CF" w:rsidR="005A7B31" w:rsidRDefault="005A7B31" w:rsidP="00F72FC0">
            <w:pPr>
              <w:jc w:val="center"/>
              <w:rPr>
                <w:b/>
                <w:bCs/>
                <w:sz w:val="20"/>
                <w:szCs w:val="20"/>
              </w:rPr>
            </w:pPr>
            <w:r w:rsidRPr="00394818">
              <w:rPr>
                <w:rFonts w:eastAsia="Arial"/>
                <w:sz w:val="20"/>
                <w:szCs w:val="20"/>
                <w:lang w:eastAsia="en-IN" w:bidi="hi-IN"/>
              </w:rPr>
              <w:t>—</w:t>
            </w:r>
          </w:p>
        </w:tc>
      </w:tr>
      <w:tr w:rsidR="005A7B31" w14:paraId="5C6D3DF0" w14:textId="77777777" w:rsidTr="00F72FC0">
        <w:tc>
          <w:tcPr>
            <w:tcW w:w="2122" w:type="dxa"/>
            <w:vAlign w:val="center"/>
          </w:tcPr>
          <w:p w14:paraId="3E251BFD" w14:textId="6C455DFB" w:rsidR="005A7B31" w:rsidRDefault="005A7B31" w:rsidP="00F72FC0">
            <w:pPr>
              <w:jc w:val="center"/>
              <w:rPr>
                <w:b/>
                <w:bCs/>
                <w:sz w:val="20"/>
                <w:szCs w:val="20"/>
              </w:rPr>
            </w:pPr>
            <w:r>
              <w:rPr>
                <w:rFonts w:eastAsia="Arial"/>
                <w:sz w:val="20"/>
                <w:szCs w:val="20"/>
                <w:lang w:eastAsia="en-IN" w:bidi="hi-IN"/>
              </w:rPr>
              <w:t>HIV/HCV coinfection</w:t>
            </w:r>
          </w:p>
        </w:tc>
        <w:tc>
          <w:tcPr>
            <w:tcW w:w="1836" w:type="dxa"/>
            <w:vAlign w:val="center"/>
          </w:tcPr>
          <w:p w14:paraId="30AF9081" w14:textId="354EB5A4" w:rsidR="005A7B31" w:rsidRDefault="005A7B31" w:rsidP="00F72FC0">
            <w:pPr>
              <w:jc w:val="center"/>
              <w:rPr>
                <w:b/>
                <w:bCs/>
                <w:sz w:val="20"/>
                <w:szCs w:val="20"/>
              </w:rPr>
            </w:pPr>
            <w:r>
              <w:rPr>
                <w:rFonts w:eastAsia="Arial"/>
                <w:sz w:val="20"/>
                <w:szCs w:val="20"/>
                <w:lang w:eastAsia="en-IN" w:bidi="hi-IN"/>
              </w:rPr>
              <w:t>1.</w:t>
            </w:r>
            <w:r w:rsidR="001E02D7">
              <w:rPr>
                <w:rFonts w:eastAsia="Arial"/>
                <w:sz w:val="20"/>
                <w:szCs w:val="20"/>
                <w:lang w:eastAsia="en-IN" w:bidi="hi-IN"/>
              </w:rPr>
              <w:t>33</w:t>
            </w:r>
            <w:r>
              <w:rPr>
                <w:rFonts w:eastAsia="Arial"/>
                <w:sz w:val="20"/>
                <w:szCs w:val="20"/>
                <w:lang w:eastAsia="en-IN" w:bidi="hi-IN"/>
              </w:rPr>
              <w:t xml:space="preserve"> (</w:t>
            </w:r>
            <w:r w:rsidRPr="00394818">
              <w:rPr>
                <w:rFonts w:eastAsia="Arial"/>
                <w:sz w:val="20"/>
                <w:szCs w:val="20"/>
                <w:lang w:eastAsia="en-IN" w:bidi="hi-IN"/>
              </w:rPr>
              <w:t>−</w:t>
            </w:r>
            <w:r>
              <w:rPr>
                <w:rFonts w:eastAsia="Arial"/>
                <w:sz w:val="20"/>
                <w:szCs w:val="20"/>
                <w:lang w:eastAsia="en-IN" w:bidi="hi-IN"/>
              </w:rPr>
              <w:t>0.</w:t>
            </w:r>
            <w:r w:rsidR="001E02D7">
              <w:rPr>
                <w:rFonts w:eastAsia="Arial"/>
                <w:sz w:val="20"/>
                <w:szCs w:val="20"/>
                <w:lang w:eastAsia="en-IN" w:bidi="hi-IN"/>
              </w:rPr>
              <w:t>51</w:t>
            </w:r>
            <w:r>
              <w:rPr>
                <w:rFonts w:eastAsia="Arial"/>
                <w:sz w:val="20"/>
                <w:szCs w:val="20"/>
                <w:lang w:eastAsia="en-IN" w:bidi="hi-IN"/>
              </w:rPr>
              <w:t>, 3.</w:t>
            </w:r>
            <w:r w:rsidR="001E02D7">
              <w:rPr>
                <w:rFonts w:eastAsia="Arial"/>
                <w:sz w:val="20"/>
                <w:szCs w:val="20"/>
                <w:lang w:eastAsia="en-IN" w:bidi="hi-IN"/>
              </w:rPr>
              <w:t>18</w:t>
            </w:r>
            <w:r>
              <w:rPr>
                <w:rFonts w:eastAsia="Arial"/>
                <w:sz w:val="20"/>
                <w:szCs w:val="20"/>
                <w:lang w:eastAsia="en-IN" w:bidi="hi-IN"/>
              </w:rPr>
              <w:t>)</w:t>
            </w:r>
          </w:p>
        </w:tc>
        <w:tc>
          <w:tcPr>
            <w:tcW w:w="709" w:type="dxa"/>
            <w:vAlign w:val="center"/>
          </w:tcPr>
          <w:p w14:paraId="5A47654D" w14:textId="5A0696D4" w:rsidR="005A7B31" w:rsidRDefault="005A7B31" w:rsidP="00F72FC0">
            <w:pPr>
              <w:jc w:val="center"/>
              <w:rPr>
                <w:b/>
                <w:bCs/>
                <w:sz w:val="20"/>
                <w:szCs w:val="20"/>
              </w:rPr>
            </w:pPr>
            <w:r>
              <w:rPr>
                <w:rFonts w:eastAsia="Arial"/>
                <w:sz w:val="20"/>
                <w:szCs w:val="20"/>
                <w:lang w:eastAsia="en-IN" w:bidi="hi-IN"/>
              </w:rPr>
              <w:t>0.</w:t>
            </w:r>
            <w:r w:rsidR="001E02D7">
              <w:rPr>
                <w:rFonts w:eastAsia="Arial"/>
                <w:sz w:val="20"/>
                <w:szCs w:val="20"/>
                <w:lang w:eastAsia="en-IN" w:bidi="hi-IN"/>
              </w:rPr>
              <w:t>94</w:t>
            </w:r>
          </w:p>
        </w:tc>
        <w:tc>
          <w:tcPr>
            <w:tcW w:w="1029" w:type="dxa"/>
            <w:vAlign w:val="center"/>
          </w:tcPr>
          <w:p w14:paraId="00061CE8" w14:textId="1ECA14C7" w:rsidR="005A7B31" w:rsidRDefault="001E02D7" w:rsidP="00F72FC0">
            <w:pPr>
              <w:jc w:val="center"/>
              <w:rPr>
                <w:b/>
                <w:bCs/>
                <w:sz w:val="20"/>
                <w:szCs w:val="20"/>
              </w:rPr>
            </w:pPr>
            <w:r>
              <w:rPr>
                <w:rFonts w:eastAsia="Arial"/>
                <w:sz w:val="20"/>
                <w:szCs w:val="20"/>
                <w:lang w:eastAsia="en-IN" w:bidi="hi-IN"/>
              </w:rPr>
              <w:t>1.42</w:t>
            </w:r>
          </w:p>
        </w:tc>
        <w:tc>
          <w:tcPr>
            <w:tcW w:w="1381" w:type="dxa"/>
            <w:vAlign w:val="center"/>
          </w:tcPr>
          <w:p w14:paraId="058FB345" w14:textId="118A29D0" w:rsidR="005A7B31" w:rsidRDefault="005A7B31" w:rsidP="00F72FC0">
            <w:pPr>
              <w:jc w:val="center"/>
              <w:rPr>
                <w:b/>
                <w:bCs/>
                <w:sz w:val="20"/>
                <w:szCs w:val="20"/>
              </w:rPr>
            </w:pPr>
            <w:r w:rsidRPr="00553BC7">
              <w:rPr>
                <w:rFonts w:eastAsia="Arial"/>
                <w:bCs/>
                <w:sz w:val="20"/>
                <w:szCs w:val="20"/>
                <w:lang w:eastAsia="en-IN" w:bidi="hi-IN"/>
              </w:rPr>
              <w:t>0.</w:t>
            </w:r>
            <w:r w:rsidR="001E02D7">
              <w:rPr>
                <w:rFonts w:eastAsia="Arial"/>
                <w:bCs/>
                <w:sz w:val="20"/>
                <w:szCs w:val="20"/>
                <w:lang w:eastAsia="en-IN" w:bidi="hi-IN"/>
              </w:rPr>
              <w:t>1563</w:t>
            </w:r>
          </w:p>
        </w:tc>
        <w:tc>
          <w:tcPr>
            <w:tcW w:w="992" w:type="dxa"/>
            <w:vAlign w:val="center"/>
          </w:tcPr>
          <w:p w14:paraId="74DD2060" w14:textId="26D4E9D4" w:rsidR="005A7B31" w:rsidRDefault="005A7B31" w:rsidP="00F72FC0">
            <w:pPr>
              <w:jc w:val="center"/>
              <w:rPr>
                <w:b/>
                <w:bCs/>
                <w:sz w:val="20"/>
                <w:szCs w:val="20"/>
              </w:rPr>
            </w:pPr>
            <w:r w:rsidRPr="00553BC7">
              <w:rPr>
                <w:rFonts w:eastAsia="Arial"/>
                <w:bCs/>
                <w:sz w:val="20"/>
                <w:szCs w:val="20"/>
                <w:lang w:eastAsia="en-IN" w:bidi="hi-IN"/>
              </w:rPr>
              <w:t>—</w:t>
            </w:r>
          </w:p>
        </w:tc>
        <w:tc>
          <w:tcPr>
            <w:tcW w:w="993" w:type="dxa"/>
            <w:vAlign w:val="center"/>
          </w:tcPr>
          <w:p w14:paraId="62300737" w14:textId="511B2762" w:rsidR="005A7B31" w:rsidRDefault="005A7B31" w:rsidP="00F72FC0">
            <w:pPr>
              <w:jc w:val="center"/>
              <w:rPr>
                <w:b/>
                <w:bCs/>
                <w:sz w:val="20"/>
                <w:szCs w:val="20"/>
              </w:rPr>
            </w:pPr>
            <w:r w:rsidRPr="00394818">
              <w:rPr>
                <w:rFonts w:eastAsia="Arial"/>
                <w:sz w:val="20"/>
                <w:szCs w:val="20"/>
                <w:lang w:eastAsia="en-IN" w:bidi="hi-IN"/>
              </w:rPr>
              <w:t>—</w:t>
            </w:r>
          </w:p>
        </w:tc>
        <w:tc>
          <w:tcPr>
            <w:tcW w:w="1139" w:type="dxa"/>
            <w:vAlign w:val="center"/>
          </w:tcPr>
          <w:p w14:paraId="6791B8D9" w14:textId="19C2AB60" w:rsidR="005A7B31" w:rsidRDefault="005A7B31" w:rsidP="00F72FC0">
            <w:pPr>
              <w:jc w:val="center"/>
              <w:rPr>
                <w:b/>
                <w:bCs/>
                <w:sz w:val="20"/>
                <w:szCs w:val="20"/>
              </w:rPr>
            </w:pPr>
            <w:r w:rsidRPr="00394818">
              <w:rPr>
                <w:rFonts w:eastAsia="Arial"/>
                <w:sz w:val="20"/>
                <w:szCs w:val="20"/>
                <w:lang w:eastAsia="en-IN" w:bidi="hi-IN"/>
              </w:rPr>
              <w:t>—</w:t>
            </w:r>
          </w:p>
        </w:tc>
      </w:tr>
      <w:tr w:rsidR="005A7B31" w14:paraId="2D00A380" w14:textId="77777777" w:rsidTr="00F72FC0">
        <w:tc>
          <w:tcPr>
            <w:tcW w:w="10201" w:type="dxa"/>
            <w:gridSpan w:val="8"/>
            <w:vAlign w:val="center"/>
          </w:tcPr>
          <w:p w14:paraId="4C7B3081" w14:textId="7606F4C7" w:rsidR="005A7B31" w:rsidRDefault="005A7B31" w:rsidP="005A7B31">
            <w:pPr>
              <w:rPr>
                <w:b/>
                <w:bCs/>
                <w:sz w:val="20"/>
                <w:szCs w:val="20"/>
              </w:rPr>
            </w:pPr>
            <w:r w:rsidRPr="00274B66">
              <w:rPr>
                <w:rFonts w:eastAsia="Arial"/>
                <w:b/>
                <w:bCs/>
                <w:sz w:val="20"/>
                <w:szCs w:val="20"/>
                <w:lang w:eastAsia="en-IN" w:bidi="hi-IN"/>
              </w:rPr>
              <w:t>Continuous Moderators</w:t>
            </w:r>
          </w:p>
        </w:tc>
      </w:tr>
      <w:tr w:rsidR="005A7B31" w14:paraId="6955D0FE" w14:textId="77777777" w:rsidTr="00F72FC0">
        <w:tc>
          <w:tcPr>
            <w:tcW w:w="2122" w:type="dxa"/>
            <w:vAlign w:val="center"/>
          </w:tcPr>
          <w:p w14:paraId="0C8D28CA" w14:textId="04F299D5" w:rsidR="005A7B31" w:rsidRDefault="005A7B31" w:rsidP="00F72FC0">
            <w:pPr>
              <w:jc w:val="center"/>
              <w:rPr>
                <w:b/>
                <w:bCs/>
                <w:sz w:val="20"/>
                <w:szCs w:val="20"/>
              </w:rPr>
            </w:pPr>
            <w:r w:rsidRPr="00274B66">
              <w:rPr>
                <w:rFonts w:eastAsia="Arial"/>
                <w:sz w:val="20"/>
                <w:szCs w:val="20"/>
                <w:lang w:eastAsia="en-IN" w:bidi="hi-IN"/>
              </w:rPr>
              <w:t>Year of study</w:t>
            </w:r>
          </w:p>
        </w:tc>
        <w:tc>
          <w:tcPr>
            <w:tcW w:w="1836" w:type="dxa"/>
            <w:vAlign w:val="center"/>
          </w:tcPr>
          <w:p w14:paraId="1E628535" w14:textId="6A042145" w:rsidR="005A7B31" w:rsidRDefault="005A7B31" w:rsidP="00F72FC0">
            <w:pPr>
              <w:jc w:val="center"/>
              <w:rPr>
                <w:b/>
                <w:bCs/>
                <w:sz w:val="20"/>
                <w:szCs w:val="20"/>
              </w:rPr>
            </w:pPr>
            <w:r w:rsidRPr="00274B66">
              <w:rPr>
                <w:rFonts w:eastAsia="Arial"/>
                <w:sz w:val="20"/>
                <w:szCs w:val="20"/>
                <w:lang w:eastAsia="en-IN" w:bidi="hi-IN"/>
              </w:rPr>
              <w:t>0.002 (−0.048, 0.051)</w:t>
            </w:r>
          </w:p>
        </w:tc>
        <w:tc>
          <w:tcPr>
            <w:tcW w:w="709" w:type="dxa"/>
            <w:vAlign w:val="center"/>
          </w:tcPr>
          <w:p w14:paraId="449D0218" w14:textId="3B7D4A4E" w:rsidR="005A7B31" w:rsidRDefault="005A7B31" w:rsidP="00F72FC0">
            <w:pPr>
              <w:jc w:val="center"/>
              <w:rPr>
                <w:b/>
                <w:bCs/>
                <w:sz w:val="20"/>
                <w:szCs w:val="20"/>
              </w:rPr>
            </w:pPr>
            <w:r w:rsidRPr="00274B66">
              <w:rPr>
                <w:rFonts w:eastAsia="Arial"/>
                <w:sz w:val="20"/>
                <w:szCs w:val="20"/>
                <w:lang w:eastAsia="en-IN" w:bidi="hi-IN"/>
              </w:rPr>
              <w:t>0.025</w:t>
            </w:r>
          </w:p>
        </w:tc>
        <w:tc>
          <w:tcPr>
            <w:tcW w:w="1029" w:type="dxa"/>
            <w:vAlign w:val="center"/>
          </w:tcPr>
          <w:p w14:paraId="56662344" w14:textId="50985DF0" w:rsidR="005A7B31" w:rsidRDefault="005A7B31" w:rsidP="00F72FC0">
            <w:pPr>
              <w:jc w:val="center"/>
              <w:rPr>
                <w:b/>
                <w:bCs/>
                <w:sz w:val="20"/>
                <w:szCs w:val="20"/>
              </w:rPr>
            </w:pPr>
            <w:r w:rsidRPr="00274B66">
              <w:rPr>
                <w:rFonts w:eastAsia="Arial"/>
                <w:sz w:val="20"/>
                <w:szCs w:val="20"/>
                <w:lang w:eastAsia="en-IN" w:bidi="hi-IN"/>
              </w:rPr>
              <w:t>0.06</w:t>
            </w:r>
          </w:p>
        </w:tc>
        <w:tc>
          <w:tcPr>
            <w:tcW w:w="1381" w:type="dxa"/>
            <w:vAlign w:val="center"/>
          </w:tcPr>
          <w:p w14:paraId="2763CBA9" w14:textId="6F06AA70" w:rsidR="005A7B31" w:rsidRDefault="00306752" w:rsidP="00F72FC0">
            <w:pPr>
              <w:jc w:val="center"/>
              <w:rPr>
                <w:b/>
                <w:bCs/>
                <w:sz w:val="20"/>
                <w:szCs w:val="20"/>
              </w:rPr>
            </w:pPr>
            <w:r>
              <w:rPr>
                <w:rFonts w:eastAsia="Arial"/>
                <w:sz w:val="20"/>
                <w:szCs w:val="20"/>
                <w:lang w:eastAsia="en-IN" w:bidi="hi-IN"/>
              </w:rPr>
              <w:t>0</w:t>
            </w:r>
            <w:r w:rsidR="005A7B31" w:rsidRPr="00274B66">
              <w:rPr>
                <w:rFonts w:eastAsia="Arial"/>
                <w:sz w:val="20"/>
                <w:szCs w:val="20"/>
                <w:lang w:eastAsia="en-IN" w:bidi="hi-IN"/>
              </w:rPr>
              <w:t>.950</w:t>
            </w:r>
          </w:p>
        </w:tc>
        <w:tc>
          <w:tcPr>
            <w:tcW w:w="992" w:type="dxa"/>
            <w:vAlign w:val="center"/>
          </w:tcPr>
          <w:p w14:paraId="3A88D1B6" w14:textId="7C549B38" w:rsidR="005A7B31" w:rsidRDefault="005A7B31" w:rsidP="00F72FC0">
            <w:pPr>
              <w:jc w:val="center"/>
              <w:rPr>
                <w:b/>
                <w:bCs/>
                <w:sz w:val="20"/>
                <w:szCs w:val="20"/>
              </w:rPr>
            </w:pPr>
            <w:r w:rsidRPr="00274B66">
              <w:rPr>
                <w:rFonts w:eastAsia="Arial"/>
                <w:sz w:val="20"/>
                <w:szCs w:val="20"/>
                <w:lang w:eastAsia="en-IN" w:bidi="hi-IN"/>
              </w:rPr>
              <w:t>0.004</w:t>
            </w:r>
            <w:r w:rsidR="00306752">
              <w:rPr>
                <w:rFonts w:eastAsia="Arial"/>
                <w:sz w:val="20"/>
                <w:szCs w:val="20"/>
                <w:lang w:eastAsia="en-IN" w:bidi="hi-IN"/>
              </w:rPr>
              <w:t xml:space="preserve"> (1)</w:t>
            </w:r>
          </w:p>
        </w:tc>
        <w:tc>
          <w:tcPr>
            <w:tcW w:w="993" w:type="dxa"/>
            <w:vAlign w:val="center"/>
          </w:tcPr>
          <w:p w14:paraId="2DE1F940" w14:textId="501DF9F4" w:rsidR="005A7B31" w:rsidRDefault="005A7B31" w:rsidP="00F72FC0">
            <w:pPr>
              <w:jc w:val="center"/>
              <w:rPr>
                <w:b/>
                <w:bCs/>
                <w:sz w:val="20"/>
                <w:szCs w:val="20"/>
              </w:rPr>
            </w:pPr>
            <w:r w:rsidRPr="00274B66">
              <w:rPr>
                <w:rFonts w:eastAsia="Arial"/>
                <w:sz w:val="20"/>
                <w:szCs w:val="20"/>
                <w:lang w:eastAsia="en-IN" w:bidi="hi-IN"/>
              </w:rPr>
              <w:t>.950</w:t>
            </w:r>
          </w:p>
        </w:tc>
        <w:tc>
          <w:tcPr>
            <w:tcW w:w="1139" w:type="dxa"/>
            <w:vAlign w:val="center"/>
          </w:tcPr>
          <w:p w14:paraId="5123E6B0" w14:textId="290AF0B7" w:rsidR="005A7B31" w:rsidRDefault="005A7B31" w:rsidP="00F72FC0">
            <w:pPr>
              <w:jc w:val="center"/>
              <w:rPr>
                <w:b/>
                <w:bCs/>
                <w:sz w:val="20"/>
                <w:szCs w:val="20"/>
              </w:rPr>
            </w:pPr>
            <w:r w:rsidRPr="00274B66">
              <w:rPr>
                <w:rFonts w:eastAsia="Arial"/>
                <w:sz w:val="20"/>
                <w:szCs w:val="20"/>
                <w:lang w:eastAsia="en-IN" w:bidi="hi-IN"/>
              </w:rPr>
              <w:t>0.00%</w:t>
            </w:r>
          </w:p>
        </w:tc>
      </w:tr>
      <w:tr w:rsidR="005A7B31" w14:paraId="69D5C9D6" w14:textId="77777777" w:rsidTr="00F72FC0">
        <w:tc>
          <w:tcPr>
            <w:tcW w:w="2122" w:type="dxa"/>
            <w:vAlign w:val="center"/>
          </w:tcPr>
          <w:p w14:paraId="23C1659D" w14:textId="77777777" w:rsidR="005A7B31" w:rsidRDefault="005A7B31" w:rsidP="005A7B31">
            <w:pPr>
              <w:spacing w:before="40" w:after="40"/>
              <w:jc w:val="center"/>
              <w:rPr>
                <w:rFonts w:eastAsia="Arial"/>
                <w:sz w:val="20"/>
                <w:szCs w:val="20"/>
                <w:lang w:eastAsia="en-IN" w:bidi="hi-IN"/>
              </w:rPr>
            </w:pPr>
            <w:r w:rsidRPr="00274B66">
              <w:rPr>
                <w:rFonts w:eastAsia="Arial"/>
                <w:sz w:val="20"/>
                <w:szCs w:val="20"/>
                <w:lang w:eastAsia="en-IN" w:bidi="hi-IN"/>
              </w:rPr>
              <w:t>Baseline ALT (U/L)</w:t>
            </w:r>
          </w:p>
          <w:p w14:paraId="1C3F7F0F" w14:textId="4D63F64D" w:rsidR="005A7B31" w:rsidRDefault="005A7B31" w:rsidP="00F72FC0">
            <w:pPr>
              <w:jc w:val="center"/>
              <w:rPr>
                <w:b/>
                <w:bCs/>
                <w:sz w:val="20"/>
                <w:szCs w:val="20"/>
              </w:rPr>
            </w:pPr>
            <w:r>
              <w:rPr>
                <w:rFonts w:eastAsia="Arial"/>
                <w:sz w:val="20"/>
                <w:szCs w:val="20"/>
                <w:lang w:eastAsia="en-IN" w:bidi="hi-IN"/>
              </w:rPr>
              <w:t>(</w:t>
            </w:r>
            <w:r w:rsidRPr="003D5079">
              <w:rPr>
                <w:rFonts w:eastAsia="Arial"/>
                <w:sz w:val="20"/>
                <w:szCs w:val="20"/>
                <w:lang w:eastAsia="en-IN" w:bidi="hi-IN"/>
              </w:rPr>
              <w:t xml:space="preserve">k = </w:t>
            </w:r>
            <w:r>
              <w:rPr>
                <w:rFonts w:eastAsia="Arial"/>
                <w:sz w:val="20"/>
                <w:szCs w:val="20"/>
                <w:lang w:eastAsia="en-IN" w:bidi="hi-IN"/>
              </w:rPr>
              <w:t>10)</w:t>
            </w:r>
          </w:p>
        </w:tc>
        <w:tc>
          <w:tcPr>
            <w:tcW w:w="1836" w:type="dxa"/>
            <w:vAlign w:val="center"/>
          </w:tcPr>
          <w:p w14:paraId="4AFA33AC" w14:textId="0EECBFA4" w:rsidR="005A7B31" w:rsidRDefault="005A7B31" w:rsidP="00F72FC0">
            <w:pPr>
              <w:jc w:val="center"/>
              <w:rPr>
                <w:b/>
                <w:bCs/>
                <w:sz w:val="20"/>
                <w:szCs w:val="20"/>
              </w:rPr>
            </w:pPr>
            <w:r w:rsidRPr="00274B66">
              <w:rPr>
                <w:rFonts w:eastAsia="Arial"/>
                <w:sz w:val="20"/>
                <w:szCs w:val="20"/>
                <w:lang w:eastAsia="en-IN" w:bidi="hi-IN"/>
              </w:rPr>
              <w:t>0.002 (−0.014, 0.017)</w:t>
            </w:r>
          </w:p>
        </w:tc>
        <w:tc>
          <w:tcPr>
            <w:tcW w:w="709" w:type="dxa"/>
            <w:vAlign w:val="center"/>
          </w:tcPr>
          <w:p w14:paraId="7B9D236C" w14:textId="2B80BDFD" w:rsidR="005A7B31" w:rsidRDefault="005A7B31" w:rsidP="00F72FC0">
            <w:pPr>
              <w:jc w:val="center"/>
              <w:rPr>
                <w:b/>
                <w:bCs/>
                <w:sz w:val="20"/>
                <w:szCs w:val="20"/>
              </w:rPr>
            </w:pPr>
            <w:r w:rsidRPr="00274B66">
              <w:rPr>
                <w:rFonts w:eastAsia="Arial"/>
                <w:sz w:val="20"/>
                <w:szCs w:val="20"/>
                <w:lang w:eastAsia="en-IN" w:bidi="hi-IN"/>
              </w:rPr>
              <w:t>0.008</w:t>
            </w:r>
          </w:p>
        </w:tc>
        <w:tc>
          <w:tcPr>
            <w:tcW w:w="1029" w:type="dxa"/>
            <w:vAlign w:val="center"/>
          </w:tcPr>
          <w:p w14:paraId="5664F38C" w14:textId="05054A5C" w:rsidR="005A7B31" w:rsidRDefault="005A7B31" w:rsidP="00F72FC0">
            <w:pPr>
              <w:jc w:val="center"/>
              <w:rPr>
                <w:b/>
                <w:bCs/>
                <w:sz w:val="20"/>
                <w:szCs w:val="20"/>
              </w:rPr>
            </w:pPr>
            <w:r w:rsidRPr="00274B66">
              <w:rPr>
                <w:rFonts w:eastAsia="Arial"/>
                <w:sz w:val="20"/>
                <w:szCs w:val="20"/>
                <w:lang w:eastAsia="en-IN" w:bidi="hi-IN"/>
              </w:rPr>
              <w:t>0.21</w:t>
            </w:r>
          </w:p>
        </w:tc>
        <w:tc>
          <w:tcPr>
            <w:tcW w:w="1381" w:type="dxa"/>
            <w:vAlign w:val="center"/>
          </w:tcPr>
          <w:p w14:paraId="79E031E0" w14:textId="6DE9EAC0" w:rsidR="005A7B31" w:rsidRDefault="00306752" w:rsidP="00F72FC0">
            <w:pPr>
              <w:jc w:val="center"/>
              <w:rPr>
                <w:b/>
                <w:bCs/>
                <w:sz w:val="20"/>
                <w:szCs w:val="20"/>
              </w:rPr>
            </w:pPr>
            <w:r>
              <w:rPr>
                <w:rFonts w:eastAsia="Arial"/>
                <w:sz w:val="20"/>
                <w:szCs w:val="20"/>
                <w:lang w:eastAsia="en-IN" w:bidi="hi-IN"/>
              </w:rPr>
              <w:t>0</w:t>
            </w:r>
            <w:r w:rsidR="005A7B31" w:rsidRPr="00274B66">
              <w:rPr>
                <w:rFonts w:eastAsia="Arial"/>
                <w:sz w:val="20"/>
                <w:szCs w:val="20"/>
                <w:lang w:eastAsia="en-IN" w:bidi="hi-IN"/>
              </w:rPr>
              <w:t>.832</w:t>
            </w:r>
          </w:p>
        </w:tc>
        <w:tc>
          <w:tcPr>
            <w:tcW w:w="992" w:type="dxa"/>
            <w:vAlign w:val="center"/>
          </w:tcPr>
          <w:p w14:paraId="28E64D6C" w14:textId="43C74B8B" w:rsidR="005A7B31" w:rsidRDefault="005A7B31" w:rsidP="00F72FC0">
            <w:pPr>
              <w:jc w:val="center"/>
              <w:rPr>
                <w:b/>
                <w:bCs/>
                <w:sz w:val="20"/>
                <w:szCs w:val="20"/>
              </w:rPr>
            </w:pPr>
            <w:r w:rsidRPr="00274B66">
              <w:rPr>
                <w:rFonts w:eastAsia="Arial"/>
                <w:sz w:val="20"/>
                <w:szCs w:val="20"/>
                <w:lang w:eastAsia="en-IN" w:bidi="hi-IN"/>
              </w:rPr>
              <w:t>0.045</w:t>
            </w:r>
            <w:r w:rsidR="00306752">
              <w:rPr>
                <w:rFonts w:eastAsia="Arial"/>
                <w:sz w:val="20"/>
                <w:szCs w:val="20"/>
                <w:lang w:eastAsia="en-IN" w:bidi="hi-IN"/>
              </w:rPr>
              <w:t xml:space="preserve"> (1)</w:t>
            </w:r>
          </w:p>
        </w:tc>
        <w:tc>
          <w:tcPr>
            <w:tcW w:w="993" w:type="dxa"/>
            <w:vAlign w:val="center"/>
          </w:tcPr>
          <w:p w14:paraId="2634E334" w14:textId="64AA8E47" w:rsidR="005A7B31" w:rsidRDefault="005A7B31" w:rsidP="00F72FC0">
            <w:pPr>
              <w:jc w:val="center"/>
              <w:rPr>
                <w:b/>
                <w:bCs/>
                <w:sz w:val="20"/>
                <w:szCs w:val="20"/>
              </w:rPr>
            </w:pPr>
            <w:r w:rsidRPr="00274B66">
              <w:rPr>
                <w:rFonts w:eastAsia="Arial"/>
                <w:sz w:val="20"/>
                <w:szCs w:val="20"/>
                <w:lang w:eastAsia="en-IN" w:bidi="hi-IN"/>
              </w:rPr>
              <w:t>.832</w:t>
            </w:r>
          </w:p>
        </w:tc>
        <w:tc>
          <w:tcPr>
            <w:tcW w:w="1139" w:type="dxa"/>
            <w:vAlign w:val="center"/>
          </w:tcPr>
          <w:p w14:paraId="55FD19DB" w14:textId="7E213126" w:rsidR="005A7B31" w:rsidRDefault="005A7B31" w:rsidP="00F72FC0">
            <w:pPr>
              <w:jc w:val="center"/>
              <w:rPr>
                <w:b/>
                <w:bCs/>
                <w:sz w:val="20"/>
                <w:szCs w:val="20"/>
              </w:rPr>
            </w:pPr>
            <w:r w:rsidRPr="00274B66">
              <w:rPr>
                <w:rFonts w:eastAsia="Arial"/>
                <w:sz w:val="20"/>
                <w:szCs w:val="20"/>
                <w:lang w:eastAsia="en-IN" w:bidi="hi-IN"/>
              </w:rPr>
              <w:t>0.00%</w:t>
            </w:r>
          </w:p>
        </w:tc>
      </w:tr>
      <w:tr w:rsidR="005A7B31" w14:paraId="32D03A33" w14:textId="77777777" w:rsidTr="00F72FC0">
        <w:tc>
          <w:tcPr>
            <w:tcW w:w="2122" w:type="dxa"/>
            <w:vAlign w:val="center"/>
          </w:tcPr>
          <w:p w14:paraId="5A678C91" w14:textId="77777777" w:rsidR="005A7B31" w:rsidRDefault="005A7B31" w:rsidP="005A7B31">
            <w:pPr>
              <w:spacing w:before="40" w:after="40"/>
              <w:jc w:val="center"/>
              <w:rPr>
                <w:rFonts w:eastAsia="Arial"/>
                <w:sz w:val="20"/>
                <w:szCs w:val="20"/>
                <w:lang w:eastAsia="en-IN" w:bidi="hi-IN"/>
              </w:rPr>
            </w:pPr>
            <w:r w:rsidRPr="00274B66">
              <w:rPr>
                <w:rFonts w:eastAsia="Arial"/>
                <w:sz w:val="20"/>
                <w:szCs w:val="20"/>
                <w:lang w:eastAsia="en-IN" w:bidi="hi-IN"/>
              </w:rPr>
              <w:t>Mean age (years)</w:t>
            </w:r>
          </w:p>
          <w:p w14:paraId="49AD0A6E" w14:textId="518889FD" w:rsidR="005A7B31" w:rsidRDefault="005A7B31" w:rsidP="00F72FC0">
            <w:pPr>
              <w:jc w:val="center"/>
              <w:rPr>
                <w:b/>
                <w:bCs/>
                <w:sz w:val="20"/>
                <w:szCs w:val="20"/>
              </w:rPr>
            </w:pPr>
            <w:r>
              <w:rPr>
                <w:rFonts w:eastAsia="Arial"/>
                <w:sz w:val="20"/>
                <w:szCs w:val="20"/>
                <w:lang w:eastAsia="en-IN" w:bidi="hi-IN"/>
              </w:rPr>
              <w:t>(</w:t>
            </w:r>
            <w:r w:rsidRPr="003D5079">
              <w:rPr>
                <w:rFonts w:eastAsia="Arial"/>
                <w:sz w:val="20"/>
                <w:szCs w:val="20"/>
                <w:lang w:eastAsia="en-IN" w:bidi="hi-IN"/>
              </w:rPr>
              <w:t>k = 2</w:t>
            </w:r>
            <w:r>
              <w:rPr>
                <w:rFonts w:eastAsia="Arial"/>
                <w:sz w:val="20"/>
                <w:szCs w:val="20"/>
                <w:lang w:eastAsia="en-IN" w:bidi="hi-IN"/>
              </w:rPr>
              <w:t>0)</w:t>
            </w:r>
          </w:p>
        </w:tc>
        <w:tc>
          <w:tcPr>
            <w:tcW w:w="1836" w:type="dxa"/>
            <w:vAlign w:val="center"/>
          </w:tcPr>
          <w:p w14:paraId="0E760930" w14:textId="7E229DA7" w:rsidR="005A7B31" w:rsidRDefault="005A7B31" w:rsidP="00F72FC0">
            <w:pPr>
              <w:jc w:val="center"/>
              <w:rPr>
                <w:b/>
                <w:bCs/>
                <w:sz w:val="20"/>
                <w:szCs w:val="20"/>
              </w:rPr>
            </w:pPr>
            <w:r w:rsidRPr="00274B66">
              <w:rPr>
                <w:rFonts w:eastAsia="Arial"/>
                <w:sz w:val="20"/>
                <w:szCs w:val="20"/>
                <w:lang w:eastAsia="en-IN" w:bidi="hi-IN"/>
              </w:rPr>
              <w:t>0.004 (−0.013, 0.020)</w:t>
            </w:r>
          </w:p>
        </w:tc>
        <w:tc>
          <w:tcPr>
            <w:tcW w:w="709" w:type="dxa"/>
            <w:vAlign w:val="center"/>
          </w:tcPr>
          <w:p w14:paraId="614B2724" w14:textId="1106FB58" w:rsidR="005A7B31" w:rsidRDefault="005A7B31" w:rsidP="00F72FC0">
            <w:pPr>
              <w:jc w:val="center"/>
              <w:rPr>
                <w:b/>
                <w:bCs/>
                <w:sz w:val="20"/>
                <w:szCs w:val="20"/>
              </w:rPr>
            </w:pPr>
            <w:r w:rsidRPr="00274B66">
              <w:rPr>
                <w:rFonts w:eastAsia="Arial"/>
                <w:sz w:val="20"/>
                <w:szCs w:val="20"/>
                <w:lang w:eastAsia="en-IN" w:bidi="hi-IN"/>
              </w:rPr>
              <w:t>0.009</w:t>
            </w:r>
          </w:p>
        </w:tc>
        <w:tc>
          <w:tcPr>
            <w:tcW w:w="1029" w:type="dxa"/>
            <w:vAlign w:val="center"/>
          </w:tcPr>
          <w:p w14:paraId="1B296C78" w14:textId="53E51331" w:rsidR="005A7B31" w:rsidRDefault="005A7B31" w:rsidP="00F72FC0">
            <w:pPr>
              <w:jc w:val="center"/>
              <w:rPr>
                <w:b/>
                <w:bCs/>
                <w:sz w:val="20"/>
                <w:szCs w:val="20"/>
              </w:rPr>
            </w:pPr>
            <w:r w:rsidRPr="00274B66">
              <w:rPr>
                <w:rFonts w:eastAsia="Arial"/>
                <w:sz w:val="20"/>
                <w:szCs w:val="20"/>
                <w:lang w:eastAsia="en-IN" w:bidi="hi-IN"/>
              </w:rPr>
              <w:t>0.44</w:t>
            </w:r>
          </w:p>
        </w:tc>
        <w:tc>
          <w:tcPr>
            <w:tcW w:w="1381" w:type="dxa"/>
            <w:vAlign w:val="center"/>
          </w:tcPr>
          <w:p w14:paraId="1F32E9A6" w14:textId="161E2FCC" w:rsidR="005A7B31" w:rsidRDefault="005A7B31" w:rsidP="00F72FC0">
            <w:pPr>
              <w:jc w:val="center"/>
              <w:rPr>
                <w:b/>
                <w:bCs/>
                <w:sz w:val="20"/>
                <w:szCs w:val="20"/>
              </w:rPr>
            </w:pPr>
            <w:r>
              <w:rPr>
                <w:rFonts w:eastAsia="Arial"/>
                <w:sz w:val="20"/>
                <w:szCs w:val="20"/>
                <w:lang w:eastAsia="en-IN" w:bidi="hi-IN"/>
              </w:rPr>
              <w:t>0</w:t>
            </w:r>
            <w:r w:rsidRPr="00274B66">
              <w:rPr>
                <w:rFonts w:eastAsia="Arial"/>
                <w:sz w:val="20"/>
                <w:szCs w:val="20"/>
                <w:lang w:eastAsia="en-IN" w:bidi="hi-IN"/>
              </w:rPr>
              <w:t>.663</w:t>
            </w:r>
          </w:p>
        </w:tc>
        <w:tc>
          <w:tcPr>
            <w:tcW w:w="992" w:type="dxa"/>
            <w:vAlign w:val="center"/>
          </w:tcPr>
          <w:p w14:paraId="7F3A45AA" w14:textId="4FA9E3F8" w:rsidR="005A7B31" w:rsidRDefault="005A7B31" w:rsidP="00F72FC0">
            <w:pPr>
              <w:jc w:val="center"/>
              <w:rPr>
                <w:b/>
                <w:bCs/>
                <w:sz w:val="20"/>
                <w:szCs w:val="20"/>
              </w:rPr>
            </w:pPr>
            <w:r w:rsidRPr="00274B66">
              <w:rPr>
                <w:rFonts w:eastAsia="Arial"/>
                <w:sz w:val="20"/>
                <w:szCs w:val="20"/>
                <w:lang w:eastAsia="en-IN" w:bidi="hi-IN"/>
              </w:rPr>
              <w:t>0.190</w:t>
            </w:r>
            <w:r w:rsidR="00306752">
              <w:rPr>
                <w:rFonts w:eastAsia="Arial"/>
                <w:sz w:val="20"/>
                <w:szCs w:val="20"/>
                <w:lang w:eastAsia="en-IN" w:bidi="hi-IN"/>
              </w:rPr>
              <w:t xml:space="preserve"> (1)</w:t>
            </w:r>
          </w:p>
        </w:tc>
        <w:tc>
          <w:tcPr>
            <w:tcW w:w="993" w:type="dxa"/>
            <w:vAlign w:val="center"/>
          </w:tcPr>
          <w:p w14:paraId="798F8C15" w14:textId="1D00C9DB" w:rsidR="005A7B31" w:rsidRDefault="005A7B31" w:rsidP="00F72FC0">
            <w:pPr>
              <w:jc w:val="center"/>
              <w:rPr>
                <w:b/>
                <w:bCs/>
                <w:sz w:val="20"/>
                <w:szCs w:val="20"/>
              </w:rPr>
            </w:pPr>
            <w:r w:rsidRPr="00274B66">
              <w:rPr>
                <w:rFonts w:eastAsia="Arial"/>
                <w:sz w:val="20"/>
                <w:szCs w:val="20"/>
                <w:lang w:eastAsia="en-IN" w:bidi="hi-IN"/>
              </w:rPr>
              <w:t>.663</w:t>
            </w:r>
          </w:p>
        </w:tc>
        <w:tc>
          <w:tcPr>
            <w:tcW w:w="1139" w:type="dxa"/>
            <w:vAlign w:val="center"/>
          </w:tcPr>
          <w:p w14:paraId="12FDEF41" w14:textId="424CA575" w:rsidR="005A7B31" w:rsidRDefault="005A7B31" w:rsidP="00F72FC0">
            <w:pPr>
              <w:jc w:val="center"/>
              <w:rPr>
                <w:b/>
                <w:bCs/>
                <w:sz w:val="20"/>
                <w:szCs w:val="20"/>
              </w:rPr>
            </w:pPr>
            <w:r w:rsidRPr="00274B66">
              <w:rPr>
                <w:rFonts w:eastAsia="Arial"/>
                <w:sz w:val="20"/>
                <w:szCs w:val="20"/>
                <w:lang w:eastAsia="en-IN" w:bidi="hi-IN"/>
              </w:rPr>
              <w:t>0.00%</w:t>
            </w:r>
          </w:p>
        </w:tc>
      </w:tr>
      <w:tr w:rsidR="005A7B31" w14:paraId="41398D4F" w14:textId="77777777" w:rsidTr="00F72FC0">
        <w:tc>
          <w:tcPr>
            <w:tcW w:w="2122" w:type="dxa"/>
            <w:vAlign w:val="center"/>
          </w:tcPr>
          <w:p w14:paraId="11745D9C" w14:textId="77777777" w:rsidR="005A7B31" w:rsidRDefault="005A7B31" w:rsidP="005A7B31">
            <w:pPr>
              <w:spacing w:before="40" w:after="40"/>
              <w:jc w:val="center"/>
              <w:rPr>
                <w:rFonts w:eastAsia="Arial"/>
                <w:sz w:val="20"/>
                <w:szCs w:val="20"/>
                <w:lang w:eastAsia="en-IN" w:bidi="hi-IN"/>
              </w:rPr>
            </w:pPr>
            <w:r w:rsidRPr="00274B66">
              <w:rPr>
                <w:rFonts w:eastAsia="Arial"/>
                <w:sz w:val="20"/>
                <w:szCs w:val="20"/>
                <w:lang w:eastAsia="en-IN" w:bidi="hi-IN"/>
              </w:rPr>
              <w:t>Males (%)</w:t>
            </w:r>
          </w:p>
          <w:p w14:paraId="79558918" w14:textId="3837F6EC" w:rsidR="005A7B31" w:rsidRDefault="005A7B31" w:rsidP="00F72FC0">
            <w:pPr>
              <w:jc w:val="center"/>
              <w:rPr>
                <w:b/>
                <w:bCs/>
                <w:sz w:val="20"/>
                <w:szCs w:val="20"/>
              </w:rPr>
            </w:pPr>
            <w:r>
              <w:rPr>
                <w:rFonts w:eastAsia="Arial"/>
                <w:sz w:val="20"/>
                <w:szCs w:val="20"/>
                <w:lang w:eastAsia="en-IN" w:bidi="hi-IN"/>
              </w:rPr>
              <w:t>(</w:t>
            </w:r>
            <w:r w:rsidRPr="003D5079">
              <w:rPr>
                <w:rFonts w:eastAsia="Arial"/>
                <w:sz w:val="20"/>
                <w:szCs w:val="20"/>
                <w:lang w:eastAsia="en-IN" w:bidi="hi-IN"/>
              </w:rPr>
              <w:t>k = 2</w:t>
            </w:r>
            <w:r>
              <w:rPr>
                <w:rFonts w:eastAsia="Arial"/>
                <w:sz w:val="20"/>
                <w:szCs w:val="20"/>
                <w:lang w:eastAsia="en-IN" w:bidi="hi-IN"/>
              </w:rPr>
              <w:t>1)</w:t>
            </w:r>
          </w:p>
        </w:tc>
        <w:tc>
          <w:tcPr>
            <w:tcW w:w="1836" w:type="dxa"/>
            <w:vAlign w:val="center"/>
          </w:tcPr>
          <w:p w14:paraId="6179645D" w14:textId="56089FFD" w:rsidR="005A7B31" w:rsidRDefault="005A7B31" w:rsidP="00F72FC0">
            <w:pPr>
              <w:jc w:val="center"/>
              <w:rPr>
                <w:b/>
                <w:bCs/>
                <w:sz w:val="20"/>
                <w:szCs w:val="20"/>
              </w:rPr>
            </w:pPr>
            <w:r w:rsidRPr="00274B66">
              <w:rPr>
                <w:rFonts w:eastAsia="Arial"/>
                <w:sz w:val="20"/>
                <w:szCs w:val="20"/>
                <w:lang w:eastAsia="en-IN" w:bidi="hi-IN"/>
              </w:rPr>
              <w:t>−0.005 (−0.014, 0.004)</w:t>
            </w:r>
          </w:p>
        </w:tc>
        <w:tc>
          <w:tcPr>
            <w:tcW w:w="709" w:type="dxa"/>
            <w:vAlign w:val="center"/>
          </w:tcPr>
          <w:p w14:paraId="090C2D5D" w14:textId="23EE881A" w:rsidR="005A7B31" w:rsidRDefault="005A7B31" w:rsidP="00F72FC0">
            <w:pPr>
              <w:jc w:val="center"/>
              <w:rPr>
                <w:b/>
                <w:bCs/>
                <w:sz w:val="20"/>
                <w:szCs w:val="20"/>
              </w:rPr>
            </w:pPr>
            <w:r w:rsidRPr="00274B66">
              <w:rPr>
                <w:rFonts w:eastAsia="Arial"/>
                <w:sz w:val="20"/>
                <w:szCs w:val="20"/>
                <w:lang w:eastAsia="en-IN" w:bidi="hi-IN"/>
              </w:rPr>
              <w:t>0.005</w:t>
            </w:r>
          </w:p>
        </w:tc>
        <w:tc>
          <w:tcPr>
            <w:tcW w:w="1029" w:type="dxa"/>
            <w:vAlign w:val="center"/>
          </w:tcPr>
          <w:p w14:paraId="3334F9A4" w14:textId="10E80319" w:rsidR="005A7B31" w:rsidRDefault="005A7B31" w:rsidP="00F72FC0">
            <w:pPr>
              <w:jc w:val="center"/>
              <w:rPr>
                <w:b/>
                <w:bCs/>
                <w:sz w:val="20"/>
                <w:szCs w:val="20"/>
              </w:rPr>
            </w:pPr>
            <w:r w:rsidRPr="00274B66">
              <w:rPr>
                <w:rFonts w:eastAsia="Arial"/>
                <w:sz w:val="20"/>
                <w:szCs w:val="20"/>
                <w:lang w:eastAsia="en-IN" w:bidi="hi-IN"/>
              </w:rPr>
              <w:t>−1.09</w:t>
            </w:r>
          </w:p>
        </w:tc>
        <w:tc>
          <w:tcPr>
            <w:tcW w:w="1381" w:type="dxa"/>
            <w:vAlign w:val="center"/>
          </w:tcPr>
          <w:p w14:paraId="1259CC8B" w14:textId="2FCB8BA8" w:rsidR="005A7B31" w:rsidRDefault="005A7B31" w:rsidP="00F72FC0">
            <w:pPr>
              <w:jc w:val="center"/>
              <w:rPr>
                <w:b/>
                <w:bCs/>
                <w:sz w:val="20"/>
                <w:szCs w:val="20"/>
              </w:rPr>
            </w:pPr>
            <w:r>
              <w:rPr>
                <w:rFonts w:eastAsia="Arial"/>
                <w:sz w:val="20"/>
                <w:szCs w:val="20"/>
                <w:lang w:eastAsia="en-IN" w:bidi="hi-IN"/>
              </w:rPr>
              <w:t>0</w:t>
            </w:r>
            <w:r w:rsidRPr="00274B66">
              <w:rPr>
                <w:rFonts w:eastAsia="Arial"/>
                <w:sz w:val="20"/>
                <w:szCs w:val="20"/>
                <w:lang w:eastAsia="en-IN" w:bidi="hi-IN"/>
              </w:rPr>
              <w:t>.277</w:t>
            </w:r>
          </w:p>
        </w:tc>
        <w:tc>
          <w:tcPr>
            <w:tcW w:w="992" w:type="dxa"/>
            <w:vAlign w:val="center"/>
          </w:tcPr>
          <w:p w14:paraId="1A089A4F" w14:textId="439B7E14" w:rsidR="005A7B31" w:rsidRDefault="005A7B31" w:rsidP="00F72FC0">
            <w:pPr>
              <w:jc w:val="center"/>
              <w:rPr>
                <w:b/>
                <w:bCs/>
                <w:sz w:val="20"/>
                <w:szCs w:val="20"/>
              </w:rPr>
            </w:pPr>
            <w:r w:rsidRPr="00274B66">
              <w:rPr>
                <w:rFonts w:eastAsia="Arial"/>
                <w:sz w:val="20"/>
                <w:szCs w:val="20"/>
                <w:lang w:eastAsia="en-IN" w:bidi="hi-IN"/>
              </w:rPr>
              <w:t>1.183</w:t>
            </w:r>
            <w:r w:rsidR="00306752">
              <w:rPr>
                <w:rFonts w:eastAsia="Arial"/>
                <w:sz w:val="20"/>
                <w:szCs w:val="20"/>
                <w:lang w:eastAsia="en-IN" w:bidi="hi-IN"/>
              </w:rPr>
              <w:t xml:space="preserve"> (1)</w:t>
            </w:r>
          </w:p>
        </w:tc>
        <w:tc>
          <w:tcPr>
            <w:tcW w:w="993" w:type="dxa"/>
            <w:vAlign w:val="center"/>
          </w:tcPr>
          <w:p w14:paraId="571489D0" w14:textId="1D96B618" w:rsidR="005A7B31" w:rsidRDefault="005A7B31" w:rsidP="00F72FC0">
            <w:pPr>
              <w:jc w:val="center"/>
              <w:rPr>
                <w:b/>
                <w:bCs/>
                <w:sz w:val="20"/>
                <w:szCs w:val="20"/>
              </w:rPr>
            </w:pPr>
            <w:r w:rsidRPr="00274B66">
              <w:rPr>
                <w:rFonts w:eastAsia="Arial"/>
                <w:sz w:val="20"/>
                <w:szCs w:val="20"/>
                <w:lang w:eastAsia="en-IN" w:bidi="hi-IN"/>
              </w:rPr>
              <w:t>.277</w:t>
            </w:r>
          </w:p>
        </w:tc>
        <w:tc>
          <w:tcPr>
            <w:tcW w:w="1139" w:type="dxa"/>
            <w:vAlign w:val="center"/>
          </w:tcPr>
          <w:p w14:paraId="49F7C47B" w14:textId="39D46912" w:rsidR="005A7B31" w:rsidRDefault="005A7B31" w:rsidP="00F72FC0">
            <w:pPr>
              <w:jc w:val="center"/>
              <w:rPr>
                <w:b/>
                <w:bCs/>
                <w:sz w:val="20"/>
                <w:szCs w:val="20"/>
              </w:rPr>
            </w:pPr>
            <w:r w:rsidRPr="00274B66">
              <w:rPr>
                <w:rFonts w:eastAsia="Arial"/>
                <w:sz w:val="20"/>
                <w:szCs w:val="20"/>
                <w:lang w:eastAsia="en-IN" w:bidi="hi-IN"/>
              </w:rPr>
              <w:t>0.31%</w:t>
            </w:r>
          </w:p>
        </w:tc>
      </w:tr>
      <w:tr w:rsidR="005A7B31" w14:paraId="6CF1339F" w14:textId="77777777" w:rsidTr="00F72FC0">
        <w:tc>
          <w:tcPr>
            <w:tcW w:w="10201" w:type="dxa"/>
            <w:gridSpan w:val="8"/>
            <w:vAlign w:val="center"/>
          </w:tcPr>
          <w:p w14:paraId="36296414" w14:textId="016D8757" w:rsidR="005A7B31" w:rsidRPr="00274B66" w:rsidRDefault="005A7B31" w:rsidP="005A7B31">
            <w:pPr>
              <w:rPr>
                <w:rFonts w:eastAsia="Arial"/>
                <w:sz w:val="20"/>
                <w:szCs w:val="20"/>
                <w:lang w:eastAsia="en-IN" w:bidi="hi-IN"/>
              </w:rPr>
            </w:pPr>
            <w:r w:rsidRPr="00274B66">
              <w:rPr>
                <w:rFonts w:eastAsia="Arial"/>
                <w:b/>
                <w:bCs/>
                <w:sz w:val="20"/>
                <w:szCs w:val="20"/>
                <w:lang w:eastAsia="en-IN" w:bidi="hi-IN"/>
              </w:rPr>
              <w:t>SVR-24 Cohort (outlier-adjusted, k = 1</w:t>
            </w:r>
            <w:r>
              <w:rPr>
                <w:rFonts w:eastAsia="Arial"/>
                <w:b/>
                <w:bCs/>
                <w:sz w:val="20"/>
                <w:szCs w:val="20"/>
                <w:lang w:eastAsia="en-IN" w:bidi="hi-IN"/>
              </w:rPr>
              <w:t>4</w:t>
            </w:r>
            <w:r w:rsidRPr="00274B66">
              <w:rPr>
                <w:rFonts w:eastAsia="Arial"/>
                <w:b/>
                <w:bCs/>
                <w:sz w:val="20"/>
                <w:szCs w:val="20"/>
                <w:lang w:eastAsia="en-IN" w:bidi="hi-IN"/>
              </w:rPr>
              <w:t>)</w:t>
            </w:r>
          </w:p>
        </w:tc>
      </w:tr>
      <w:tr w:rsidR="005A7B31" w14:paraId="7A998A11" w14:textId="77777777" w:rsidTr="00F72FC0">
        <w:tc>
          <w:tcPr>
            <w:tcW w:w="10201" w:type="dxa"/>
            <w:gridSpan w:val="8"/>
            <w:vAlign w:val="center"/>
          </w:tcPr>
          <w:p w14:paraId="6803F34C" w14:textId="01166356" w:rsidR="005A7B31" w:rsidRPr="00274B66" w:rsidRDefault="005A7B31" w:rsidP="005A7B31">
            <w:pPr>
              <w:rPr>
                <w:rFonts w:eastAsia="Arial"/>
                <w:sz w:val="20"/>
                <w:szCs w:val="20"/>
                <w:lang w:eastAsia="en-IN" w:bidi="hi-IN"/>
              </w:rPr>
            </w:pPr>
            <w:r w:rsidRPr="00274B66">
              <w:rPr>
                <w:rFonts w:eastAsia="Arial"/>
                <w:b/>
                <w:bCs/>
                <w:sz w:val="20"/>
                <w:szCs w:val="20"/>
                <w:lang w:eastAsia="en-IN" w:bidi="hi-IN"/>
              </w:rPr>
              <w:t>Study Design</w:t>
            </w:r>
            <w:r>
              <w:rPr>
                <w:rFonts w:eastAsia="Arial"/>
                <w:b/>
                <w:bCs/>
                <w:sz w:val="20"/>
                <w:szCs w:val="20"/>
                <w:lang w:eastAsia="en-IN" w:bidi="hi-IN"/>
              </w:rPr>
              <w:t xml:space="preserve"> </w:t>
            </w:r>
            <w:r w:rsidRPr="00AF701B">
              <w:rPr>
                <w:rFonts w:eastAsia="Arial"/>
                <w:b/>
                <w:bCs/>
                <w:sz w:val="20"/>
                <w:szCs w:val="20"/>
                <w:lang w:eastAsia="en-IN" w:bidi="hi-IN"/>
              </w:rPr>
              <w:t xml:space="preserve">(k = </w:t>
            </w:r>
            <w:r>
              <w:rPr>
                <w:rFonts w:eastAsia="Arial"/>
                <w:b/>
                <w:bCs/>
                <w:sz w:val="20"/>
                <w:szCs w:val="20"/>
                <w:lang w:eastAsia="en-IN" w:bidi="hi-IN"/>
              </w:rPr>
              <w:t>1</w:t>
            </w:r>
            <w:r w:rsidRPr="00AF701B">
              <w:rPr>
                <w:rFonts w:eastAsia="Arial"/>
                <w:b/>
                <w:bCs/>
                <w:sz w:val="20"/>
                <w:szCs w:val="20"/>
                <w:lang w:eastAsia="en-IN" w:bidi="hi-IN"/>
              </w:rPr>
              <w:t>4, QM (</w:t>
            </w:r>
            <w:proofErr w:type="spellStart"/>
            <w:r w:rsidRPr="00AF701B">
              <w:rPr>
                <w:rFonts w:eastAsia="Arial"/>
                <w:b/>
                <w:bCs/>
                <w:sz w:val="20"/>
                <w:szCs w:val="20"/>
                <w:lang w:eastAsia="en-IN" w:bidi="hi-IN"/>
              </w:rPr>
              <w:t>df</w:t>
            </w:r>
            <w:proofErr w:type="spellEnd"/>
            <w:r w:rsidRPr="00AF701B">
              <w:rPr>
                <w:rFonts w:eastAsia="Arial"/>
                <w:b/>
                <w:bCs/>
                <w:sz w:val="20"/>
                <w:szCs w:val="20"/>
                <w:lang w:eastAsia="en-IN" w:bidi="hi-IN"/>
              </w:rPr>
              <w:t xml:space="preserve"> = </w:t>
            </w:r>
            <w:r>
              <w:rPr>
                <w:rFonts w:eastAsia="Arial"/>
                <w:b/>
                <w:bCs/>
                <w:sz w:val="20"/>
                <w:szCs w:val="20"/>
                <w:lang w:eastAsia="en-IN" w:bidi="hi-IN"/>
              </w:rPr>
              <w:t>2</w:t>
            </w:r>
            <w:r w:rsidRPr="00AF701B">
              <w:rPr>
                <w:rFonts w:eastAsia="Arial"/>
                <w:b/>
                <w:bCs/>
                <w:sz w:val="20"/>
                <w:szCs w:val="20"/>
                <w:lang w:eastAsia="en-IN" w:bidi="hi-IN"/>
              </w:rPr>
              <w:t xml:space="preserve">) = </w:t>
            </w:r>
            <w:r>
              <w:rPr>
                <w:rFonts w:eastAsia="Arial"/>
                <w:b/>
                <w:bCs/>
                <w:sz w:val="20"/>
                <w:szCs w:val="20"/>
                <w:lang w:eastAsia="en-IN" w:bidi="hi-IN"/>
              </w:rPr>
              <w:t>111.54</w:t>
            </w:r>
            <w:r w:rsidRPr="00AF701B">
              <w:rPr>
                <w:rFonts w:eastAsia="Arial"/>
                <w:b/>
                <w:bCs/>
                <w:sz w:val="20"/>
                <w:szCs w:val="20"/>
                <w:lang w:eastAsia="en-IN" w:bidi="hi-IN"/>
              </w:rPr>
              <w:t xml:space="preserve">, p </w:t>
            </w:r>
            <w:r>
              <w:rPr>
                <w:rFonts w:eastAsia="Arial"/>
                <w:b/>
                <w:bCs/>
                <w:sz w:val="20"/>
                <w:szCs w:val="20"/>
                <w:lang w:eastAsia="en-IN" w:bidi="hi-IN"/>
              </w:rPr>
              <w:t>&lt;</w:t>
            </w:r>
            <w:r w:rsidRPr="00AF701B">
              <w:rPr>
                <w:rFonts w:eastAsia="Arial"/>
                <w:b/>
                <w:bCs/>
                <w:sz w:val="20"/>
                <w:szCs w:val="20"/>
                <w:lang w:eastAsia="en-IN" w:bidi="hi-IN"/>
              </w:rPr>
              <w:t xml:space="preserve"> 0.</w:t>
            </w:r>
            <w:r>
              <w:rPr>
                <w:rFonts w:eastAsia="Arial"/>
                <w:b/>
                <w:bCs/>
                <w:sz w:val="20"/>
                <w:szCs w:val="20"/>
                <w:lang w:eastAsia="en-IN" w:bidi="hi-IN"/>
              </w:rPr>
              <w:t>0001</w:t>
            </w:r>
            <w:r w:rsidRPr="00AF701B">
              <w:rPr>
                <w:rFonts w:eastAsia="Arial"/>
                <w:b/>
                <w:bCs/>
                <w:sz w:val="20"/>
                <w:szCs w:val="20"/>
                <w:lang w:eastAsia="en-IN" w:bidi="hi-IN"/>
              </w:rPr>
              <w:t>, R</w:t>
            </w:r>
            <w:r w:rsidRPr="00553BC7">
              <w:rPr>
                <w:rFonts w:eastAsia="Arial"/>
                <w:b/>
                <w:bCs/>
                <w:sz w:val="20"/>
                <w:szCs w:val="20"/>
                <w:vertAlign w:val="superscript"/>
                <w:lang w:eastAsia="en-IN" w:bidi="hi-IN"/>
              </w:rPr>
              <w:t>2</w:t>
            </w:r>
            <w:r w:rsidRPr="00AF701B">
              <w:rPr>
                <w:rFonts w:eastAsia="Arial"/>
                <w:b/>
                <w:bCs/>
                <w:sz w:val="20"/>
                <w:szCs w:val="20"/>
                <w:lang w:eastAsia="en-IN" w:bidi="hi-IN"/>
              </w:rPr>
              <w:t>=</w:t>
            </w:r>
            <w:r>
              <w:rPr>
                <w:rFonts w:eastAsia="Arial"/>
                <w:b/>
                <w:bCs/>
                <w:sz w:val="20"/>
                <w:szCs w:val="20"/>
                <w:lang w:eastAsia="en-IN" w:bidi="hi-IN"/>
              </w:rPr>
              <w:t>0</w:t>
            </w:r>
            <w:r w:rsidRPr="00AF701B">
              <w:rPr>
                <w:rFonts w:eastAsia="Arial"/>
                <w:b/>
                <w:bCs/>
                <w:sz w:val="20"/>
                <w:szCs w:val="20"/>
                <w:lang w:eastAsia="en-IN" w:bidi="hi-IN"/>
              </w:rPr>
              <w:t>%, Residual I</w:t>
            </w:r>
            <w:r w:rsidRPr="00553BC7">
              <w:rPr>
                <w:rFonts w:eastAsia="Arial"/>
                <w:b/>
                <w:bCs/>
                <w:sz w:val="20"/>
                <w:szCs w:val="20"/>
                <w:vertAlign w:val="superscript"/>
                <w:lang w:eastAsia="en-IN" w:bidi="hi-IN"/>
              </w:rPr>
              <w:t>2</w:t>
            </w:r>
            <w:r w:rsidRPr="00AF701B">
              <w:rPr>
                <w:rFonts w:eastAsia="Arial"/>
                <w:b/>
                <w:bCs/>
                <w:sz w:val="20"/>
                <w:szCs w:val="20"/>
                <w:lang w:eastAsia="en-IN" w:bidi="hi-IN"/>
              </w:rPr>
              <w:t>=</w:t>
            </w:r>
            <w:r>
              <w:rPr>
                <w:rFonts w:eastAsia="Arial"/>
                <w:b/>
                <w:bCs/>
                <w:sz w:val="20"/>
                <w:szCs w:val="20"/>
                <w:lang w:eastAsia="en-IN" w:bidi="hi-IN"/>
              </w:rPr>
              <w:t>72.53</w:t>
            </w:r>
            <w:r w:rsidRPr="00AF701B">
              <w:rPr>
                <w:rFonts w:eastAsia="Arial"/>
                <w:b/>
                <w:bCs/>
                <w:sz w:val="20"/>
                <w:szCs w:val="20"/>
                <w:lang w:eastAsia="en-IN" w:bidi="hi-IN"/>
              </w:rPr>
              <w:t>%)</w:t>
            </w:r>
          </w:p>
        </w:tc>
      </w:tr>
      <w:tr w:rsidR="005A7B31" w14:paraId="0C7FAACC" w14:textId="77777777" w:rsidTr="00F72FC0">
        <w:tc>
          <w:tcPr>
            <w:tcW w:w="2122" w:type="dxa"/>
            <w:vAlign w:val="center"/>
          </w:tcPr>
          <w:p w14:paraId="0F46FEA7" w14:textId="18C81680" w:rsidR="005A7B31" w:rsidRPr="00274B66" w:rsidRDefault="005A7B31" w:rsidP="005A7B31">
            <w:pPr>
              <w:spacing w:before="40" w:after="40"/>
              <w:jc w:val="center"/>
              <w:rPr>
                <w:rFonts w:eastAsia="Arial"/>
                <w:b/>
                <w:bCs/>
                <w:sz w:val="20"/>
                <w:szCs w:val="20"/>
                <w:lang w:eastAsia="en-IN" w:bidi="hi-IN"/>
              </w:rPr>
            </w:pPr>
            <w:r w:rsidRPr="00274B66">
              <w:rPr>
                <w:rFonts w:eastAsia="Arial"/>
                <w:sz w:val="20"/>
                <w:szCs w:val="20"/>
                <w:lang w:eastAsia="en-IN" w:bidi="hi-IN"/>
              </w:rPr>
              <w:t>Prospective</w:t>
            </w:r>
          </w:p>
        </w:tc>
        <w:tc>
          <w:tcPr>
            <w:tcW w:w="1836" w:type="dxa"/>
            <w:vAlign w:val="center"/>
          </w:tcPr>
          <w:p w14:paraId="31A40085" w14:textId="2C317312" w:rsidR="005A7B31" w:rsidRPr="00274B66" w:rsidRDefault="001E02D7" w:rsidP="00F72FC0">
            <w:pPr>
              <w:jc w:val="center"/>
              <w:rPr>
                <w:rFonts w:eastAsia="Arial"/>
                <w:sz w:val="20"/>
                <w:szCs w:val="20"/>
                <w:lang w:eastAsia="en-IN" w:bidi="hi-IN"/>
              </w:rPr>
            </w:pPr>
            <w:r w:rsidRPr="001E02D7">
              <w:rPr>
                <w:rFonts w:eastAsia="Arial"/>
                <w:sz w:val="20"/>
                <w:szCs w:val="20"/>
                <w:lang w:eastAsia="en-IN" w:bidi="hi-IN"/>
              </w:rPr>
              <w:t>−</w:t>
            </w:r>
            <w:r w:rsidR="005A7B31" w:rsidRPr="00274B66">
              <w:rPr>
                <w:rFonts w:eastAsia="Arial"/>
                <w:sz w:val="20"/>
                <w:szCs w:val="20"/>
                <w:lang w:eastAsia="en-IN" w:bidi="hi-IN"/>
              </w:rPr>
              <w:t>0.</w:t>
            </w:r>
            <w:r>
              <w:rPr>
                <w:rFonts w:eastAsia="Arial"/>
                <w:sz w:val="20"/>
                <w:szCs w:val="20"/>
                <w:lang w:eastAsia="en-IN" w:bidi="hi-IN"/>
              </w:rPr>
              <w:t>014</w:t>
            </w:r>
            <w:r w:rsidR="005A7B31" w:rsidRPr="00274B66">
              <w:rPr>
                <w:rFonts w:eastAsia="Arial"/>
                <w:sz w:val="20"/>
                <w:szCs w:val="20"/>
                <w:lang w:eastAsia="en-IN" w:bidi="hi-IN"/>
              </w:rPr>
              <w:t xml:space="preserve"> (</w:t>
            </w:r>
            <w:r w:rsidRPr="001E02D7">
              <w:rPr>
                <w:rFonts w:eastAsia="Arial"/>
                <w:sz w:val="20"/>
                <w:szCs w:val="20"/>
                <w:lang w:eastAsia="en-IN" w:bidi="hi-IN"/>
              </w:rPr>
              <w:t>−</w:t>
            </w:r>
            <w:r w:rsidR="005A7B31" w:rsidRPr="00274B66">
              <w:rPr>
                <w:rFonts w:eastAsia="Arial"/>
                <w:sz w:val="20"/>
                <w:szCs w:val="20"/>
                <w:lang w:eastAsia="en-IN" w:bidi="hi-IN"/>
              </w:rPr>
              <w:t>0.</w:t>
            </w:r>
            <w:r>
              <w:rPr>
                <w:rFonts w:eastAsia="Arial"/>
                <w:sz w:val="20"/>
                <w:szCs w:val="20"/>
                <w:lang w:eastAsia="en-IN" w:bidi="hi-IN"/>
              </w:rPr>
              <w:t>17</w:t>
            </w:r>
            <w:r w:rsidR="005A7B31" w:rsidRPr="00274B66">
              <w:rPr>
                <w:rFonts w:eastAsia="Arial"/>
                <w:sz w:val="20"/>
                <w:szCs w:val="20"/>
                <w:lang w:eastAsia="en-IN" w:bidi="hi-IN"/>
              </w:rPr>
              <w:t xml:space="preserve">, </w:t>
            </w:r>
            <w:r>
              <w:rPr>
                <w:rFonts w:eastAsia="Arial"/>
                <w:sz w:val="20"/>
                <w:szCs w:val="20"/>
                <w:lang w:eastAsia="en-IN" w:bidi="hi-IN"/>
              </w:rPr>
              <w:t>0.14</w:t>
            </w:r>
            <w:r w:rsidR="005A7B31" w:rsidRPr="00274B66">
              <w:rPr>
                <w:rFonts w:eastAsia="Arial"/>
                <w:sz w:val="20"/>
                <w:szCs w:val="20"/>
                <w:lang w:eastAsia="en-IN" w:bidi="hi-IN"/>
              </w:rPr>
              <w:t>)</w:t>
            </w:r>
          </w:p>
        </w:tc>
        <w:tc>
          <w:tcPr>
            <w:tcW w:w="709" w:type="dxa"/>
            <w:vAlign w:val="center"/>
          </w:tcPr>
          <w:p w14:paraId="7BB4BC77" w14:textId="7C3B2D6A" w:rsidR="005A7B31" w:rsidRPr="00274B66" w:rsidRDefault="005A7B31" w:rsidP="00F72FC0">
            <w:pPr>
              <w:jc w:val="center"/>
              <w:rPr>
                <w:rFonts w:eastAsia="Arial"/>
                <w:sz w:val="20"/>
                <w:szCs w:val="20"/>
                <w:lang w:eastAsia="en-IN" w:bidi="hi-IN"/>
              </w:rPr>
            </w:pPr>
            <w:r w:rsidRPr="0070476B">
              <w:rPr>
                <w:rFonts w:eastAsia="Arial"/>
                <w:sz w:val="20"/>
                <w:szCs w:val="20"/>
                <w:lang w:eastAsia="en-IN" w:bidi="hi-IN"/>
              </w:rPr>
              <w:t>0.</w:t>
            </w:r>
            <w:r w:rsidR="001E02D7">
              <w:rPr>
                <w:rFonts w:eastAsia="Arial"/>
                <w:sz w:val="20"/>
                <w:szCs w:val="20"/>
                <w:lang w:eastAsia="en-IN" w:bidi="hi-IN"/>
              </w:rPr>
              <w:t>078</w:t>
            </w:r>
          </w:p>
        </w:tc>
        <w:tc>
          <w:tcPr>
            <w:tcW w:w="1029" w:type="dxa"/>
            <w:vAlign w:val="center"/>
          </w:tcPr>
          <w:p w14:paraId="5FAF0C60" w14:textId="5B09C133" w:rsidR="005A7B31" w:rsidRPr="00274B66" w:rsidRDefault="001E02D7" w:rsidP="00F72FC0">
            <w:pPr>
              <w:jc w:val="center"/>
              <w:rPr>
                <w:rFonts w:eastAsia="Arial"/>
                <w:sz w:val="20"/>
                <w:szCs w:val="20"/>
                <w:lang w:eastAsia="en-IN" w:bidi="hi-IN"/>
              </w:rPr>
            </w:pPr>
            <w:r w:rsidRPr="001E02D7">
              <w:rPr>
                <w:rFonts w:eastAsia="Arial"/>
                <w:sz w:val="20"/>
                <w:szCs w:val="20"/>
                <w:lang w:eastAsia="en-IN" w:bidi="hi-IN"/>
              </w:rPr>
              <w:t>−</w:t>
            </w:r>
            <w:r>
              <w:rPr>
                <w:rFonts w:eastAsia="Arial"/>
                <w:sz w:val="20"/>
                <w:szCs w:val="20"/>
                <w:lang w:eastAsia="en-IN" w:bidi="hi-IN"/>
              </w:rPr>
              <w:t>0.182</w:t>
            </w:r>
          </w:p>
        </w:tc>
        <w:tc>
          <w:tcPr>
            <w:tcW w:w="1381" w:type="dxa"/>
            <w:vAlign w:val="center"/>
          </w:tcPr>
          <w:p w14:paraId="597AB57C" w14:textId="73FC776A" w:rsidR="005A7B31" w:rsidRPr="001E02D7" w:rsidRDefault="001E02D7" w:rsidP="00F72FC0">
            <w:pPr>
              <w:jc w:val="center"/>
              <w:rPr>
                <w:rFonts w:eastAsia="Arial"/>
                <w:sz w:val="20"/>
                <w:szCs w:val="20"/>
                <w:lang w:eastAsia="en-IN" w:bidi="hi-IN"/>
              </w:rPr>
            </w:pPr>
            <w:r w:rsidRPr="001E02D7">
              <w:rPr>
                <w:rFonts w:eastAsia="Arial"/>
                <w:sz w:val="20"/>
                <w:szCs w:val="20"/>
                <w:lang w:eastAsia="en-IN" w:bidi="hi-IN"/>
              </w:rPr>
              <w:t>0.855</w:t>
            </w:r>
          </w:p>
        </w:tc>
        <w:tc>
          <w:tcPr>
            <w:tcW w:w="992" w:type="dxa"/>
            <w:vAlign w:val="center"/>
          </w:tcPr>
          <w:p w14:paraId="5391447E" w14:textId="398F2567"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993" w:type="dxa"/>
            <w:vAlign w:val="center"/>
          </w:tcPr>
          <w:p w14:paraId="06FD6593" w14:textId="439AC45F"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1139" w:type="dxa"/>
            <w:vAlign w:val="center"/>
          </w:tcPr>
          <w:p w14:paraId="422E7D09" w14:textId="236C5631"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r>
      <w:tr w:rsidR="005A7B31" w14:paraId="6EBECBDC" w14:textId="77777777" w:rsidTr="00F72FC0">
        <w:tc>
          <w:tcPr>
            <w:tcW w:w="10201" w:type="dxa"/>
            <w:gridSpan w:val="8"/>
            <w:vAlign w:val="center"/>
          </w:tcPr>
          <w:p w14:paraId="41AEECCA" w14:textId="08BD307B" w:rsidR="005A7B31" w:rsidRPr="00274B66" w:rsidRDefault="005A7B31" w:rsidP="005A7B31">
            <w:pPr>
              <w:rPr>
                <w:rFonts w:eastAsia="Arial"/>
                <w:sz w:val="20"/>
                <w:szCs w:val="20"/>
                <w:lang w:eastAsia="en-IN" w:bidi="hi-IN"/>
              </w:rPr>
            </w:pPr>
            <w:r w:rsidRPr="00274B66">
              <w:rPr>
                <w:rFonts w:eastAsia="Arial"/>
                <w:b/>
                <w:bCs/>
                <w:sz w:val="20"/>
                <w:szCs w:val="20"/>
                <w:lang w:eastAsia="en-IN" w:bidi="hi-IN"/>
              </w:rPr>
              <w:t>Geographic Region</w:t>
            </w:r>
            <w:r>
              <w:rPr>
                <w:rFonts w:eastAsia="Arial"/>
                <w:b/>
                <w:bCs/>
                <w:sz w:val="20"/>
                <w:szCs w:val="20"/>
                <w:lang w:eastAsia="en-IN" w:bidi="hi-IN"/>
              </w:rPr>
              <w:t xml:space="preserve"> </w:t>
            </w:r>
            <w:r w:rsidRPr="00AF701B">
              <w:rPr>
                <w:rFonts w:eastAsia="Arial"/>
                <w:b/>
                <w:bCs/>
                <w:sz w:val="20"/>
                <w:szCs w:val="20"/>
                <w:lang w:eastAsia="en-IN" w:bidi="hi-IN"/>
              </w:rPr>
              <w:t xml:space="preserve">(k = </w:t>
            </w:r>
            <w:r>
              <w:rPr>
                <w:rFonts w:eastAsia="Arial"/>
                <w:b/>
                <w:bCs/>
                <w:sz w:val="20"/>
                <w:szCs w:val="20"/>
                <w:lang w:eastAsia="en-IN" w:bidi="hi-IN"/>
              </w:rPr>
              <w:t>1</w:t>
            </w:r>
            <w:r w:rsidRPr="00AF701B">
              <w:rPr>
                <w:rFonts w:eastAsia="Arial"/>
                <w:b/>
                <w:bCs/>
                <w:sz w:val="20"/>
                <w:szCs w:val="20"/>
                <w:lang w:eastAsia="en-IN" w:bidi="hi-IN"/>
              </w:rPr>
              <w:t>4, QM (</w:t>
            </w:r>
            <w:proofErr w:type="spellStart"/>
            <w:r w:rsidRPr="00AF701B">
              <w:rPr>
                <w:rFonts w:eastAsia="Arial"/>
                <w:b/>
                <w:bCs/>
                <w:sz w:val="20"/>
                <w:szCs w:val="20"/>
                <w:lang w:eastAsia="en-IN" w:bidi="hi-IN"/>
              </w:rPr>
              <w:t>df</w:t>
            </w:r>
            <w:proofErr w:type="spellEnd"/>
            <w:r w:rsidRPr="00AF701B">
              <w:rPr>
                <w:rFonts w:eastAsia="Arial"/>
                <w:b/>
                <w:bCs/>
                <w:sz w:val="20"/>
                <w:szCs w:val="20"/>
                <w:lang w:eastAsia="en-IN" w:bidi="hi-IN"/>
              </w:rPr>
              <w:t xml:space="preserve"> = </w:t>
            </w:r>
            <w:r>
              <w:rPr>
                <w:rFonts w:eastAsia="Arial"/>
                <w:b/>
                <w:bCs/>
                <w:sz w:val="20"/>
                <w:szCs w:val="20"/>
                <w:lang w:eastAsia="en-IN" w:bidi="hi-IN"/>
              </w:rPr>
              <w:t>5</w:t>
            </w:r>
            <w:r w:rsidRPr="00AF701B">
              <w:rPr>
                <w:rFonts w:eastAsia="Arial"/>
                <w:b/>
                <w:bCs/>
                <w:sz w:val="20"/>
                <w:szCs w:val="20"/>
                <w:lang w:eastAsia="en-IN" w:bidi="hi-IN"/>
              </w:rPr>
              <w:t xml:space="preserve">) = </w:t>
            </w:r>
            <w:r>
              <w:rPr>
                <w:rFonts w:eastAsia="Arial"/>
                <w:b/>
                <w:bCs/>
                <w:sz w:val="20"/>
                <w:szCs w:val="20"/>
                <w:lang w:eastAsia="en-IN" w:bidi="hi-IN"/>
              </w:rPr>
              <w:t>115.8</w:t>
            </w:r>
            <w:r w:rsidRPr="00AF701B">
              <w:rPr>
                <w:rFonts w:eastAsia="Arial"/>
                <w:b/>
                <w:bCs/>
                <w:sz w:val="20"/>
                <w:szCs w:val="20"/>
                <w:lang w:eastAsia="en-IN" w:bidi="hi-IN"/>
              </w:rPr>
              <w:t xml:space="preserve">, p </w:t>
            </w:r>
            <w:r>
              <w:rPr>
                <w:rFonts w:eastAsia="Arial"/>
                <w:b/>
                <w:bCs/>
                <w:sz w:val="20"/>
                <w:szCs w:val="20"/>
                <w:lang w:eastAsia="en-IN" w:bidi="hi-IN"/>
              </w:rPr>
              <w:t>&lt;</w:t>
            </w:r>
            <w:r w:rsidRPr="00AF701B">
              <w:rPr>
                <w:rFonts w:eastAsia="Arial"/>
                <w:b/>
                <w:bCs/>
                <w:sz w:val="20"/>
                <w:szCs w:val="20"/>
                <w:lang w:eastAsia="en-IN" w:bidi="hi-IN"/>
              </w:rPr>
              <w:t xml:space="preserve"> 0.</w:t>
            </w:r>
            <w:r>
              <w:rPr>
                <w:rFonts w:eastAsia="Arial"/>
                <w:b/>
                <w:bCs/>
                <w:sz w:val="20"/>
                <w:szCs w:val="20"/>
                <w:lang w:eastAsia="en-IN" w:bidi="hi-IN"/>
              </w:rPr>
              <w:t>0001</w:t>
            </w:r>
            <w:r w:rsidRPr="00AF701B">
              <w:rPr>
                <w:rFonts w:eastAsia="Arial"/>
                <w:b/>
                <w:bCs/>
                <w:sz w:val="20"/>
                <w:szCs w:val="20"/>
                <w:lang w:eastAsia="en-IN" w:bidi="hi-IN"/>
              </w:rPr>
              <w:t>, R</w:t>
            </w:r>
            <w:r w:rsidRPr="00553BC7">
              <w:rPr>
                <w:rFonts w:eastAsia="Arial"/>
                <w:b/>
                <w:bCs/>
                <w:sz w:val="20"/>
                <w:szCs w:val="20"/>
                <w:vertAlign w:val="superscript"/>
                <w:lang w:eastAsia="en-IN" w:bidi="hi-IN"/>
              </w:rPr>
              <w:t>2</w:t>
            </w:r>
            <w:r w:rsidRPr="00AF701B">
              <w:rPr>
                <w:rFonts w:eastAsia="Arial"/>
                <w:b/>
                <w:bCs/>
                <w:sz w:val="20"/>
                <w:szCs w:val="20"/>
                <w:lang w:eastAsia="en-IN" w:bidi="hi-IN"/>
              </w:rPr>
              <w:t>=</w:t>
            </w:r>
            <w:r>
              <w:rPr>
                <w:rFonts w:eastAsia="Arial"/>
                <w:b/>
                <w:bCs/>
                <w:sz w:val="20"/>
                <w:szCs w:val="20"/>
                <w:lang w:eastAsia="en-IN" w:bidi="hi-IN"/>
              </w:rPr>
              <w:t>0</w:t>
            </w:r>
            <w:r w:rsidRPr="00AF701B">
              <w:rPr>
                <w:rFonts w:eastAsia="Arial"/>
                <w:b/>
                <w:bCs/>
                <w:sz w:val="20"/>
                <w:szCs w:val="20"/>
                <w:lang w:eastAsia="en-IN" w:bidi="hi-IN"/>
              </w:rPr>
              <w:t>%, Residual I</w:t>
            </w:r>
            <w:r w:rsidRPr="00553BC7">
              <w:rPr>
                <w:rFonts w:eastAsia="Arial"/>
                <w:b/>
                <w:bCs/>
                <w:sz w:val="20"/>
                <w:szCs w:val="20"/>
                <w:vertAlign w:val="superscript"/>
                <w:lang w:eastAsia="en-IN" w:bidi="hi-IN"/>
              </w:rPr>
              <w:t>2</w:t>
            </w:r>
            <w:r w:rsidRPr="00AF701B">
              <w:rPr>
                <w:rFonts w:eastAsia="Arial"/>
                <w:b/>
                <w:bCs/>
                <w:sz w:val="20"/>
                <w:szCs w:val="20"/>
                <w:lang w:eastAsia="en-IN" w:bidi="hi-IN"/>
              </w:rPr>
              <w:t>=</w:t>
            </w:r>
            <w:r>
              <w:rPr>
                <w:rFonts w:eastAsia="Arial"/>
                <w:b/>
                <w:bCs/>
                <w:sz w:val="20"/>
                <w:szCs w:val="20"/>
                <w:lang w:eastAsia="en-IN" w:bidi="hi-IN"/>
              </w:rPr>
              <w:t>71.45</w:t>
            </w:r>
            <w:r w:rsidRPr="00AF701B">
              <w:rPr>
                <w:rFonts w:eastAsia="Arial"/>
                <w:b/>
                <w:bCs/>
                <w:sz w:val="20"/>
                <w:szCs w:val="20"/>
                <w:lang w:eastAsia="en-IN" w:bidi="hi-IN"/>
              </w:rPr>
              <w:t>%)</w:t>
            </w:r>
          </w:p>
        </w:tc>
      </w:tr>
      <w:tr w:rsidR="005A7B31" w14:paraId="2D54C1F7" w14:textId="77777777" w:rsidTr="00F72FC0">
        <w:tc>
          <w:tcPr>
            <w:tcW w:w="2122" w:type="dxa"/>
            <w:vAlign w:val="center"/>
          </w:tcPr>
          <w:p w14:paraId="3A200D14" w14:textId="27A1EAD6" w:rsidR="005A7B31" w:rsidRPr="00274B66" w:rsidRDefault="005A7B31" w:rsidP="005A7B31">
            <w:pPr>
              <w:spacing w:before="40" w:after="40"/>
              <w:jc w:val="center"/>
              <w:rPr>
                <w:rFonts w:eastAsia="Arial"/>
                <w:sz w:val="20"/>
                <w:szCs w:val="20"/>
                <w:lang w:eastAsia="en-IN" w:bidi="hi-IN"/>
              </w:rPr>
            </w:pPr>
            <w:r w:rsidRPr="00274B66">
              <w:rPr>
                <w:rFonts w:eastAsia="Arial"/>
                <w:sz w:val="20"/>
                <w:szCs w:val="20"/>
                <w:lang w:eastAsia="en-IN" w:bidi="hi-IN"/>
              </w:rPr>
              <w:t>European</w:t>
            </w:r>
          </w:p>
        </w:tc>
        <w:tc>
          <w:tcPr>
            <w:tcW w:w="1836" w:type="dxa"/>
            <w:vAlign w:val="center"/>
          </w:tcPr>
          <w:p w14:paraId="7AA2793A" w14:textId="1EB3D0CC" w:rsidR="005A7B31" w:rsidRPr="005A7B31" w:rsidRDefault="005A7B31" w:rsidP="00F72FC0">
            <w:pPr>
              <w:jc w:val="center"/>
              <w:rPr>
                <w:rFonts w:eastAsia="Arial"/>
                <w:sz w:val="20"/>
                <w:szCs w:val="20"/>
                <w:lang w:eastAsia="en-IN" w:bidi="hi-IN"/>
              </w:rPr>
            </w:pPr>
            <w:r w:rsidRPr="005A7B31">
              <w:rPr>
                <w:rFonts w:eastAsia="Arial"/>
                <w:sz w:val="20"/>
                <w:szCs w:val="20"/>
                <w:lang w:eastAsia="en-IN" w:bidi="hi-IN"/>
              </w:rPr>
              <w:t>0.</w:t>
            </w:r>
            <w:r w:rsidR="00167AE6">
              <w:rPr>
                <w:rFonts w:eastAsia="Arial"/>
                <w:sz w:val="20"/>
                <w:szCs w:val="20"/>
                <w:lang w:eastAsia="en-IN" w:bidi="hi-IN"/>
              </w:rPr>
              <w:t>14</w:t>
            </w:r>
            <w:r w:rsidRPr="005A7B31">
              <w:rPr>
                <w:rFonts w:eastAsia="Arial"/>
                <w:sz w:val="20"/>
                <w:szCs w:val="20"/>
                <w:lang w:eastAsia="en-IN" w:bidi="hi-IN"/>
              </w:rPr>
              <w:t xml:space="preserve"> (</w:t>
            </w:r>
            <w:r w:rsidR="00167AE6" w:rsidRPr="00167AE6">
              <w:rPr>
                <w:rFonts w:eastAsia="Arial"/>
                <w:sz w:val="20"/>
                <w:szCs w:val="20"/>
                <w:lang w:eastAsia="en-IN" w:bidi="hi-IN"/>
              </w:rPr>
              <w:t>−</w:t>
            </w:r>
            <w:r w:rsidRPr="005A7B31">
              <w:rPr>
                <w:rFonts w:eastAsia="Arial"/>
                <w:sz w:val="20"/>
                <w:szCs w:val="20"/>
                <w:lang w:eastAsia="en-IN" w:bidi="hi-IN"/>
              </w:rPr>
              <w:t>0.</w:t>
            </w:r>
            <w:r w:rsidR="00167AE6">
              <w:rPr>
                <w:rFonts w:eastAsia="Arial"/>
                <w:sz w:val="20"/>
                <w:szCs w:val="20"/>
                <w:lang w:eastAsia="en-IN" w:bidi="hi-IN"/>
              </w:rPr>
              <w:t>05</w:t>
            </w:r>
            <w:r w:rsidRPr="005A7B31">
              <w:rPr>
                <w:rFonts w:eastAsia="Arial"/>
                <w:sz w:val="20"/>
                <w:szCs w:val="20"/>
                <w:lang w:eastAsia="en-IN" w:bidi="hi-IN"/>
              </w:rPr>
              <w:t>, 0.</w:t>
            </w:r>
            <w:r w:rsidR="00167AE6">
              <w:rPr>
                <w:rFonts w:eastAsia="Arial"/>
                <w:sz w:val="20"/>
                <w:szCs w:val="20"/>
                <w:lang w:eastAsia="en-IN" w:bidi="hi-IN"/>
              </w:rPr>
              <w:t>32</w:t>
            </w:r>
            <w:r w:rsidRPr="005A7B31">
              <w:rPr>
                <w:rFonts w:eastAsia="Arial"/>
                <w:sz w:val="20"/>
                <w:szCs w:val="20"/>
                <w:lang w:eastAsia="en-IN" w:bidi="hi-IN"/>
              </w:rPr>
              <w:t>)</w:t>
            </w:r>
          </w:p>
        </w:tc>
        <w:tc>
          <w:tcPr>
            <w:tcW w:w="709" w:type="dxa"/>
            <w:vAlign w:val="center"/>
          </w:tcPr>
          <w:p w14:paraId="4611926B" w14:textId="76DE00F4" w:rsidR="005A7B31" w:rsidRPr="005A7B31" w:rsidRDefault="005A7B31" w:rsidP="00F72FC0">
            <w:pPr>
              <w:jc w:val="center"/>
              <w:rPr>
                <w:rFonts w:eastAsia="Arial"/>
                <w:sz w:val="20"/>
                <w:szCs w:val="20"/>
                <w:lang w:eastAsia="en-IN" w:bidi="hi-IN"/>
              </w:rPr>
            </w:pPr>
            <w:r w:rsidRPr="005A7B31">
              <w:rPr>
                <w:rFonts w:eastAsia="Arial"/>
                <w:sz w:val="20"/>
                <w:szCs w:val="20"/>
                <w:lang w:eastAsia="en-IN" w:bidi="hi-IN"/>
              </w:rPr>
              <w:t>0.0</w:t>
            </w:r>
            <w:r w:rsidR="00167AE6">
              <w:rPr>
                <w:rFonts w:eastAsia="Arial"/>
                <w:sz w:val="20"/>
                <w:szCs w:val="20"/>
                <w:lang w:eastAsia="en-IN" w:bidi="hi-IN"/>
              </w:rPr>
              <w:t>92</w:t>
            </w:r>
          </w:p>
        </w:tc>
        <w:tc>
          <w:tcPr>
            <w:tcW w:w="1029" w:type="dxa"/>
            <w:vAlign w:val="center"/>
          </w:tcPr>
          <w:p w14:paraId="2B2ADF86" w14:textId="4664D6B0" w:rsidR="005A7B31" w:rsidRPr="005A7B31" w:rsidRDefault="00167AE6" w:rsidP="00F72FC0">
            <w:pPr>
              <w:jc w:val="center"/>
              <w:rPr>
                <w:rFonts w:eastAsia="Arial"/>
                <w:sz w:val="20"/>
                <w:szCs w:val="20"/>
                <w:lang w:eastAsia="en-IN" w:bidi="hi-IN"/>
              </w:rPr>
            </w:pPr>
            <w:r>
              <w:rPr>
                <w:rFonts w:eastAsia="Arial"/>
                <w:sz w:val="20"/>
                <w:szCs w:val="20"/>
                <w:lang w:eastAsia="en-IN" w:bidi="hi-IN"/>
              </w:rPr>
              <w:t>1.48</w:t>
            </w:r>
          </w:p>
        </w:tc>
        <w:tc>
          <w:tcPr>
            <w:tcW w:w="1381" w:type="dxa"/>
            <w:vAlign w:val="center"/>
          </w:tcPr>
          <w:p w14:paraId="26CDEA8D" w14:textId="4344FAC7" w:rsidR="005A7B31" w:rsidRPr="00167AE6" w:rsidRDefault="00167AE6" w:rsidP="00F72FC0">
            <w:pPr>
              <w:jc w:val="center"/>
              <w:rPr>
                <w:rFonts w:eastAsia="Arial"/>
                <w:sz w:val="20"/>
                <w:szCs w:val="20"/>
                <w:lang w:eastAsia="en-IN" w:bidi="hi-IN"/>
              </w:rPr>
            </w:pPr>
            <w:r w:rsidRPr="00167AE6">
              <w:rPr>
                <w:rFonts w:eastAsia="Arial"/>
                <w:sz w:val="20"/>
                <w:szCs w:val="20"/>
                <w:lang w:eastAsia="en-IN" w:bidi="hi-IN"/>
              </w:rPr>
              <w:t>0.139</w:t>
            </w:r>
          </w:p>
        </w:tc>
        <w:tc>
          <w:tcPr>
            <w:tcW w:w="992" w:type="dxa"/>
            <w:vAlign w:val="center"/>
          </w:tcPr>
          <w:p w14:paraId="44ABF904" w14:textId="7FAD43D0" w:rsidR="005A7B31" w:rsidRPr="00274B66" w:rsidRDefault="005A7B31" w:rsidP="00F72FC0">
            <w:pPr>
              <w:jc w:val="center"/>
              <w:rPr>
                <w:rFonts w:eastAsia="Arial"/>
                <w:sz w:val="20"/>
                <w:szCs w:val="20"/>
                <w:lang w:eastAsia="en-IN" w:bidi="hi-IN"/>
              </w:rPr>
            </w:pPr>
            <w:r w:rsidRPr="005A7B31">
              <w:rPr>
                <w:rFonts w:eastAsia="Arial"/>
                <w:sz w:val="20"/>
                <w:szCs w:val="20"/>
                <w:lang w:eastAsia="en-IN" w:bidi="hi-IN"/>
              </w:rPr>
              <w:t>—</w:t>
            </w:r>
          </w:p>
        </w:tc>
        <w:tc>
          <w:tcPr>
            <w:tcW w:w="993" w:type="dxa"/>
            <w:vAlign w:val="center"/>
          </w:tcPr>
          <w:p w14:paraId="147CE779" w14:textId="350F8012"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1139" w:type="dxa"/>
            <w:vAlign w:val="center"/>
          </w:tcPr>
          <w:p w14:paraId="16C8B858" w14:textId="2EB10689"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r>
      <w:tr w:rsidR="005A7B31" w14:paraId="13CA54D2" w14:textId="77777777" w:rsidTr="00F72FC0">
        <w:tc>
          <w:tcPr>
            <w:tcW w:w="2122" w:type="dxa"/>
            <w:vAlign w:val="center"/>
          </w:tcPr>
          <w:p w14:paraId="16DDAAF6" w14:textId="5424B575" w:rsidR="005A7B31" w:rsidRPr="00274B66" w:rsidRDefault="005A7B31" w:rsidP="005A7B31">
            <w:pPr>
              <w:spacing w:before="40" w:after="40"/>
              <w:jc w:val="center"/>
              <w:rPr>
                <w:rFonts w:eastAsia="Arial"/>
                <w:sz w:val="20"/>
                <w:szCs w:val="20"/>
                <w:lang w:eastAsia="en-IN" w:bidi="hi-IN"/>
              </w:rPr>
            </w:pPr>
            <w:r>
              <w:rPr>
                <w:rFonts w:eastAsia="Arial"/>
                <w:sz w:val="20"/>
                <w:szCs w:val="20"/>
                <w:lang w:eastAsia="en-IN" w:bidi="hi-IN"/>
              </w:rPr>
              <w:t>Region of Americas</w:t>
            </w:r>
          </w:p>
        </w:tc>
        <w:tc>
          <w:tcPr>
            <w:tcW w:w="1836" w:type="dxa"/>
            <w:vAlign w:val="center"/>
          </w:tcPr>
          <w:p w14:paraId="50F45324" w14:textId="0F443792" w:rsidR="005A7B31" w:rsidRPr="005A7B31" w:rsidRDefault="005A7B31" w:rsidP="00F72FC0">
            <w:pPr>
              <w:jc w:val="center"/>
              <w:rPr>
                <w:rFonts w:eastAsia="Arial"/>
                <w:sz w:val="20"/>
                <w:szCs w:val="20"/>
                <w:lang w:eastAsia="en-IN" w:bidi="hi-IN"/>
              </w:rPr>
            </w:pPr>
            <w:r w:rsidRPr="005A7B31">
              <w:rPr>
                <w:rFonts w:eastAsia="Arial"/>
                <w:sz w:val="20"/>
                <w:szCs w:val="20"/>
                <w:lang w:eastAsia="en-IN" w:bidi="hi-IN"/>
              </w:rPr>
              <w:t>0.</w:t>
            </w:r>
            <w:r w:rsidR="00167AE6">
              <w:rPr>
                <w:rFonts w:eastAsia="Arial"/>
                <w:sz w:val="20"/>
                <w:szCs w:val="20"/>
                <w:lang w:eastAsia="en-IN" w:bidi="hi-IN"/>
              </w:rPr>
              <w:t>05</w:t>
            </w:r>
            <w:r w:rsidRPr="005A7B31">
              <w:rPr>
                <w:rFonts w:eastAsia="Arial"/>
                <w:sz w:val="20"/>
                <w:szCs w:val="20"/>
                <w:lang w:eastAsia="en-IN" w:bidi="hi-IN"/>
              </w:rPr>
              <w:t xml:space="preserve"> (</w:t>
            </w:r>
            <w:r w:rsidR="00167AE6" w:rsidRPr="00167AE6">
              <w:rPr>
                <w:rFonts w:eastAsia="Arial"/>
                <w:sz w:val="20"/>
                <w:szCs w:val="20"/>
                <w:lang w:eastAsia="en-IN" w:bidi="hi-IN"/>
              </w:rPr>
              <w:t>−</w:t>
            </w:r>
            <w:r w:rsidRPr="005A7B31">
              <w:rPr>
                <w:rFonts w:eastAsia="Arial"/>
                <w:sz w:val="20"/>
                <w:szCs w:val="20"/>
                <w:lang w:eastAsia="en-IN" w:bidi="hi-IN"/>
              </w:rPr>
              <w:t>0.</w:t>
            </w:r>
            <w:r w:rsidR="00167AE6">
              <w:rPr>
                <w:rFonts w:eastAsia="Arial"/>
                <w:sz w:val="20"/>
                <w:szCs w:val="20"/>
                <w:lang w:eastAsia="en-IN" w:bidi="hi-IN"/>
              </w:rPr>
              <w:t>23</w:t>
            </w:r>
            <w:r w:rsidRPr="005A7B31">
              <w:rPr>
                <w:rFonts w:eastAsia="Arial"/>
                <w:sz w:val="20"/>
                <w:szCs w:val="20"/>
                <w:lang w:eastAsia="en-IN" w:bidi="hi-IN"/>
              </w:rPr>
              <w:t>, 0.</w:t>
            </w:r>
            <w:r w:rsidR="00167AE6">
              <w:rPr>
                <w:rFonts w:eastAsia="Arial"/>
                <w:sz w:val="20"/>
                <w:szCs w:val="20"/>
                <w:lang w:eastAsia="en-IN" w:bidi="hi-IN"/>
              </w:rPr>
              <w:t>34</w:t>
            </w:r>
            <w:r w:rsidRPr="005A7B31">
              <w:rPr>
                <w:rFonts w:eastAsia="Arial"/>
                <w:sz w:val="20"/>
                <w:szCs w:val="20"/>
                <w:lang w:eastAsia="en-IN" w:bidi="hi-IN"/>
              </w:rPr>
              <w:t>)</w:t>
            </w:r>
          </w:p>
        </w:tc>
        <w:tc>
          <w:tcPr>
            <w:tcW w:w="709" w:type="dxa"/>
            <w:vAlign w:val="center"/>
          </w:tcPr>
          <w:p w14:paraId="482679A0" w14:textId="72E5F0CF" w:rsidR="005A7B31" w:rsidRPr="005A7B31" w:rsidRDefault="005A7B31" w:rsidP="00F72FC0">
            <w:pPr>
              <w:jc w:val="center"/>
              <w:rPr>
                <w:rFonts w:eastAsia="Arial"/>
                <w:sz w:val="20"/>
                <w:szCs w:val="20"/>
                <w:lang w:eastAsia="en-IN" w:bidi="hi-IN"/>
              </w:rPr>
            </w:pPr>
            <w:r w:rsidRPr="005A7B31">
              <w:rPr>
                <w:rFonts w:eastAsia="Arial"/>
                <w:sz w:val="20"/>
                <w:szCs w:val="20"/>
                <w:lang w:eastAsia="en-IN" w:bidi="hi-IN"/>
              </w:rPr>
              <w:t>0.</w:t>
            </w:r>
            <w:r w:rsidR="00167AE6">
              <w:rPr>
                <w:rFonts w:eastAsia="Arial"/>
                <w:sz w:val="20"/>
                <w:szCs w:val="20"/>
                <w:lang w:eastAsia="en-IN" w:bidi="hi-IN"/>
              </w:rPr>
              <w:t>146</w:t>
            </w:r>
          </w:p>
        </w:tc>
        <w:tc>
          <w:tcPr>
            <w:tcW w:w="1029" w:type="dxa"/>
            <w:vAlign w:val="center"/>
          </w:tcPr>
          <w:p w14:paraId="0714B809" w14:textId="750BCD77" w:rsidR="005A7B31" w:rsidRPr="005A7B31" w:rsidRDefault="00167AE6" w:rsidP="00F72FC0">
            <w:pPr>
              <w:jc w:val="center"/>
              <w:rPr>
                <w:rFonts w:eastAsia="Arial"/>
                <w:sz w:val="20"/>
                <w:szCs w:val="20"/>
                <w:lang w:eastAsia="en-IN" w:bidi="hi-IN"/>
              </w:rPr>
            </w:pPr>
            <w:r>
              <w:rPr>
                <w:rFonts w:eastAsia="Arial"/>
                <w:sz w:val="20"/>
                <w:szCs w:val="20"/>
                <w:lang w:eastAsia="en-IN" w:bidi="hi-IN"/>
              </w:rPr>
              <w:t>0.40</w:t>
            </w:r>
          </w:p>
        </w:tc>
        <w:tc>
          <w:tcPr>
            <w:tcW w:w="1381" w:type="dxa"/>
            <w:vAlign w:val="center"/>
          </w:tcPr>
          <w:p w14:paraId="40E4DAA1" w14:textId="03D3F07B" w:rsidR="005A7B31" w:rsidRPr="00167AE6" w:rsidRDefault="005A7B31" w:rsidP="00F72FC0">
            <w:pPr>
              <w:jc w:val="center"/>
              <w:rPr>
                <w:rFonts w:eastAsia="Arial"/>
                <w:sz w:val="20"/>
                <w:szCs w:val="20"/>
                <w:lang w:eastAsia="en-IN" w:bidi="hi-IN"/>
              </w:rPr>
            </w:pPr>
            <w:r w:rsidRPr="00167AE6">
              <w:rPr>
                <w:rFonts w:eastAsia="Arial"/>
                <w:sz w:val="20"/>
                <w:szCs w:val="20"/>
                <w:lang w:eastAsia="en-IN" w:bidi="hi-IN"/>
              </w:rPr>
              <w:t>0.</w:t>
            </w:r>
            <w:r w:rsidR="00167AE6" w:rsidRPr="00167AE6">
              <w:rPr>
                <w:rFonts w:eastAsia="Arial"/>
                <w:sz w:val="20"/>
                <w:szCs w:val="20"/>
                <w:lang w:eastAsia="en-IN" w:bidi="hi-IN"/>
              </w:rPr>
              <w:t>689</w:t>
            </w:r>
          </w:p>
        </w:tc>
        <w:tc>
          <w:tcPr>
            <w:tcW w:w="992" w:type="dxa"/>
            <w:vAlign w:val="center"/>
          </w:tcPr>
          <w:p w14:paraId="26A43685" w14:textId="6DFA7A58" w:rsidR="005A7B31" w:rsidRPr="005A7B31"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993" w:type="dxa"/>
            <w:vAlign w:val="center"/>
          </w:tcPr>
          <w:p w14:paraId="04CC529A" w14:textId="3D347E20"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1139" w:type="dxa"/>
            <w:vAlign w:val="center"/>
          </w:tcPr>
          <w:p w14:paraId="2D899FF5" w14:textId="21D76AB8"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r>
      <w:tr w:rsidR="005A7B31" w14:paraId="27381A17" w14:textId="77777777" w:rsidTr="00F72FC0">
        <w:tc>
          <w:tcPr>
            <w:tcW w:w="2122" w:type="dxa"/>
            <w:vAlign w:val="center"/>
          </w:tcPr>
          <w:p w14:paraId="6BE3791A" w14:textId="2E4DB9E3" w:rsidR="005A7B31" w:rsidRDefault="005A7B31" w:rsidP="005A7B31">
            <w:pPr>
              <w:spacing w:before="40" w:after="40"/>
              <w:jc w:val="center"/>
              <w:rPr>
                <w:rFonts w:eastAsia="Arial"/>
                <w:sz w:val="20"/>
                <w:szCs w:val="20"/>
                <w:lang w:eastAsia="en-IN" w:bidi="hi-IN"/>
              </w:rPr>
            </w:pPr>
            <w:r>
              <w:rPr>
                <w:rFonts w:eastAsia="Arial"/>
                <w:sz w:val="20"/>
                <w:szCs w:val="20"/>
                <w:lang w:eastAsia="en-IN" w:bidi="hi-IN"/>
              </w:rPr>
              <w:t>South East Asia Region</w:t>
            </w:r>
          </w:p>
        </w:tc>
        <w:tc>
          <w:tcPr>
            <w:tcW w:w="1836" w:type="dxa"/>
            <w:vAlign w:val="center"/>
          </w:tcPr>
          <w:p w14:paraId="10A9B975" w14:textId="36C2E7C3" w:rsidR="005A7B31" w:rsidRPr="005A7B31" w:rsidRDefault="005A7B31" w:rsidP="00F72FC0">
            <w:pPr>
              <w:jc w:val="center"/>
              <w:rPr>
                <w:rFonts w:eastAsia="Arial"/>
                <w:sz w:val="20"/>
                <w:szCs w:val="20"/>
                <w:lang w:eastAsia="en-IN" w:bidi="hi-IN"/>
              </w:rPr>
            </w:pPr>
            <w:r w:rsidRPr="005A7B31">
              <w:rPr>
                <w:rFonts w:eastAsia="Arial"/>
                <w:sz w:val="20"/>
                <w:szCs w:val="20"/>
                <w:lang w:eastAsia="en-IN" w:bidi="hi-IN"/>
              </w:rPr>
              <w:t>0.</w:t>
            </w:r>
            <w:r w:rsidR="00167AE6">
              <w:rPr>
                <w:rFonts w:eastAsia="Arial"/>
                <w:sz w:val="20"/>
                <w:szCs w:val="20"/>
                <w:lang w:eastAsia="en-IN" w:bidi="hi-IN"/>
              </w:rPr>
              <w:t>03</w:t>
            </w:r>
            <w:r w:rsidRPr="005A7B31">
              <w:rPr>
                <w:rFonts w:eastAsia="Arial"/>
                <w:sz w:val="20"/>
                <w:szCs w:val="20"/>
                <w:lang w:eastAsia="en-IN" w:bidi="hi-IN"/>
              </w:rPr>
              <w:t xml:space="preserve"> (</w:t>
            </w:r>
            <w:r w:rsidR="00167AE6" w:rsidRPr="00167AE6">
              <w:rPr>
                <w:rFonts w:eastAsia="Arial"/>
                <w:sz w:val="20"/>
                <w:szCs w:val="20"/>
                <w:lang w:eastAsia="en-IN" w:bidi="hi-IN"/>
              </w:rPr>
              <w:t>−</w:t>
            </w:r>
            <w:r w:rsidRPr="005A7B31">
              <w:rPr>
                <w:rFonts w:eastAsia="Arial"/>
                <w:sz w:val="20"/>
                <w:szCs w:val="20"/>
                <w:lang w:eastAsia="en-IN" w:bidi="hi-IN"/>
              </w:rPr>
              <w:t>0.</w:t>
            </w:r>
            <w:r w:rsidR="00167AE6">
              <w:rPr>
                <w:rFonts w:eastAsia="Arial"/>
                <w:sz w:val="20"/>
                <w:szCs w:val="20"/>
                <w:lang w:eastAsia="en-IN" w:bidi="hi-IN"/>
              </w:rPr>
              <w:t>24</w:t>
            </w:r>
            <w:r w:rsidRPr="005A7B31">
              <w:rPr>
                <w:rFonts w:eastAsia="Arial"/>
                <w:sz w:val="20"/>
                <w:szCs w:val="20"/>
                <w:lang w:eastAsia="en-IN" w:bidi="hi-IN"/>
              </w:rPr>
              <w:t>, 0.</w:t>
            </w:r>
            <w:r w:rsidR="00167AE6">
              <w:rPr>
                <w:rFonts w:eastAsia="Arial"/>
                <w:sz w:val="20"/>
                <w:szCs w:val="20"/>
                <w:lang w:eastAsia="en-IN" w:bidi="hi-IN"/>
              </w:rPr>
              <w:t>31</w:t>
            </w:r>
            <w:r w:rsidRPr="005A7B31">
              <w:rPr>
                <w:rFonts w:eastAsia="Arial"/>
                <w:sz w:val="20"/>
                <w:szCs w:val="20"/>
                <w:lang w:eastAsia="en-IN" w:bidi="hi-IN"/>
              </w:rPr>
              <w:t>)</w:t>
            </w:r>
          </w:p>
        </w:tc>
        <w:tc>
          <w:tcPr>
            <w:tcW w:w="709" w:type="dxa"/>
            <w:vAlign w:val="center"/>
          </w:tcPr>
          <w:p w14:paraId="5A3C7D44" w14:textId="03DAA6EE" w:rsidR="005A7B31" w:rsidRPr="005A7B31" w:rsidRDefault="005A7B31" w:rsidP="00F72FC0">
            <w:pPr>
              <w:jc w:val="center"/>
              <w:rPr>
                <w:rFonts w:eastAsia="Arial"/>
                <w:sz w:val="20"/>
                <w:szCs w:val="20"/>
                <w:lang w:eastAsia="en-IN" w:bidi="hi-IN"/>
              </w:rPr>
            </w:pPr>
            <w:r w:rsidRPr="005A7B31">
              <w:rPr>
                <w:rFonts w:eastAsia="Arial"/>
                <w:sz w:val="20"/>
                <w:szCs w:val="20"/>
                <w:lang w:eastAsia="en-IN" w:bidi="hi-IN"/>
              </w:rPr>
              <w:t>0.1</w:t>
            </w:r>
            <w:r w:rsidR="00167AE6">
              <w:rPr>
                <w:rFonts w:eastAsia="Arial"/>
                <w:sz w:val="20"/>
                <w:szCs w:val="20"/>
                <w:lang w:eastAsia="en-IN" w:bidi="hi-IN"/>
              </w:rPr>
              <w:t>39</w:t>
            </w:r>
          </w:p>
        </w:tc>
        <w:tc>
          <w:tcPr>
            <w:tcW w:w="1029" w:type="dxa"/>
            <w:vAlign w:val="center"/>
          </w:tcPr>
          <w:p w14:paraId="5D9E89A5" w14:textId="02F279B8" w:rsidR="005A7B31" w:rsidRPr="005A7B31" w:rsidRDefault="00167AE6" w:rsidP="00F72FC0">
            <w:pPr>
              <w:jc w:val="center"/>
              <w:rPr>
                <w:rFonts w:eastAsia="Arial"/>
                <w:sz w:val="20"/>
                <w:szCs w:val="20"/>
                <w:lang w:eastAsia="en-IN" w:bidi="hi-IN"/>
              </w:rPr>
            </w:pPr>
            <w:r>
              <w:rPr>
                <w:rFonts w:eastAsia="Arial"/>
                <w:sz w:val="20"/>
                <w:szCs w:val="20"/>
                <w:lang w:eastAsia="en-IN" w:bidi="hi-IN"/>
              </w:rPr>
              <w:t>0.23</w:t>
            </w:r>
          </w:p>
        </w:tc>
        <w:tc>
          <w:tcPr>
            <w:tcW w:w="1381" w:type="dxa"/>
            <w:vAlign w:val="center"/>
          </w:tcPr>
          <w:p w14:paraId="26136705" w14:textId="5E02899B" w:rsidR="005A7B31" w:rsidRPr="00167AE6" w:rsidRDefault="005A7B31" w:rsidP="00F72FC0">
            <w:pPr>
              <w:jc w:val="center"/>
              <w:rPr>
                <w:rFonts w:eastAsia="Arial"/>
                <w:sz w:val="20"/>
                <w:szCs w:val="20"/>
                <w:lang w:eastAsia="en-IN" w:bidi="hi-IN"/>
              </w:rPr>
            </w:pPr>
            <w:r w:rsidRPr="00167AE6">
              <w:rPr>
                <w:rFonts w:eastAsia="Arial"/>
                <w:sz w:val="20"/>
                <w:szCs w:val="20"/>
                <w:lang w:eastAsia="en-IN" w:bidi="hi-IN"/>
              </w:rPr>
              <w:t>0.</w:t>
            </w:r>
            <w:r w:rsidR="00167AE6" w:rsidRPr="00167AE6">
              <w:rPr>
                <w:rFonts w:eastAsia="Arial"/>
                <w:sz w:val="20"/>
                <w:szCs w:val="20"/>
                <w:lang w:eastAsia="en-IN" w:bidi="hi-IN"/>
              </w:rPr>
              <w:t>815</w:t>
            </w:r>
          </w:p>
        </w:tc>
        <w:tc>
          <w:tcPr>
            <w:tcW w:w="992" w:type="dxa"/>
            <w:vAlign w:val="center"/>
          </w:tcPr>
          <w:p w14:paraId="5163E9C1" w14:textId="3F28EF1E"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993" w:type="dxa"/>
            <w:vAlign w:val="center"/>
          </w:tcPr>
          <w:p w14:paraId="010B8123" w14:textId="206A3A5A"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1139" w:type="dxa"/>
            <w:vAlign w:val="center"/>
          </w:tcPr>
          <w:p w14:paraId="3165BE09" w14:textId="264D4A1E"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r>
      <w:tr w:rsidR="005A7B31" w14:paraId="5B487D18" w14:textId="77777777" w:rsidTr="00F72FC0">
        <w:tc>
          <w:tcPr>
            <w:tcW w:w="2122" w:type="dxa"/>
            <w:vAlign w:val="center"/>
          </w:tcPr>
          <w:p w14:paraId="5A1D2EB5" w14:textId="06F3F8EF" w:rsidR="005A7B31" w:rsidRDefault="005A7B31" w:rsidP="005A7B31">
            <w:pPr>
              <w:spacing w:before="40" w:after="40"/>
              <w:jc w:val="center"/>
              <w:rPr>
                <w:rFonts w:eastAsia="Arial"/>
                <w:sz w:val="20"/>
                <w:szCs w:val="20"/>
                <w:lang w:eastAsia="en-IN" w:bidi="hi-IN"/>
              </w:rPr>
            </w:pPr>
            <w:r>
              <w:rPr>
                <w:rFonts w:eastAsia="Arial"/>
                <w:sz w:val="20"/>
                <w:szCs w:val="20"/>
                <w:lang w:eastAsia="en-IN" w:bidi="hi-IN"/>
              </w:rPr>
              <w:t>Western Pacific</w:t>
            </w:r>
          </w:p>
        </w:tc>
        <w:tc>
          <w:tcPr>
            <w:tcW w:w="1836" w:type="dxa"/>
            <w:vAlign w:val="center"/>
          </w:tcPr>
          <w:p w14:paraId="2C95BA76" w14:textId="1F33ED4F" w:rsidR="005A7B31" w:rsidRPr="005A7B31" w:rsidRDefault="005A7B31" w:rsidP="00F72FC0">
            <w:pPr>
              <w:jc w:val="center"/>
              <w:rPr>
                <w:rFonts w:eastAsia="Arial"/>
                <w:sz w:val="20"/>
                <w:szCs w:val="20"/>
                <w:lang w:eastAsia="en-IN" w:bidi="hi-IN"/>
              </w:rPr>
            </w:pPr>
            <w:r w:rsidRPr="005A7B31">
              <w:rPr>
                <w:rFonts w:eastAsia="Arial"/>
                <w:sz w:val="20"/>
                <w:szCs w:val="20"/>
                <w:lang w:eastAsia="en-IN" w:bidi="hi-IN"/>
              </w:rPr>
              <w:t>0.</w:t>
            </w:r>
            <w:r w:rsidR="00167AE6">
              <w:rPr>
                <w:rFonts w:eastAsia="Arial"/>
                <w:sz w:val="20"/>
                <w:szCs w:val="20"/>
                <w:lang w:eastAsia="en-IN" w:bidi="hi-IN"/>
              </w:rPr>
              <w:t>17</w:t>
            </w:r>
            <w:r w:rsidRPr="005A7B31">
              <w:rPr>
                <w:rFonts w:eastAsia="Arial"/>
                <w:sz w:val="20"/>
                <w:szCs w:val="20"/>
                <w:lang w:eastAsia="en-IN" w:bidi="hi-IN"/>
              </w:rPr>
              <w:t xml:space="preserve"> (</w:t>
            </w:r>
            <w:r w:rsidR="00167AE6" w:rsidRPr="00167AE6">
              <w:rPr>
                <w:rFonts w:eastAsia="Arial"/>
                <w:sz w:val="20"/>
                <w:szCs w:val="20"/>
                <w:lang w:eastAsia="en-IN" w:bidi="hi-IN"/>
              </w:rPr>
              <w:t>−</w:t>
            </w:r>
            <w:r w:rsidRPr="005A7B31">
              <w:rPr>
                <w:rFonts w:eastAsia="Arial"/>
                <w:sz w:val="20"/>
                <w:szCs w:val="20"/>
                <w:lang w:eastAsia="en-IN" w:bidi="hi-IN"/>
              </w:rPr>
              <w:t>0.</w:t>
            </w:r>
            <w:r w:rsidR="00167AE6">
              <w:rPr>
                <w:rFonts w:eastAsia="Arial"/>
                <w:sz w:val="20"/>
                <w:szCs w:val="20"/>
                <w:lang w:eastAsia="en-IN" w:bidi="hi-IN"/>
              </w:rPr>
              <w:t>01</w:t>
            </w:r>
            <w:r w:rsidRPr="005A7B31">
              <w:rPr>
                <w:rFonts w:eastAsia="Arial"/>
                <w:sz w:val="20"/>
                <w:szCs w:val="20"/>
                <w:lang w:eastAsia="en-IN" w:bidi="hi-IN"/>
              </w:rPr>
              <w:t>, 0.</w:t>
            </w:r>
            <w:r w:rsidR="00167AE6">
              <w:rPr>
                <w:rFonts w:eastAsia="Arial"/>
                <w:sz w:val="20"/>
                <w:szCs w:val="20"/>
                <w:lang w:eastAsia="en-IN" w:bidi="hi-IN"/>
              </w:rPr>
              <w:t>36</w:t>
            </w:r>
            <w:r w:rsidRPr="005A7B31">
              <w:rPr>
                <w:rFonts w:eastAsia="Arial"/>
                <w:sz w:val="20"/>
                <w:szCs w:val="20"/>
                <w:lang w:eastAsia="en-IN" w:bidi="hi-IN"/>
              </w:rPr>
              <w:t>)</w:t>
            </w:r>
          </w:p>
        </w:tc>
        <w:tc>
          <w:tcPr>
            <w:tcW w:w="709" w:type="dxa"/>
            <w:vAlign w:val="center"/>
          </w:tcPr>
          <w:p w14:paraId="071EF924" w14:textId="0ECBA461" w:rsidR="005A7B31" w:rsidRPr="005A7B31" w:rsidRDefault="005A7B31" w:rsidP="00F72FC0">
            <w:pPr>
              <w:jc w:val="center"/>
              <w:rPr>
                <w:rFonts w:eastAsia="Arial"/>
                <w:sz w:val="20"/>
                <w:szCs w:val="20"/>
                <w:lang w:eastAsia="en-IN" w:bidi="hi-IN"/>
              </w:rPr>
            </w:pPr>
            <w:r w:rsidRPr="005A7B31">
              <w:rPr>
                <w:rFonts w:eastAsia="Arial"/>
                <w:sz w:val="20"/>
                <w:szCs w:val="20"/>
                <w:lang w:eastAsia="en-IN" w:bidi="hi-IN"/>
              </w:rPr>
              <w:t>0.0</w:t>
            </w:r>
            <w:r w:rsidR="00167AE6">
              <w:rPr>
                <w:rFonts w:eastAsia="Arial"/>
                <w:sz w:val="20"/>
                <w:szCs w:val="20"/>
                <w:lang w:eastAsia="en-IN" w:bidi="hi-IN"/>
              </w:rPr>
              <w:t>96</w:t>
            </w:r>
          </w:p>
        </w:tc>
        <w:tc>
          <w:tcPr>
            <w:tcW w:w="1029" w:type="dxa"/>
            <w:vAlign w:val="center"/>
          </w:tcPr>
          <w:p w14:paraId="4A489D5D" w14:textId="0ABDAA2D" w:rsidR="005A7B31" w:rsidRPr="005A7B31" w:rsidRDefault="00167AE6" w:rsidP="00F72FC0">
            <w:pPr>
              <w:jc w:val="center"/>
              <w:rPr>
                <w:rFonts w:eastAsia="Arial"/>
                <w:sz w:val="20"/>
                <w:szCs w:val="20"/>
                <w:lang w:eastAsia="en-IN" w:bidi="hi-IN"/>
              </w:rPr>
            </w:pPr>
            <w:r>
              <w:rPr>
                <w:rFonts w:eastAsia="Arial"/>
                <w:sz w:val="20"/>
                <w:szCs w:val="20"/>
                <w:lang w:eastAsia="en-IN" w:bidi="hi-IN"/>
              </w:rPr>
              <w:t>1.82</w:t>
            </w:r>
          </w:p>
        </w:tc>
        <w:tc>
          <w:tcPr>
            <w:tcW w:w="1381" w:type="dxa"/>
            <w:vAlign w:val="center"/>
          </w:tcPr>
          <w:p w14:paraId="5EC9D6F8" w14:textId="6F69060B" w:rsidR="005A7B31" w:rsidRPr="00167AE6" w:rsidRDefault="00167AE6" w:rsidP="00F72FC0">
            <w:pPr>
              <w:jc w:val="center"/>
              <w:rPr>
                <w:rFonts w:eastAsia="Arial"/>
                <w:sz w:val="20"/>
                <w:szCs w:val="20"/>
                <w:lang w:eastAsia="en-IN" w:bidi="hi-IN"/>
              </w:rPr>
            </w:pPr>
            <w:r w:rsidRPr="00167AE6">
              <w:rPr>
                <w:rFonts w:eastAsia="Arial"/>
                <w:sz w:val="20"/>
                <w:szCs w:val="20"/>
                <w:lang w:eastAsia="en-IN" w:bidi="hi-IN"/>
              </w:rPr>
              <w:t>0.068</w:t>
            </w:r>
          </w:p>
        </w:tc>
        <w:tc>
          <w:tcPr>
            <w:tcW w:w="992" w:type="dxa"/>
            <w:vAlign w:val="center"/>
          </w:tcPr>
          <w:p w14:paraId="0048CE4D" w14:textId="4923AFB7"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993" w:type="dxa"/>
            <w:vAlign w:val="center"/>
          </w:tcPr>
          <w:p w14:paraId="041F0A29" w14:textId="7918E5C1"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1139" w:type="dxa"/>
            <w:vAlign w:val="center"/>
          </w:tcPr>
          <w:p w14:paraId="35D5847D" w14:textId="4B331AFE"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r>
      <w:tr w:rsidR="005A7B31" w14:paraId="30B9BB34" w14:textId="77777777" w:rsidTr="00F72FC0">
        <w:tc>
          <w:tcPr>
            <w:tcW w:w="10201" w:type="dxa"/>
            <w:gridSpan w:val="8"/>
            <w:vAlign w:val="center"/>
          </w:tcPr>
          <w:p w14:paraId="2196C96A" w14:textId="41CDB00A" w:rsidR="005A7B31" w:rsidRPr="00274B66" w:rsidRDefault="005A7B31" w:rsidP="005A7B31">
            <w:pPr>
              <w:rPr>
                <w:rFonts w:eastAsia="Arial"/>
                <w:sz w:val="20"/>
                <w:szCs w:val="20"/>
                <w:lang w:eastAsia="en-IN" w:bidi="hi-IN"/>
              </w:rPr>
            </w:pPr>
            <w:r w:rsidRPr="00274B66">
              <w:rPr>
                <w:rFonts w:eastAsia="Arial"/>
                <w:b/>
                <w:bCs/>
                <w:sz w:val="20"/>
                <w:szCs w:val="20"/>
                <w:lang w:eastAsia="en-IN" w:bidi="hi-IN"/>
              </w:rPr>
              <w:t>Case Characteristics</w:t>
            </w:r>
            <w:r>
              <w:rPr>
                <w:rFonts w:eastAsia="Arial"/>
                <w:b/>
                <w:bCs/>
                <w:sz w:val="20"/>
                <w:szCs w:val="20"/>
                <w:lang w:eastAsia="en-IN" w:bidi="hi-IN"/>
              </w:rPr>
              <w:t xml:space="preserve"> </w:t>
            </w:r>
            <w:r w:rsidRPr="00AF701B">
              <w:rPr>
                <w:rFonts w:eastAsia="Arial"/>
                <w:b/>
                <w:bCs/>
                <w:sz w:val="20"/>
                <w:szCs w:val="20"/>
                <w:lang w:eastAsia="en-IN" w:bidi="hi-IN"/>
              </w:rPr>
              <w:t xml:space="preserve">(k = </w:t>
            </w:r>
            <w:r>
              <w:rPr>
                <w:rFonts w:eastAsia="Arial"/>
                <w:b/>
                <w:bCs/>
                <w:sz w:val="20"/>
                <w:szCs w:val="20"/>
                <w:lang w:eastAsia="en-IN" w:bidi="hi-IN"/>
              </w:rPr>
              <w:t>1</w:t>
            </w:r>
            <w:r w:rsidRPr="00AF701B">
              <w:rPr>
                <w:rFonts w:eastAsia="Arial"/>
                <w:b/>
                <w:bCs/>
                <w:sz w:val="20"/>
                <w:szCs w:val="20"/>
                <w:lang w:eastAsia="en-IN" w:bidi="hi-IN"/>
              </w:rPr>
              <w:t>4, QM (</w:t>
            </w:r>
            <w:proofErr w:type="spellStart"/>
            <w:r w:rsidRPr="00AF701B">
              <w:rPr>
                <w:rFonts w:eastAsia="Arial"/>
                <w:b/>
                <w:bCs/>
                <w:sz w:val="20"/>
                <w:szCs w:val="20"/>
                <w:lang w:eastAsia="en-IN" w:bidi="hi-IN"/>
              </w:rPr>
              <w:t>df</w:t>
            </w:r>
            <w:proofErr w:type="spellEnd"/>
            <w:r w:rsidRPr="00AF701B">
              <w:rPr>
                <w:rFonts w:eastAsia="Arial"/>
                <w:b/>
                <w:bCs/>
                <w:sz w:val="20"/>
                <w:szCs w:val="20"/>
                <w:lang w:eastAsia="en-IN" w:bidi="hi-IN"/>
              </w:rPr>
              <w:t xml:space="preserve"> = </w:t>
            </w:r>
            <w:r>
              <w:rPr>
                <w:rFonts w:eastAsia="Arial"/>
                <w:b/>
                <w:bCs/>
                <w:sz w:val="20"/>
                <w:szCs w:val="20"/>
                <w:lang w:eastAsia="en-IN" w:bidi="hi-IN"/>
              </w:rPr>
              <w:t>4</w:t>
            </w:r>
            <w:r w:rsidRPr="00AF701B">
              <w:rPr>
                <w:rFonts w:eastAsia="Arial"/>
                <w:b/>
                <w:bCs/>
                <w:sz w:val="20"/>
                <w:szCs w:val="20"/>
                <w:lang w:eastAsia="en-IN" w:bidi="hi-IN"/>
              </w:rPr>
              <w:t xml:space="preserve">) = </w:t>
            </w:r>
            <w:r>
              <w:rPr>
                <w:rFonts w:eastAsia="Arial"/>
                <w:b/>
                <w:bCs/>
                <w:sz w:val="20"/>
                <w:szCs w:val="20"/>
                <w:lang w:eastAsia="en-IN" w:bidi="hi-IN"/>
              </w:rPr>
              <w:t>127.42</w:t>
            </w:r>
            <w:r w:rsidRPr="00AF701B">
              <w:rPr>
                <w:rFonts w:eastAsia="Arial"/>
                <w:b/>
                <w:bCs/>
                <w:sz w:val="20"/>
                <w:szCs w:val="20"/>
                <w:lang w:eastAsia="en-IN" w:bidi="hi-IN"/>
              </w:rPr>
              <w:t xml:space="preserve">, p </w:t>
            </w:r>
            <w:r>
              <w:rPr>
                <w:rFonts w:eastAsia="Arial"/>
                <w:b/>
                <w:bCs/>
                <w:sz w:val="20"/>
                <w:szCs w:val="20"/>
                <w:lang w:eastAsia="en-IN" w:bidi="hi-IN"/>
              </w:rPr>
              <w:t>&lt;</w:t>
            </w:r>
            <w:r w:rsidRPr="00AF701B">
              <w:rPr>
                <w:rFonts w:eastAsia="Arial"/>
                <w:b/>
                <w:bCs/>
                <w:sz w:val="20"/>
                <w:szCs w:val="20"/>
                <w:lang w:eastAsia="en-IN" w:bidi="hi-IN"/>
              </w:rPr>
              <w:t xml:space="preserve"> 0.</w:t>
            </w:r>
            <w:r>
              <w:rPr>
                <w:rFonts w:eastAsia="Arial"/>
                <w:b/>
                <w:bCs/>
                <w:sz w:val="20"/>
                <w:szCs w:val="20"/>
                <w:lang w:eastAsia="en-IN" w:bidi="hi-IN"/>
              </w:rPr>
              <w:t>0001</w:t>
            </w:r>
            <w:r w:rsidRPr="00AF701B">
              <w:rPr>
                <w:rFonts w:eastAsia="Arial"/>
                <w:b/>
                <w:bCs/>
                <w:sz w:val="20"/>
                <w:szCs w:val="20"/>
                <w:lang w:eastAsia="en-IN" w:bidi="hi-IN"/>
              </w:rPr>
              <w:t>, R</w:t>
            </w:r>
            <w:r w:rsidRPr="00553BC7">
              <w:rPr>
                <w:rFonts w:eastAsia="Arial"/>
                <w:b/>
                <w:bCs/>
                <w:sz w:val="20"/>
                <w:szCs w:val="20"/>
                <w:vertAlign w:val="superscript"/>
                <w:lang w:eastAsia="en-IN" w:bidi="hi-IN"/>
              </w:rPr>
              <w:t>2</w:t>
            </w:r>
            <w:r w:rsidRPr="00AF701B">
              <w:rPr>
                <w:rFonts w:eastAsia="Arial"/>
                <w:b/>
                <w:bCs/>
                <w:sz w:val="20"/>
                <w:szCs w:val="20"/>
                <w:lang w:eastAsia="en-IN" w:bidi="hi-IN"/>
              </w:rPr>
              <w:t>=</w:t>
            </w:r>
            <w:r>
              <w:rPr>
                <w:rFonts w:eastAsia="Arial"/>
                <w:b/>
                <w:bCs/>
                <w:sz w:val="20"/>
                <w:szCs w:val="20"/>
                <w:lang w:eastAsia="en-IN" w:bidi="hi-IN"/>
              </w:rPr>
              <w:t>5.34</w:t>
            </w:r>
            <w:r w:rsidRPr="00AF701B">
              <w:rPr>
                <w:rFonts w:eastAsia="Arial"/>
                <w:b/>
                <w:bCs/>
                <w:sz w:val="20"/>
                <w:szCs w:val="20"/>
                <w:lang w:eastAsia="en-IN" w:bidi="hi-IN"/>
              </w:rPr>
              <w:t xml:space="preserve">%, Residual </w:t>
            </w:r>
            <w:r w:rsidRPr="005A7B31">
              <w:rPr>
                <w:rFonts w:eastAsia="Arial"/>
                <w:b/>
                <w:bCs/>
                <w:sz w:val="20"/>
                <w:szCs w:val="20"/>
                <w:lang w:eastAsia="en-IN" w:bidi="hi-IN"/>
              </w:rPr>
              <w:t>I</w:t>
            </w:r>
            <w:r w:rsidRPr="005A7B31">
              <w:rPr>
                <w:rFonts w:eastAsia="Arial"/>
                <w:b/>
                <w:bCs/>
                <w:sz w:val="20"/>
                <w:szCs w:val="20"/>
                <w:vertAlign w:val="superscript"/>
                <w:lang w:eastAsia="en-IN" w:bidi="hi-IN"/>
              </w:rPr>
              <w:t>2</w:t>
            </w:r>
            <w:r>
              <w:rPr>
                <w:rFonts w:eastAsia="Arial"/>
                <w:b/>
                <w:bCs/>
                <w:sz w:val="20"/>
                <w:szCs w:val="20"/>
                <w:lang w:eastAsia="en-IN" w:bidi="hi-IN"/>
              </w:rPr>
              <w:t>=</w:t>
            </w:r>
            <w:r w:rsidRPr="005A7B31">
              <w:rPr>
                <w:rFonts w:eastAsia="Arial"/>
                <w:b/>
                <w:bCs/>
                <w:sz w:val="20"/>
                <w:szCs w:val="20"/>
                <w:lang w:eastAsia="en-IN" w:bidi="hi-IN"/>
              </w:rPr>
              <w:t>69</w:t>
            </w:r>
            <w:r>
              <w:rPr>
                <w:rFonts w:eastAsia="Arial"/>
                <w:b/>
                <w:bCs/>
                <w:sz w:val="20"/>
                <w:szCs w:val="20"/>
                <w:lang w:eastAsia="en-IN" w:bidi="hi-IN"/>
              </w:rPr>
              <w:t>.78</w:t>
            </w:r>
            <w:r w:rsidRPr="00AF701B">
              <w:rPr>
                <w:rFonts w:eastAsia="Arial"/>
                <w:b/>
                <w:bCs/>
                <w:sz w:val="20"/>
                <w:szCs w:val="20"/>
                <w:lang w:eastAsia="en-IN" w:bidi="hi-IN"/>
              </w:rPr>
              <w:t>%)</w:t>
            </w:r>
          </w:p>
        </w:tc>
      </w:tr>
      <w:tr w:rsidR="005A7B31" w14:paraId="5B7A99A8" w14:textId="77777777" w:rsidTr="00F72FC0">
        <w:tc>
          <w:tcPr>
            <w:tcW w:w="2122" w:type="dxa"/>
            <w:vAlign w:val="center"/>
          </w:tcPr>
          <w:p w14:paraId="08C090D7" w14:textId="096599C7" w:rsidR="005A7B31" w:rsidRPr="00274B66" w:rsidRDefault="005A7B31" w:rsidP="005A7B31">
            <w:pPr>
              <w:spacing w:before="40" w:after="40"/>
              <w:jc w:val="center"/>
              <w:rPr>
                <w:rFonts w:eastAsia="Arial"/>
                <w:b/>
                <w:bCs/>
                <w:sz w:val="20"/>
                <w:szCs w:val="20"/>
                <w:lang w:eastAsia="en-IN" w:bidi="hi-IN"/>
              </w:rPr>
            </w:pPr>
            <w:r w:rsidRPr="00274B66">
              <w:rPr>
                <w:rFonts w:eastAsia="Arial"/>
                <w:sz w:val="20"/>
                <w:szCs w:val="20"/>
                <w:lang w:eastAsia="en-IN" w:bidi="hi-IN"/>
              </w:rPr>
              <w:t>CHC</w:t>
            </w:r>
            <w:r>
              <w:rPr>
                <w:rFonts w:eastAsia="Arial"/>
                <w:sz w:val="20"/>
                <w:szCs w:val="20"/>
                <w:lang w:eastAsia="en-IN" w:bidi="hi-IN"/>
              </w:rPr>
              <w:t xml:space="preserve"> with cirrhosis</w:t>
            </w:r>
          </w:p>
        </w:tc>
        <w:tc>
          <w:tcPr>
            <w:tcW w:w="1836" w:type="dxa"/>
            <w:vAlign w:val="center"/>
          </w:tcPr>
          <w:p w14:paraId="5E814432" w14:textId="181D1C35" w:rsidR="005A7B31" w:rsidRPr="005A7B31" w:rsidRDefault="005A7B31" w:rsidP="00F72FC0">
            <w:pPr>
              <w:jc w:val="center"/>
              <w:rPr>
                <w:rFonts w:eastAsia="Arial"/>
                <w:sz w:val="20"/>
                <w:szCs w:val="20"/>
                <w:lang w:eastAsia="en-IN" w:bidi="hi-IN"/>
              </w:rPr>
            </w:pPr>
            <w:r w:rsidRPr="00274B66">
              <w:rPr>
                <w:rFonts w:eastAsia="Arial"/>
                <w:sz w:val="20"/>
                <w:szCs w:val="20"/>
                <w:lang w:eastAsia="en-IN" w:bidi="hi-IN"/>
              </w:rPr>
              <w:t>0.</w:t>
            </w:r>
            <w:r w:rsidR="00167AE6">
              <w:rPr>
                <w:rFonts w:eastAsia="Arial"/>
                <w:sz w:val="20"/>
                <w:szCs w:val="20"/>
                <w:lang w:eastAsia="en-IN" w:bidi="hi-IN"/>
              </w:rPr>
              <w:t>07</w:t>
            </w:r>
            <w:r w:rsidRPr="00274B66">
              <w:rPr>
                <w:rFonts w:eastAsia="Arial"/>
                <w:sz w:val="20"/>
                <w:szCs w:val="20"/>
                <w:lang w:eastAsia="en-IN" w:bidi="hi-IN"/>
              </w:rPr>
              <w:t xml:space="preserve"> (</w:t>
            </w:r>
            <w:r w:rsidR="00167AE6" w:rsidRPr="00167AE6">
              <w:rPr>
                <w:rFonts w:eastAsia="Arial"/>
                <w:sz w:val="20"/>
                <w:szCs w:val="20"/>
                <w:lang w:eastAsia="en-IN" w:bidi="hi-IN"/>
              </w:rPr>
              <w:t>−</w:t>
            </w:r>
            <w:r w:rsidRPr="00274B66">
              <w:rPr>
                <w:rFonts w:eastAsia="Arial"/>
                <w:sz w:val="20"/>
                <w:szCs w:val="20"/>
                <w:lang w:eastAsia="en-IN" w:bidi="hi-IN"/>
              </w:rPr>
              <w:t>0.</w:t>
            </w:r>
            <w:r w:rsidR="00167AE6">
              <w:rPr>
                <w:rFonts w:eastAsia="Arial"/>
                <w:sz w:val="20"/>
                <w:szCs w:val="20"/>
                <w:lang w:eastAsia="en-IN" w:bidi="hi-IN"/>
              </w:rPr>
              <w:t>09</w:t>
            </w:r>
            <w:r w:rsidRPr="00274B66">
              <w:rPr>
                <w:rFonts w:eastAsia="Arial"/>
                <w:sz w:val="20"/>
                <w:szCs w:val="20"/>
                <w:lang w:eastAsia="en-IN" w:bidi="hi-IN"/>
              </w:rPr>
              <w:t>, 0</w:t>
            </w:r>
            <w:r>
              <w:rPr>
                <w:rFonts w:eastAsia="Arial"/>
                <w:sz w:val="20"/>
                <w:szCs w:val="20"/>
                <w:lang w:eastAsia="en-IN" w:bidi="hi-IN"/>
              </w:rPr>
              <w:t>.</w:t>
            </w:r>
            <w:r w:rsidR="00167AE6">
              <w:rPr>
                <w:rFonts w:eastAsia="Arial"/>
                <w:sz w:val="20"/>
                <w:szCs w:val="20"/>
                <w:lang w:eastAsia="en-IN" w:bidi="hi-IN"/>
              </w:rPr>
              <w:t>24</w:t>
            </w:r>
            <w:r w:rsidRPr="00274B66">
              <w:rPr>
                <w:rFonts w:eastAsia="Arial"/>
                <w:sz w:val="20"/>
                <w:szCs w:val="20"/>
                <w:lang w:eastAsia="en-IN" w:bidi="hi-IN"/>
              </w:rPr>
              <w:t>)</w:t>
            </w:r>
          </w:p>
        </w:tc>
        <w:tc>
          <w:tcPr>
            <w:tcW w:w="709" w:type="dxa"/>
            <w:vAlign w:val="center"/>
          </w:tcPr>
          <w:p w14:paraId="202225EE" w14:textId="1D9AA2B1" w:rsidR="005A7B31" w:rsidRPr="005A7B31" w:rsidRDefault="005A7B31" w:rsidP="00F72FC0">
            <w:pPr>
              <w:jc w:val="center"/>
              <w:rPr>
                <w:rFonts w:eastAsia="Arial"/>
                <w:sz w:val="20"/>
                <w:szCs w:val="20"/>
                <w:lang w:eastAsia="en-IN" w:bidi="hi-IN"/>
              </w:rPr>
            </w:pPr>
            <w:r w:rsidRPr="00274B66">
              <w:rPr>
                <w:rFonts w:eastAsia="Arial"/>
                <w:sz w:val="20"/>
                <w:szCs w:val="20"/>
                <w:lang w:eastAsia="en-IN" w:bidi="hi-IN"/>
              </w:rPr>
              <w:t>0.</w:t>
            </w:r>
            <w:r>
              <w:rPr>
                <w:rFonts w:eastAsia="Arial"/>
                <w:sz w:val="20"/>
                <w:szCs w:val="20"/>
                <w:lang w:eastAsia="en-IN" w:bidi="hi-IN"/>
              </w:rPr>
              <w:t>0</w:t>
            </w:r>
            <w:r w:rsidR="00167AE6">
              <w:rPr>
                <w:rFonts w:eastAsia="Arial"/>
                <w:sz w:val="20"/>
                <w:szCs w:val="20"/>
                <w:lang w:eastAsia="en-IN" w:bidi="hi-IN"/>
              </w:rPr>
              <w:t>8</w:t>
            </w:r>
          </w:p>
        </w:tc>
        <w:tc>
          <w:tcPr>
            <w:tcW w:w="1029" w:type="dxa"/>
            <w:vAlign w:val="center"/>
          </w:tcPr>
          <w:p w14:paraId="5915E74A" w14:textId="1556433B" w:rsidR="005A7B31" w:rsidRPr="005A7B31" w:rsidRDefault="00167AE6" w:rsidP="00F72FC0">
            <w:pPr>
              <w:jc w:val="center"/>
              <w:rPr>
                <w:rFonts w:eastAsia="Arial"/>
                <w:sz w:val="20"/>
                <w:szCs w:val="20"/>
                <w:lang w:eastAsia="en-IN" w:bidi="hi-IN"/>
              </w:rPr>
            </w:pPr>
            <w:r>
              <w:rPr>
                <w:rFonts w:eastAsia="Arial"/>
                <w:sz w:val="20"/>
                <w:szCs w:val="20"/>
                <w:lang w:eastAsia="en-IN" w:bidi="hi-IN"/>
              </w:rPr>
              <w:t>0.844</w:t>
            </w:r>
          </w:p>
        </w:tc>
        <w:tc>
          <w:tcPr>
            <w:tcW w:w="1381" w:type="dxa"/>
            <w:vAlign w:val="center"/>
          </w:tcPr>
          <w:p w14:paraId="3856D4D4" w14:textId="0FCC8E4C" w:rsidR="005A7B31" w:rsidRPr="00167AE6" w:rsidRDefault="00167AE6" w:rsidP="00F72FC0">
            <w:pPr>
              <w:jc w:val="center"/>
              <w:rPr>
                <w:rFonts w:eastAsia="Arial"/>
                <w:sz w:val="20"/>
                <w:szCs w:val="20"/>
                <w:lang w:eastAsia="en-IN" w:bidi="hi-IN"/>
              </w:rPr>
            </w:pPr>
            <w:r w:rsidRPr="00167AE6">
              <w:rPr>
                <w:rFonts w:eastAsia="Arial"/>
                <w:sz w:val="20"/>
                <w:szCs w:val="20"/>
                <w:lang w:eastAsia="en-IN" w:bidi="hi-IN"/>
              </w:rPr>
              <w:t>0.398</w:t>
            </w:r>
          </w:p>
        </w:tc>
        <w:tc>
          <w:tcPr>
            <w:tcW w:w="992" w:type="dxa"/>
            <w:vAlign w:val="center"/>
          </w:tcPr>
          <w:p w14:paraId="762FA5C6" w14:textId="5447B526"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993" w:type="dxa"/>
            <w:vAlign w:val="center"/>
          </w:tcPr>
          <w:p w14:paraId="1CF79830" w14:textId="5DFD4C91"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1139" w:type="dxa"/>
            <w:vAlign w:val="center"/>
          </w:tcPr>
          <w:p w14:paraId="61963BA2" w14:textId="596F47BE"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r>
      <w:tr w:rsidR="005A7B31" w14:paraId="28654663" w14:textId="77777777" w:rsidTr="00F72FC0">
        <w:tc>
          <w:tcPr>
            <w:tcW w:w="2122" w:type="dxa"/>
            <w:vAlign w:val="center"/>
          </w:tcPr>
          <w:p w14:paraId="261FF036" w14:textId="504A018E" w:rsidR="005A7B31" w:rsidRPr="00274B66" w:rsidRDefault="005A7B31" w:rsidP="005A7B31">
            <w:pPr>
              <w:spacing w:before="40" w:after="40"/>
              <w:jc w:val="center"/>
              <w:rPr>
                <w:rFonts w:eastAsia="Arial"/>
                <w:sz w:val="20"/>
                <w:szCs w:val="20"/>
                <w:lang w:eastAsia="en-IN" w:bidi="hi-IN"/>
              </w:rPr>
            </w:pPr>
            <w:r>
              <w:rPr>
                <w:rFonts w:eastAsia="Arial"/>
                <w:sz w:val="20"/>
                <w:szCs w:val="20"/>
                <w:lang w:eastAsia="en-IN" w:bidi="hi-IN"/>
              </w:rPr>
              <w:t>CHC with fibrosis</w:t>
            </w:r>
          </w:p>
        </w:tc>
        <w:tc>
          <w:tcPr>
            <w:tcW w:w="1836" w:type="dxa"/>
            <w:vAlign w:val="center"/>
          </w:tcPr>
          <w:p w14:paraId="324F1565" w14:textId="32718BB2" w:rsidR="005A7B31" w:rsidRPr="00274B66" w:rsidRDefault="005A7B31" w:rsidP="00F72FC0">
            <w:pPr>
              <w:jc w:val="center"/>
              <w:rPr>
                <w:rFonts w:eastAsia="Arial"/>
                <w:sz w:val="20"/>
                <w:szCs w:val="20"/>
                <w:lang w:eastAsia="en-IN" w:bidi="hi-IN"/>
              </w:rPr>
            </w:pPr>
            <w:r>
              <w:rPr>
                <w:rFonts w:eastAsia="Arial"/>
                <w:sz w:val="20"/>
                <w:szCs w:val="20"/>
                <w:lang w:eastAsia="en-IN" w:bidi="hi-IN"/>
              </w:rPr>
              <w:t>0.</w:t>
            </w:r>
            <w:r w:rsidR="00167AE6">
              <w:rPr>
                <w:rFonts w:eastAsia="Arial"/>
                <w:sz w:val="20"/>
                <w:szCs w:val="20"/>
                <w:lang w:eastAsia="en-IN" w:bidi="hi-IN"/>
              </w:rPr>
              <w:t>25</w:t>
            </w:r>
            <w:r>
              <w:rPr>
                <w:rFonts w:eastAsia="Arial"/>
                <w:sz w:val="20"/>
                <w:szCs w:val="20"/>
                <w:lang w:eastAsia="en-IN" w:bidi="hi-IN"/>
              </w:rPr>
              <w:t xml:space="preserve"> (</w:t>
            </w:r>
            <w:r w:rsidR="00167AE6" w:rsidRPr="00167AE6">
              <w:rPr>
                <w:rFonts w:eastAsia="Arial"/>
                <w:sz w:val="20"/>
                <w:szCs w:val="20"/>
                <w:lang w:eastAsia="en-IN" w:bidi="hi-IN"/>
              </w:rPr>
              <w:t>−</w:t>
            </w:r>
            <w:r w:rsidR="00167AE6">
              <w:rPr>
                <w:rFonts w:eastAsia="Arial"/>
                <w:sz w:val="20"/>
                <w:szCs w:val="20"/>
                <w:lang w:eastAsia="en-IN" w:bidi="hi-IN"/>
              </w:rPr>
              <w:t>0.04,</w:t>
            </w:r>
            <w:r>
              <w:rPr>
                <w:rFonts w:eastAsia="Arial"/>
                <w:sz w:val="20"/>
                <w:szCs w:val="20"/>
                <w:lang w:eastAsia="en-IN" w:bidi="hi-IN"/>
              </w:rPr>
              <w:t xml:space="preserve"> 0.</w:t>
            </w:r>
            <w:r w:rsidR="00167AE6">
              <w:rPr>
                <w:rFonts w:eastAsia="Arial"/>
                <w:sz w:val="20"/>
                <w:szCs w:val="20"/>
                <w:lang w:eastAsia="en-IN" w:bidi="hi-IN"/>
              </w:rPr>
              <w:t>56</w:t>
            </w:r>
            <w:r>
              <w:rPr>
                <w:rFonts w:eastAsia="Arial"/>
                <w:sz w:val="20"/>
                <w:szCs w:val="20"/>
                <w:lang w:eastAsia="en-IN" w:bidi="hi-IN"/>
              </w:rPr>
              <w:t>)</w:t>
            </w:r>
          </w:p>
        </w:tc>
        <w:tc>
          <w:tcPr>
            <w:tcW w:w="709" w:type="dxa"/>
            <w:vAlign w:val="center"/>
          </w:tcPr>
          <w:p w14:paraId="1EF48C00" w14:textId="50601071" w:rsidR="005A7B31" w:rsidRPr="00274B66" w:rsidRDefault="005A7B31" w:rsidP="00F72FC0">
            <w:pPr>
              <w:jc w:val="center"/>
              <w:rPr>
                <w:rFonts w:eastAsia="Arial"/>
                <w:sz w:val="20"/>
                <w:szCs w:val="20"/>
                <w:lang w:eastAsia="en-IN" w:bidi="hi-IN"/>
              </w:rPr>
            </w:pPr>
            <w:r>
              <w:rPr>
                <w:rFonts w:eastAsia="Arial"/>
                <w:sz w:val="20"/>
                <w:szCs w:val="20"/>
                <w:lang w:eastAsia="en-IN" w:bidi="hi-IN"/>
              </w:rPr>
              <w:t>0.15</w:t>
            </w:r>
          </w:p>
        </w:tc>
        <w:tc>
          <w:tcPr>
            <w:tcW w:w="1029" w:type="dxa"/>
            <w:vAlign w:val="center"/>
          </w:tcPr>
          <w:p w14:paraId="26AB9A58" w14:textId="128D4A1E" w:rsidR="005A7B31" w:rsidRDefault="00167AE6" w:rsidP="00F72FC0">
            <w:pPr>
              <w:jc w:val="center"/>
              <w:rPr>
                <w:rFonts w:eastAsia="Arial"/>
                <w:sz w:val="20"/>
                <w:szCs w:val="20"/>
                <w:lang w:eastAsia="en-IN" w:bidi="hi-IN"/>
              </w:rPr>
            </w:pPr>
            <w:r>
              <w:rPr>
                <w:rFonts w:eastAsia="Arial"/>
                <w:sz w:val="20"/>
                <w:szCs w:val="20"/>
                <w:lang w:eastAsia="en-IN" w:bidi="hi-IN"/>
              </w:rPr>
              <w:t>1.655</w:t>
            </w:r>
          </w:p>
        </w:tc>
        <w:tc>
          <w:tcPr>
            <w:tcW w:w="1381" w:type="dxa"/>
            <w:vAlign w:val="center"/>
          </w:tcPr>
          <w:p w14:paraId="204CDA3E" w14:textId="6C8B54AC" w:rsidR="005A7B31" w:rsidRPr="00167AE6" w:rsidRDefault="00167AE6" w:rsidP="00F72FC0">
            <w:pPr>
              <w:jc w:val="center"/>
              <w:rPr>
                <w:rFonts w:eastAsia="Arial"/>
                <w:sz w:val="20"/>
                <w:szCs w:val="20"/>
                <w:lang w:eastAsia="en-IN" w:bidi="hi-IN"/>
              </w:rPr>
            </w:pPr>
            <w:r w:rsidRPr="00167AE6">
              <w:rPr>
                <w:rFonts w:eastAsia="Arial"/>
                <w:sz w:val="20"/>
                <w:szCs w:val="20"/>
                <w:lang w:eastAsia="en-IN" w:bidi="hi-IN"/>
              </w:rPr>
              <w:t>0.097</w:t>
            </w:r>
          </w:p>
        </w:tc>
        <w:tc>
          <w:tcPr>
            <w:tcW w:w="992" w:type="dxa"/>
            <w:vAlign w:val="center"/>
          </w:tcPr>
          <w:p w14:paraId="3F5D3FCF" w14:textId="114B2CDC"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993" w:type="dxa"/>
            <w:vAlign w:val="center"/>
          </w:tcPr>
          <w:p w14:paraId="7765C662" w14:textId="0C04C107"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1139" w:type="dxa"/>
            <w:vAlign w:val="center"/>
          </w:tcPr>
          <w:p w14:paraId="167883CE" w14:textId="2D6DD980"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r>
      <w:tr w:rsidR="005A7B31" w14:paraId="41F3B5E5" w14:textId="77777777" w:rsidTr="00F72FC0">
        <w:tc>
          <w:tcPr>
            <w:tcW w:w="2122" w:type="dxa"/>
            <w:vAlign w:val="center"/>
          </w:tcPr>
          <w:p w14:paraId="6B2A0441" w14:textId="3D95FD0A" w:rsidR="005A7B31" w:rsidRDefault="005A7B31" w:rsidP="005A7B31">
            <w:pPr>
              <w:spacing w:before="40" w:after="40"/>
              <w:jc w:val="center"/>
              <w:rPr>
                <w:rFonts w:eastAsia="Arial"/>
                <w:sz w:val="20"/>
                <w:szCs w:val="20"/>
                <w:lang w:eastAsia="en-IN" w:bidi="hi-IN"/>
              </w:rPr>
            </w:pPr>
            <w:r w:rsidRPr="00274B66">
              <w:rPr>
                <w:rFonts w:eastAsia="Arial"/>
                <w:sz w:val="20"/>
                <w:szCs w:val="20"/>
                <w:lang w:eastAsia="en-IN" w:bidi="hi-IN"/>
              </w:rPr>
              <w:t>HCV/HIV co-infection</w:t>
            </w:r>
          </w:p>
        </w:tc>
        <w:tc>
          <w:tcPr>
            <w:tcW w:w="1836" w:type="dxa"/>
            <w:vAlign w:val="center"/>
          </w:tcPr>
          <w:p w14:paraId="45F2192A" w14:textId="01688122" w:rsidR="005A7B31" w:rsidRDefault="00167AE6" w:rsidP="00F72FC0">
            <w:pPr>
              <w:jc w:val="center"/>
              <w:rPr>
                <w:rFonts w:eastAsia="Arial"/>
                <w:sz w:val="20"/>
                <w:szCs w:val="20"/>
                <w:lang w:eastAsia="en-IN" w:bidi="hi-IN"/>
              </w:rPr>
            </w:pPr>
            <w:r w:rsidRPr="00167AE6">
              <w:rPr>
                <w:rFonts w:eastAsia="Arial"/>
                <w:sz w:val="20"/>
                <w:szCs w:val="20"/>
                <w:lang w:eastAsia="en-IN" w:bidi="hi-IN"/>
              </w:rPr>
              <w:t>−</w:t>
            </w:r>
            <w:r w:rsidR="005A7B31" w:rsidRPr="00274B66">
              <w:rPr>
                <w:rFonts w:eastAsia="Arial"/>
                <w:sz w:val="20"/>
                <w:szCs w:val="20"/>
                <w:lang w:eastAsia="en-IN" w:bidi="hi-IN"/>
              </w:rPr>
              <w:t>0.</w:t>
            </w:r>
            <w:r>
              <w:rPr>
                <w:rFonts w:eastAsia="Arial"/>
                <w:sz w:val="20"/>
                <w:szCs w:val="20"/>
                <w:lang w:eastAsia="en-IN" w:bidi="hi-IN"/>
              </w:rPr>
              <w:t>04</w:t>
            </w:r>
            <w:r w:rsidR="005A7B31" w:rsidRPr="00274B66">
              <w:rPr>
                <w:rFonts w:eastAsia="Arial"/>
                <w:sz w:val="20"/>
                <w:szCs w:val="20"/>
                <w:lang w:eastAsia="en-IN" w:bidi="hi-IN"/>
              </w:rPr>
              <w:t xml:space="preserve"> (</w:t>
            </w:r>
            <w:r w:rsidRPr="00167AE6">
              <w:rPr>
                <w:rFonts w:eastAsia="Arial"/>
                <w:sz w:val="20"/>
                <w:szCs w:val="20"/>
                <w:lang w:eastAsia="en-IN" w:bidi="hi-IN"/>
              </w:rPr>
              <w:t>−</w:t>
            </w:r>
            <w:r>
              <w:rPr>
                <w:rFonts w:eastAsia="Arial"/>
                <w:sz w:val="20"/>
                <w:szCs w:val="20"/>
                <w:lang w:eastAsia="en-IN" w:bidi="hi-IN"/>
              </w:rPr>
              <w:t>0.23</w:t>
            </w:r>
            <w:r w:rsidR="005A7B31" w:rsidRPr="00274B66">
              <w:rPr>
                <w:rFonts w:eastAsia="Arial"/>
                <w:sz w:val="20"/>
                <w:szCs w:val="20"/>
                <w:lang w:eastAsia="en-IN" w:bidi="hi-IN"/>
              </w:rPr>
              <w:t>, 0.</w:t>
            </w:r>
            <w:r>
              <w:rPr>
                <w:rFonts w:eastAsia="Arial"/>
                <w:sz w:val="20"/>
                <w:szCs w:val="20"/>
                <w:lang w:eastAsia="en-IN" w:bidi="hi-IN"/>
              </w:rPr>
              <w:t>14</w:t>
            </w:r>
            <w:r w:rsidR="005A7B31" w:rsidRPr="00274B66">
              <w:rPr>
                <w:rFonts w:eastAsia="Arial"/>
                <w:sz w:val="20"/>
                <w:szCs w:val="20"/>
                <w:lang w:eastAsia="en-IN" w:bidi="hi-IN"/>
              </w:rPr>
              <w:t>)</w:t>
            </w:r>
          </w:p>
        </w:tc>
        <w:tc>
          <w:tcPr>
            <w:tcW w:w="709" w:type="dxa"/>
            <w:vAlign w:val="center"/>
          </w:tcPr>
          <w:p w14:paraId="73BC3B4B" w14:textId="45C0B587" w:rsidR="005A7B31" w:rsidRDefault="005A7B31" w:rsidP="00F72FC0">
            <w:pPr>
              <w:jc w:val="center"/>
              <w:rPr>
                <w:rFonts w:eastAsia="Arial"/>
                <w:sz w:val="20"/>
                <w:szCs w:val="20"/>
                <w:lang w:eastAsia="en-IN" w:bidi="hi-IN"/>
              </w:rPr>
            </w:pPr>
            <w:r w:rsidRPr="00274B66">
              <w:rPr>
                <w:rFonts w:eastAsia="Arial"/>
                <w:sz w:val="20"/>
                <w:szCs w:val="20"/>
                <w:lang w:eastAsia="en-IN" w:bidi="hi-IN"/>
              </w:rPr>
              <w:t>0.</w:t>
            </w:r>
            <w:r>
              <w:rPr>
                <w:rFonts w:eastAsia="Arial"/>
                <w:sz w:val="20"/>
                <w:szCs w:val="20"/>
                <w:lang w:eastAsia="en-IN" w:bidi="hi-IN"/>
              </w:rPr>
              <w:t>0</w:t>
            </w:r>
            <w:r w:rsidR="00167AE6">
              <w:rPr>
                <w:rFonts w:eastAsia="Arial"/>
                <w:sz w:val="20"/>
                <w:szCs w:val="20"/>
                <w:lang w:eastAsia="en-IN" w:bidi="hi-IN"/>
              </w:rPr>
              <w:t>9</w:t>
            </w:r>
          </w:p>
        </w:tc>
        <w:tc>
          <w:tcPr>
            <w:tcW w:w="1029" w:type="dxa"/>
            <w:vAlign w:val="center"/>
          </w:tcPr>
          <w:p w14:paraId="173BA0B0" w14:textId="57492D33" w:rsidR="005A7B31" w:rsidRDefault="00167AE6" w:rsidP="00F72FC0">
            <w:pPr>
              <w:jc w:val="center"/>
              <w:rPr>
                <w:rFonts w:eastAsia="Arial"/>
                <w:sz w:val="20"/>
                <w:szCs w:val="20"/>
                <w:lang w:eastAsia="en-IN" w:bidi="hi-IN"/>
              </w:rPr>
            </w:pPr>
            <w:r w:rsidRPr="00167AE6">
              <w:rPr>
                <w:rFonts w:eastAsia="Arial"/>
                <w:sz w:val="20"/>
                <w:szCs w:val="20"/>
                <w:lang w:eastAsia="en-IN" w:bidi="hi-IN"/>
              </w:rPr>
              <w:t>−</w:t>
            </w:r>
            <w:r>
              <w:rPr>
                <w:rFonts w:eastAsia="Arial"/>
                <w:sz w:val="20"/>
                <w:szCs w:val="20"/>
                <w:lang w:eastAsia="en-IN" w:bidi="hi-IN"/>
              </w:rPr>
              <w:t>0.463</w:t>
            </w:r>
          </w:p>
        </w:tc>
        <w:tc>
          <w:tcPr>
            <w:tcW w:w="1381" w:type="dxa"/>
            <w:vAlign w:val="center"/>
          </w:tcPr>
          <w:p w14:paraId="65903DE7" w14:textId="7E0BA815" w:rsidR="005A7B31" w:rsidRPr="00167AE6" w:rsidRDefault="00167AE6" w:rsidP="00F72FC0">
            <w:pPr>
              <w:jc w:val="center"/>
              <w:rPr>
                <w:rFonts w:eastAsia="Arial"/>
                <w:sz w:val="20"/>
                <w:szCs w:val="20"/>
                <w:lang w:eastAsia="en-IN" w:bidi="hi-IN"/>
              </w:rPr>
            </w:pPr>
            <w:r w:rsidRPr="00167AE6">
              <w:rPr>
                <w:rFonts w:eastAsia="Arial"/>
                <w:sz w:val="20"/>
                <w:szCs w:val="20"/>
                <w:lang w:eastAsia="en-IN" w:bidi="hi-IN"/>
              </w:rPr>
              <w:t>0.643</w:t>
            </w:r>
          </w:p>
        </w:tc>
        <w:tc>
          <w:tcPr>
            <w:tcW w:w="992" w:type="dxa"/>
            <w:vAlign w:val="center"/>
          </w:tcPr>
          <w:p w14:paraId="69A3A912" w14:textId="229AAC2D"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993" w:type="dxa"/>
            <w:vAlign w:val="center"/>
          </w:tcPr>
          <w:p w14:paraId="469A15CB" w14:textId="22CC0F18"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c>
          <w:tcPr>
            <w:tcW w:w="1139" w:type="dxa"/>
            <w:vAlign w:val="center"/>
          </w:tcPr>
          <w:p w14:paraId="2042E90F" w14:textId="096BCFE8" w:rsidR="005A7B31" w:rsidRPr="00274B66" w:rsidRDefault="005A7B31" w:rsidP="00F72FC0">
            <w:pPr>
              <w:jc w:val="center"/>
              <w:rPr>
                <w:rFonts w:eastAsia="Arial"/>
                <w:sz w:val="20"/>
                <w:szCs w:val="20"/>
                <w:lang w:eastAsia="en-IN" w:bidi="hi-IN"/>
              </w:rPr>
            </w:pPr>
            <w:r w:rsidRPr="00274B66">
              <w:rPr>
                <w:rFonts w:eastAsia="Arial"/>
                <w:sz w:val="20"/>
                <w:szCs w:val="20"/>
                <w:lang w:eastAsia="en-IN" w:bidi="hi-IN"/>
              </w:rPr>
              <w:t>—</w:t>
            </w:r>
          </w:p>
        </w:tc>
      </w:tr>
      <w:tr w:rsidR="005A7B31" w14:paraId="290177A9" w14:textId="77777777" w:rsidTr="00F72FC0">
        <w:tc>
          <w:tcPr>
            <w:tcW w:w="10201" w:type="dxa"/>
            <w:gridSpan w:val="8"/>
            <w:vAlign w:val="center"/>
          </w:tcPr>
          <w:p w14:paraId="58860883" w14:textId="4182890F" w:rsidR="005A7B31" w:rsidRPr="00274B66" w:rsidRDefault="005A7B31" w:rsidP="005A7B31">
            <w:pPr>
              <w:rPr>
                <w:rFonts w:eastAsia="Arial"/>
                <w:sz w:val="20"/>
                <w:szCs w:val="20"/>
                <w:lang w:eastAsia="en-IN" w:bidi="hi-IN"/>
              </w:rPr>
            </w:pPr>
            <w:r w:rsidRPr="00274B66">
              <w:rPr>
                <w:rFonts w:eastAsia="Arial"/>
                <w:b/>
                <w:bCs/>
                <w:sz w:val="20"/>
                <w:szCs w:val="20"/>
                <w:lang w:eastAsia="en-IN" w:bidi="hi-IN"/>
              </w:rPr>
              <w:lastRenderedPageBreak/>
              <w:t>Continuous Moderators</w:t>
            </w:r>
          </w:p>
        </w:tc>
      </w:tr>
      <w:tr w:rsidR="005A7B31" w14:paraId="6901BDB1" w14:textId="77777777" w:rsidTr="00F72FC0">
        <w:tc>
          <w:tcPr>
            <w:tcW w:w="2122" w:type="dxa"/>
            <w:vAlign w:val="center"/>
          </w:tcPr>
          <w:p w14:paraId="02D70DDD" w14:textId="77777777" w:rsidR="005A7B31" w:rsidRDefault="005A7B31" w:rsidP="005A7B31">
            <w:pPr>
              <w:spacing w:before="40" w:after="40"/>
              <w:jc w:val="center"/>
              <w:rPr>
                <w:rFonts w:eastAsia="Arial"/>
                <w:sz w:val="20"/>
                <w:szCs w:val="20"/>
                <w:lang w:eastAsia="en-IN" w:bidi="hi-IN"/>
              </w:rPr>
            </w:pPr>
            <w:r w:rsidRPr="00274B66">
              <w:rPr>
                <w:rFonts w:eastAsia="Arial"/>
                <w:sz w:val="20"/>
                <w:szCs w:val="20"/>
                <w:lang w:eastAsia="en-IN" w:bidi="hi-IN"/>
              </w:rPr>
              <w:t>Year of study</w:t>
            </w:r>
          </w:p>
          <w:p w14:paraId="5F9B308B" w14:textId="0F3B939B" w:rsidR="005A7B31" w:rsidRPr="00274B66" w:rsidRDefault="005A7B31" w:rsidP="005A7B31">
            <w:pPr>
              <w:spacing w:before="40" w:after="40"/>
              <w:jc w:val="center"/>
              <w:rPr>
                <w:rFonts w:eastAsia="Arial"/>
                <w:b/>
                <w:bCs/>
                <w:sz w:val="20"/>
                <w:szCs w:val="20"/>
                <w:lang w:eastAsia="en-IN" w:bidi="hi-IN"/>
              </w:rPr>
            </w:pPr>
            <w:r>
              <w:rPr>
                <w:rFonts w:eastAsia="Arial"/>
                <w:sz w:val="20"/>
                <w:szCs w:val="20"/>
                <w:lang w:eastAsia="en-IN" w:bidi="hi-IN"/>
              </w:rPr>
              <w:t>(n=14)</w:t>
            </w:r>
          </w:p>
        </w:tc>
        <w:tc>
          <w:tcPr>
            <w:tcW w:w="1836" w:type="dxa"/>
            <w:vAlign w:val="center"/>
          </w:tcPr>
          <w:p w14:paraId="5FA2200F" w14:textId="7B9A5D40" w:rsidR="005A7B31" w:rsidRPr="00274B66" w:rsidRDefault="005A7B31" w:rsidP="00F72FC0">
            <w:pPr>
              <w:jc w:val="center"/>
              <w:rPr>
                <w:rFonts w:eastAsia="Arial"/>
                <w:sz w:val="20"/>
                <w:szCs w:val="20"/>
                <w:lang w:eastAsia="en-IN" w:bidi="hi-IN"/>
              </w:rPr>
            </w:pPr>
            <w:r w:rsidRPr="005A7B31">
              <w:rPr>
                <w:rFonts w:eastAsia="Arial"/>
                <w:sz w:val="20"/>
                <w:szCs w:val="20"/>
                <w:lang w:eastAsia="en-IN" w:bidi="hi-IN"/>
              </w:rPr>
              <w:t>-0.01 (-0.04, 0.01)</w:t>
            </w:r>
          </w:p>
        </w:tc>
        <w:tc>
          <w:tcPr>
            <w:tcW w:w="709" w:type="dxa"/>
            <w:vAlign w:val="center"/>
          </w:tcPr>
          <w:p w14:paraId="69B4B7F0" w14:textId="6BF85D14" w:rsidR="005A7B31" w:rsidRPr="00274B66" w:rsidRDefault="005A7B31" w:rsidP="00F72FC0">
            <w:pPr>
              <w:jc w:val="center"/>
              <w:rPr>
                <w:rFonts w:eastAsia="Arial"/>
                <w:sz w:val="20"/>
                <w:szCs w:val="20"/>
                <w:lang w:eastAsia="en-IN" w:bidi="hi-IN"/>
              </w:rPr>
            </w:pPr>
            <w:r w:rsidRPr="005A7B31">
              <w:rPr>
                <w:rFonts w:eastAsia="Arial"/>
                <w:sz w:val="20"/>
                <w:szCs w:val="20"/>
                <w:lang w:eastAsia="en-IN" w:bidi="hi-IN"/>
              </w:rPr>
              <w:t>0.015</w:t>
            </w:r>
          </w:p>
        </w:tc>
        <w:tc>
          <w:tcPr>
            <w:tcW w:w="1029" w:type="dxa"/>
            <w:vAlign w:val="center"/>
          </w:tcPr>
          <w:p w14:paraId="55015FE2" w14:textId="3217B9C8" w:rsidR="005A7B31" w:rsidRDefault="005A7B31" w:rsidP="00F72FC0">
            <w:pPr>
              <w:jc w:val="center"/>
              <w:rPr>
                <w:rFonts w:eastAsia="Arial"/>
                <w:sz w:val="20"/>
                <w:szCs w:val="20"/>
                <w:lang w:eastAsia="en-IN" w:bidi="hi-IN"/>
              </w:rPr>
            </w:pPr>
            <w:r w:rsidRPr="005A7B31">
              <w:rPr>
                <w:rFonts w:eastAsia="Arial"/>
                <w:sz w:val="20"/>
                <w:szCs w:val="20"/>
                <w:lang w:eastAsia="en-IN" w:bidi="hi-IN"/>
              </w:rPr>
              <w:t>-0.95</w:t>
            </w:r>
          </w:p>
        </w:tc>
        <w:tc>
          <w:tcPr>
            <w:tcW w:w="1381" w:type="dxa"/>
            <w:vAlign w:val="center"/>
          </w:tcPr>
          <w:p w14:paraId="30C837F2" w14:textId="533F0EB0" w:rsidR="005A7B31" w:rsidRPr="00553BC7" w:rsidRDefault="005A7B31" w:rsidP="00F72FC0">
            <w:pPr>
              <w:jc w:val="center"/>
              <w:rPr>
                <w:rFonts w:eastAsia="Arial"/>
                <w:b/>
                <w:bCs/>
                <w:sz w:val="20"/>
                <w:szCs w:val="20"/>
                <w:lang w:eastAsia="en-IN" w:bidi="hi-IN"/>
              </w:rPr>
            </w:pPr>
            <w:r>
              <w:rPr>
                <w:rFonts w:eastAsia="Arial"/>
                <w:sz w:val="20"/>
                <w:szCs w:val="20"/>
                <w:lang w:eastAsia="en-IN" w:bidi="hi-IN"/>
              </w:rPr>
              <w:t>0</w:t>
            </w:r>
            <w:r w:rsidRPr="005A7B31">
              <w:rPr>
                <w:rFonts w:eastAsia="Arial"/>
                <w:sz w:val="20"/>
                <w:szCs w:val="20"/>
                <w:lang w:eastAsia="en-IN" w:bidi="hi-IN"/>
              </w:rPr>
              <w:t>.3422</w:t>
            </w:r>
          </w:p>
        </w:tc>
        <w:tc>
          <w:tcPr>
            <w:tcW w:w="992" w:type="dxa"/>
            <w:vAlign w:val="center"/>
          </w:tcPr>
          <w:p w14:paraId="0C170666" w14:textId="2F88E4EF" w:rsidR="005A7B31" w:rsidRPr="00274B66" w:rsidRDefault="005A7B31" w:rsidP="00F72FC0">
            <w:pPr>
              <w:jc w:val="center"/>
              <w:rPr>
                <w:rFonts w:eastAsia="Arial"/>
                <w:sz w:val="20"/>
                <w:szCs w:val="20"/>
                <w:lang w:eastAsia="en-IN" w:bidi="hi-IN"/>
              </w:rPr>
            </w:pPr>
            <w:r w:rsidRPr="005B4228">
              <w:rPr>
                <w:rFonts w:eastAsia="Arial"/>
                <w:sz w:val="20"/>
                <w:szCs w:val="20"/>
                <w:lang w:eastAsia="en-IN" w:bidi="hi-IN"/>
              </w:rPr>
              <w:t>0.9</w:t>
            </w:r>
            <w:r w:rsidR="001E59BD">
              <w:rPr>
                <w:rFonts w:eastAsia="Arial"/>
                <w:sz w:val="20"/>
                <w:szCs w:val="20"/>
                <w:lang w:eastAsia="en-IN" w:bidi="hi-IN"/>
              </w:rPr>
              <w:t xml:space="preserve"> (1)</w:t>
            </w:r>
          </w:p>
        </w:tc>
        <w:tc>
          <w:tcPr>
            <w:tcW w:w="993" w:type="dxa"/>
            <w:vAlign w:val="center"/>
          </w:tcPr>
          <w:p w14:paraId="6A5D3578" w14:textId="2802E818" w:rsidR="005A7B31" w:rsidRPr="00274B66" w:rsidRDefault="005A7B31" w:rsidP="00F72FC0">
            <w:pPr>
              <w:jc w:val="center"/>
              <w:rPr>
                <w:rFonts w:eastAsia="Arial"/>
                <w:sz w:val="20"/>
                <w:szCs w:val="20"/>
                <w:lang w:eastAsia="en-IN" w:bidi="hi-IN"/>
              </w:rPr>
            </w:pPr>
            <w:r w:rsidRPr="005B4228">
              <w:rPr>
                <w:rFonts w:eastAsia="Arial"/>
                <w:sz w:val="20"/>
                <w:szCs w:val="20"/>
                <w:lang w:eastAsia="en-IN" w:bidi="hi-IN"/>
              </w:rPr>
              <w:t>0.847</w:t>
            </w:r>
          </w:p>
        </w:tc>
        <w:tc>
          <w:tcPr>
            <w:tcW w:w="1139" w:type="dxa"/>
            <w:vAlign w:val="center"/>
          </w:tcPr>
          <w:p w14:paraId="14D92233" w14:textId="31C382C9" w:rsidR="005A7B31" w:rsidRPr="00274B66" w:rsidRDefault="001E59BD" w:rsidP="00F72FC0">
            <w:pPr>
              <w:jc w:val="center"/>
              <w:rPr>
                <w:rFonts w:eastAsia="Arial"/>
                <w:sz w:val="20"/>
                <w:szCs w:val="20"/>
                <w:lang w:eastAsia="en-IN" w:bidi="hi-IN"/>
              </w:rPr>
            </w:pPr>
            <w:r>
              <w:rPr>
                <w:rFonts w:eastAsia="Arial"/>
                <w:sz w:val="20"/>
                <w:szCs w:val="20"/>
                <w:lang w:eastAsia="en-IN" w:bidi="hi-IN"/>
              </w:rPr>
              <w:t>4.27</w:t>
            </w:r>
            <w:r w:rsidR="005A7B31" w:rsidRPr="00274B66">
              <w:rPr>
                <w:rFonts w:eastAsia="Arial"/>
                <w:sz w:val="20"/>
                <w:szCs w:val="20"/>
                <w:lang w:eastAsia="en-IN" w:bidi="hi-IN"/>
              </w:rPr>
              <w:t>%</w:t>
            </w:r>
          </w:p>
        </w:tc>
      </w:tr>
      <w:tr w:rsidR="001E59BD" w14:paraId="3698C8AD" w14:textId="77777777" w:rsidTr="00F72FC0">
        <w:tc>
          <w:tcPr>
            <w:tcW w:w="2122" w:type="dxa"/>
            <w:vAlign w:val="center"/>
          </w:tcPr>
          <w:p w14:paraId="1E575450" w14:textId="77777777" w:rsidR="001E59BD" w:rsidRDefault="001E59BD" w:rsidP="001E59BD">
            <w:pPr>
              <w:spacing w:before="40" w:after="40"/>
              <w:jc w:val="center"/>
              <w:rPr>
                <w:rFonts w:eastAsia="Arial"/>
                <w:sz w:val="20"/>
                <w:szCs w:val="20"/>
                <w:lang w:eastAsia="en-IN" w:bidi="hi-IN"/>
              </w:rPr>
            </w:pPr>
            <w:r w:rsidRPr="00274B66">
              <w:rPr>
                <w:rFonts w:eastAsia="Arial"/>
                <w:sz w:val="20"/>
                <w:szCs w:val="20"/>
                <w:lang w:eastAsia="en-IN" w:bidi="hi-IN"/>
              </w:rPr>
              <w:t>Baseline ALT (U/L)</w:t>
            </w:r>
          </w:p>
          <w:p w14:paraId="116DD779" w14:textId="174A5523" w:rsidR="001E59BD" w:rsidRPr="00274B66" w:rsidRDefault="001E59BD" w:rsidP="001E59BD">
            <w:pPr>
              <w:spacing w:before="40" w:after="40"/>
              <w:jc w:val="center"/>
              <w:rPr>
                <w:rFonts w:eastAsia="Arial"/>
                <w:sz w:val="20"/>
                <w:szCs w:val="20"/>
                <w:lang w:eastAsia="en-IN" w:bidi="hi-IN"/>
              </w:rPr>
            </w:pPr>
            <w:r>
              <w:rPr>
                <w:rFonts w:eastAsia="Arial"/>
                <w:sz w:val="20"/>
                <w:szCs w:val="20"/>
                <w:lang w:eastAsia="en-IN" w:bidi="hi-IN"/>
              </w:rPr>
              <w:t>(k=3)</w:t>
            </w:r>
          </w:p>
        </w:tc>
        <w:tc>
          <w:tcPr>
            <w:tcW w:w="1836" w:type="dxa"/>
            <w:vAlign w:val="center"/>
          </w:tcPr>
          <w:p w14:paraId="3DEFF23B" w14:textId="72710DFD" w:rsidR="001E59BD" w:rsidRPr="005A7B31" w:rsidRDefault="001E59BD" w:rsidP="00F72FC0">
            <w:pPr>
              <w:jc w:val="center"/>
              <w:rPr>
                <w:rFonts w:eastAsia="Arial"/>
                <w:sz w:val="20"/>
                <w:szCs w:val="20"/>
                <w:lang w:eastAsia="en-IN" w:bidi="hi-IN"/>
              </w:rPr>
            </w:pPr>
            <w:r w:rsidRPr="001E59BD">
              <w:rPr>
                <w:rFonts w:eastAsia="Arial"/>
                <w:sz w:val="20"/>
                <w:szCs w:val="20"/>
                <w:lang w:eastAsia="en-IN" w:bidi="hi-IN"/>
              </w:rPr>
              <w:t>0.01 (0.002, 0.02)</w:t>
            </w:r>
          </w:p>
        </w:tc>
        <w:tc>
          <w:tcPr>
            <w:tcW w:w="709" w:type="dxa"/>
            <w:vAlign w:val="center"/>
          </w:tcPr>
          <w:p w14:paraId="392CA0E5" w14:textId="101B5C1D" w:rsidR="001E59BD" w:rsidRPr="005A7B31" w:rsidRDefault="001E59BD" w:rsidP="00F72FC0">
            <w:pPr>
              <w:jc w:val="center"/>
              <w:rPr>
                <w:rFonts w:eastAsia="Arial"/>
                <w:sz w:val="20"/>
                <w:szCs w:val="20"/>
                <w:lang w:eastAsia="en-IN" w:bidi="hi-IN"/>
              </w:rPr>
            </w:pPr>
            <w:r w:rsidRPr="001E59BD">
              <w:rPr>
                <w:rFonts w:eastAsia="Arial"/>
                <w:sz w:val="20"/>
                <w:szCs w:val="20"/>
                <w:lang w:eastAsia="en-IN" w:bidi="hi-IN"/>
              </w:rPr>
              <w:t>0.004</w:t>
            </w:r>
          </w:p>
        </w:tc>
        <w:tc>
          <w:tcPr>
            <w:tcW w:w="1029" w:type="dxa"/>
            <w:vAlign w:val="center"/>
          </w:tcPr>
          <w:p w14:paraId="00253468" w14:textId="2420853B" w:rsidR="001E59BD" w:rsidRPr="005A7B31" w:rsidRDefault="001E59BD" w:rsidP="00F72FC0">
            <w:pPr>
              <w:jc w:val="center"/>
              <w:rPr>
                <w:rFonts w:eastAsia="Arial"/>
                <w:sz w:val="20"/>
                <w:szCs w:val="20"/>
                <w:lang w:eastAsia="en-IN" w:bidi="hi-IN"/>
              </w:rPr>
            </w:pPr>
            <w:r w:rsidRPr="001E59BD">
              <w:rPr>
                <w:rFonts w:eastAsia="Arial"/>
                <w:sz w:val="20"/>
                <w:szCs w:val="20"/>
                <w:lang w:eastAsia="en-IN" w:bidi="hi-IN"/>
              </w:rPr>
              <w:t>2.57</w:t>
            </w:r>
          </w:p>
        </w:tc>
        <w:tc>
          <w:tcPr>
            <w:tcW w:w="1381" w:type="dxa"/>
            <w:vAlign w:val="center"/>
          </w:tcPr>
          <w:p w14:paraId="2E582AA3" w14:textId="0EA3DEC3" w:rsidR="001E59BD" w:rsidRPr="00167AE6" w:rsidRDefault="001E59BD" w:rsidP="00F72FC0">
            <w:pPr>
              <w:jc w:val="center"/>
              <w:rPr>
                <w:rFonts w:eastAsia="Arial"/>
                <w:sz w:val="20"/>
                <w:szCs w:val="20"/>
                <w:lang w:eastAsia="en-IN" w:bidi="hi-IN"/>
              </w:rPr>
            </w:pPr>
            <w:r w:rsidRPr="00167AE6">
              <w:rPr>
                <w:rFonts w:eastAsia="Arial"/>
                <w:sz w:val="20"/>
                <w:szCs w:val="20"/>
                <w:lang w:eastAsia="en-IN" w:bidi="hi-IN"/>
              </w:rPr>
              <w:t>0.0102</w:t>
            </w:r>
          </w:p>
        </w:tc>
        <w:tc>
          <w:tcPr>
            <w:tcW w:w="992" w:type="dxa"/>
            <w:vAlign w:val="center"/>
          </w:tcPr>
          <w:p w14:paraId="0768732E" w14:textId="3FA58667" w:rsidR="001E59BD" w:rsidRPr="00274B66" w:rsidRDefault="001E59BD" w:rsidP="00F72FC0">
            <w:pPr>
              <w:jc w:val="center"/>
              <w:rPr>
                <w:rFonts w:eastAsia="Arial"/>
                <w:sz w:val="20"/>
                <w:szCs w:val="20"/>
                <w:lang w:eastAsia="en-IN" w:bidi="hi-IN"/>
              </w:rPr>
            </w:pPr>
            <w:r>
              <w:rPr>
                <w:rFonts w:eastAsia="Arial"/>
                <w:sz w:val="20"/>
                <w:szCs w:val="20"/>
                <w:lang w:eastAsia="en-IN" w:bidi="hi-IN"/>
              </w:rPr>
              <w:t>6.591</w:t>
            </w:r>
            <w:r w:rsidRPr="001E59BD">
              <w:rPr>
                <w:rFonts w:eastAsia="Arial"/>
                <w:sz w:val="20"/>
                <w:szCs w:val="20"/>
                <w:lang w:eastAsia="en-IN" w:bidi="hi-IN"/>
              </w:rPr>
              <w:t xml:space="preserve"> (1)</w:t>
            </w:r>
          </w:p>
        </w:tc>
        <w:tc>
          <w:tcPr>
            <w:tcW w:w="993" w:type="dxa"/>
            <w:vAlign w:val="center"/>
          </w:tcPr>
          <w:p w14:paraId="4D1763E8" w14:textId="4C21F3A9" w:rsidR="001E59BD" w:rsidRPr="005B4228" w:rsidRDefault="001E59BD" w:rsidP="00F72FC0">
            <w:pPr>
              <w:jc w:val="center"/>
              <w:rPr>
                <w:rFonts w:eastAsia="Arial"/>
                <w:sz w:val="20"/>
                <w:szCs w:val="20"/>
                <w:lang w:eastAsia="en-IN" w:bidi="hi-IN"/>
              </w:rPr>
            </w:pPr>
            <w:r>
              <w:rPr>
                <w:rFonts w:eastAsia="Arial"/>
                <w:sz w:val="20"/>
                <w:szCs w:val="20"/>
                <w:lang w:eastAsia="en-IN" w:bidi="hi-IN"/>
              </w:rPr>
              <w:t>0</w:t>
            </w:r>
            <w:r w:rsidRPr="001E59BD">
              <w:rPr>
                <w:rFonts w:eastAsia="Arial"/>
                <w:sz w:val="20"/>
                <w:szCs w:val="20"/>
                <w:lang w:eastAsia="en-IN" w:bidi="hi-IN"/>
              </w:rPr>
              <w:t>.0102</w:t>
            </w:r>
          </w:p>
        </w:tc>
        <w:tc>
          <w:tcPr>
            <w:tcW w:w="1139" w:type="dxa"/>
            <w:vAlign w:val="center"/>
          </w:tcPr>
          <w:p w14:paraId="15609DF7" w14:textId="13DFE847" w:rsidR="001E59BD" w:rsidRPr="00274B66" w:rsidRDefault="001E59BD" w:rsidP="00F72FC0">
            <w:pPr>
              <w:jc w:val="center"/>
              <w:rPr>
                <w:rFonts w:eastAsia="Arial"/>
                <w:sz w:val="20"/>
                <w:szCs w:val="20"/>
                <w:lang w:eastAsia="en-IN" w:bidi="hi-IN"/>
              </w:rPr>
            </w:pPr>
            <w:r>
              <w:rPr>
                <w:rFonts w:eastAsia="Arial"/>
                <w:sz w:val="20"/>
                <w:szCs w:val="20"/>
                <w:lang w:eastAsia="en-IN" w:bidi="hi-IN"/>
              </w:rPr>
              <w:t>10</w:t>
            </w:r>
            <w:r w:rsidRPr="00274B66">
              <w:rPr>
                <w:rFonts w:eastAsia="Arial"/>
                <w:sz w:val="20"/>
                <w:szCs w:val="20"/>
                <w:lang w:eastAsia="en-IN" w:bidi="hi-IN"/>
              </w:rPr>
              <w:t>0.00%</w:t>
            </w:r>
          </w:p>
        </w:tc>
      </w:tr>
      <w:tr w:rsidR="001E59BD" w14:paraId="0E631D5E" w14:textId="77777777" w:rsidTr="00F72FC0">
        <w:tc>
          <w:tcPr>
            <w:tcW w:w="2122" w:type="dxa"/>
            <w:vAlign w:val="center"/>
          </w:tcPr>
          <w:p w14:paraId="0B6A4EA8" w14:textId="77777777" w:rsidR="001E59BD" w:rsidRDefault="001E59BD" w:rsidP="001E59BD">
            <w:pPr>
              <w:spacing w:before="40" w:after="40"/>
              <w:jc w:val="center"/>
              <w:rPr>
                <w:rFonts w:eastAsia="Arial"/>
                <w:sz w:val="20"/>
                <w:szCs w:val="20"/>
                <w:lang w:eastAsia="en-IN" w:bidi="hi-IN"/>
              </w:rPr>
            </w:pPr>
            <w:r w:rsidRPr="00274B66">
              <w:rPr>
                <w:rFonts w:eastAsia="Arial"/>
                <w:sz w:val="20"/>
                <w:szCs w:val="20"/>
                <w:lang w:eastAsia="en-IN" w:bidi="hi-IN"/>
              </w:rPr>
              <w:t>Mean age (years)</w:t>
            </w:r>
          </w:p>
          <w:p w14:paraId="7F57A2A9" w14:textId="08583CA8" w:rsidR="001E59BD" w:rsidRPr="00274B66" w:rsidRDefault="001E59BD" w:rsidP="001E59BD">
            <w:pPr>
              <w:spacing w:before="40" w:after="40"/>
              <w:jc w:val="center"/>
              <w:rPr>
                <w:rFonts w:eastAsia="Arial"/>
                <w:sz w:val="20"/>
                <w:szCs w:val="20"/>
                <w:lang w:eastAsia="en-IN" w:bidi="hi-IN"/>
              </w:rPr>
            </w:pPr>
            <w:r>
              <w:rPr>
                <w:rFonts w:eastAsia="Arial"/>
                <w:sz w:val="20"/>
                <w:szCs w:val="20"/>
                <w:lang w:eastAsia="en-IN" w:bidi="hi-IN"/>
              </w:rPr>
              <w:t>(k=12)</w:t>
            </w:r>
          </w:p>
        </w:tc>
        <w:tc>
          <w:tcPr>
            <w:tcW w:w="1836" w:type="dxa"/>
            <w:vAlign w:val="center"/>
          </w:tcPr>
          <w:p w14:paraId="60083A55" w14:textId="341C2741" w:rsidR="001E59BD" w:rsidRPr="00274B66" w:rsidRDefault="001E59BD" w:rsidP="00F72FC0">
            <w:pPr>
              <w:jc w:val="center"/>
              <w:rPr>
                <w:rFonts w:eastAsia="Arial"/>
                <w:sz w:val="20"/>
                <w:szCs w:val="20"/>
                <w:lang w:eastAsia="en-IN" w:bidi="hi-IN"/>
              </w:rPr>
            </w:pPr>
            <w:r w:rsidRPr="001E59BD">
              <w:rPr>
                <w:rFonts w:eastAsia="Arial"/>
                <w:sz w:val="20"/>
                <w:szCs w:val="20"/>
                <w:lang w:eastAsia="en-IN" w:bidi="hi-IN"/>
              </w:rPr>
              <w:t>0.00</w:t>
            </w:r>
            <w:r>
              <w:rPr>
                <w:rFonts w:eastAsia="Arial"/>
                <w:sz w:val="20"/>
                <w:szCs w:val="20"/>
                <w:lang w:eastAsia="en-IN" w:bidi="hi-IN"/>
              </w:rPr>
              <w:t>3</w:t>
            </w:r>
            <w:r w:rsidRPr="001E59BD">
              <w:rPr>
                <w:rFonts w:eastAsia="Arial"/>
                <w:sz w:val="20"/>
                <w:szCs w:val="20"/>
                <w:lang w:eastAsia="en-IN" w:bidi="hi-IN"/>
              </w:rPr>
              <w:t xml:space="preserve"> (-0.01, 0.01)</w:t>
            </w:r>
          </w:p>
        </w:tc>
        <w:tc>
          <w:tcPr>
            <w:tcW w:w="709" w:type="dxa"/>
            <w:vAlign w:val="center"/>
          </w:tcPr>
          <w:p w14:paraId="36B2C258" w14:textId="163B897E" w:rsidR="001E59BD" w:rsidRPr="00274B66" w:rsidRDefault="001E59BD" w:rsidP="00F72FC0">
            <w:pPr>
              <w:jc w:val="center"/>
              <w:rPr>
                <w:rFonts w:eastAsia="Arial"/>
                <w:sz w:val="20"/>
                <w:szCs w:val="20"/>
                <w:lang w:eastAsia="en-IN" w:bidi="hi-IN"/>
              </w:rPr>
            </w:pPr>
            <w:r w:rsidRPr="001E59BD">
              <w:rPr>
                <w:rFonts w:eastAsia="Arial"/>
                <w:sz w:val="20"/>
                <w:szCs w:val="20"/>
                <w:lang w:eastAsia="en-IN" w:bidi="hi-IN"/>
              </w:rPr>
              <w:t>0.004</w:t>
            </w:r>
          </w:p>
        </w:tc>
        <w:tc>
          <w:tcPr>
            <w:tcW w:w="1029" w:type="dxa"/>
            <w:vAlign w:val="center"/>
          </w:tcPr>
          <w:p w14:paraId="02D6804A" w14:textId="0516595B" w:rsidR="001E59BD" w:rsidRDefault="001E59BD" w:rsidP="00F72FC0">
            <w:pPr>
              <w:jc w:val="center"/>
              <w:rPr>
                <w:rFonts w:eastAsia="Arial"/>
                <w:sz w:val="20"/>
                <w:szCs w:val="20"/>
                <w:lang w:eastAsia="en-IN" w:bidi="hi-IN"/>
              </w:rPr>
            </w:pPr>
            <w:r w:rsidRPr="001E59BD">
              <w:rPr>
                <w:rFonts w:eastAsia="Arial"/>
                <w:sz w:val="20"/>
                <w:szCs w:val="20"/>
                <w:lang w:eastAsia="en-IN" w:bidi="hi-IN"/>
              </w:rPr>
              <w:t>0.70</w:t>
            </w:r>
          </w:p>
        </w:tc>
        <w:tc>
          <w:tcPr>
            <w:tcW w:w="1381" w:type="dxa"/>
            <w:vAlign w:val="center"/>
          </w:tcPr>
          <w:p w14:paraId="7A0453F2" w14:textId="214B3C6B" w:rsidR="001E59BD" w:rsidRDefault="001E59BD" w:rsidP="00F72FC0">
            <w:pPr>
              <w:jc w:val="center"/>
              <w:rPr>
                <w:rFonts w:eastAsia="Arial"/>
                <w:sz w:val="20"/>
                <w:szCs w:val="20"/>
                <w:lang w:eastAsia="en-IN" w:bidi="hi-IN"/>
              </w:rPr>
            </w:pPr>
            <w:r>
              <w:rPr>
                <w:rFonts w:eastAsia="Arial"/>
                <w:sz w:val="20"/>
                <w:szCs w:val="20"/>
                <w:lang w:eastAsia="en-IN" w:bidi="hi-IN"/>
              </w:rPr>
              <w:t>0</w:t>
            </w:r>
            <w:r w:rsidRPr="001E59BD">
              <w:rPr>
                <w:rFonts w:eastAsia="Arial"/>
                <w:sz w:val="20"/>
                <w:szCs w:val="20"/>
                <w:lang w:eastAsia="en-IN" w:bidi="hi-IN"/>
              </w:rPr>
              <w:t>.4833</w:t>
            </w:r>
          </w:p>
        </w:tc>
        <w:tc>
          <w:tcPr>
            <w:tcW w:w="992" w:type="dxa"/>
            <w:vAlign w:val="center"/>
          </w:tcPr>
          <w:p w14:paraId="13156C8C" w14:textId="729CD6A4" w:rsidR="001E59BD" w:rsidRPr="00274B66" w:rsidRDefault="001E59BD" w:rsidP="00F72FC0">
            <w:pPr>
              <w:jc w:val="center"/>
              <w:rPr>
                <w:rFonts w:eastAsia="Arial"/>
                <w:sz w:val="20"/>
                <w:szCs w:val="20"/>
                <w:lang w:eastAsia="en-IN" w:bidi="hi-IN"/>
              </w:rPr>
            </w:pPr>
            <w:r>
              <w:rPr>
                <w:rFonts w:eastAsia="Arial"/>
                <w:sz w:val="20"/>
                <w:szCs w:val="20"/>
                <w:lang w:eastAsia="en-IN" w:bidi="hi-IN"/>
              </w:rPr>
              <w:t xml:space="preserve">0.491 </w:t>
            </w:r>
            <w:r w:rsidRPr="001E59BD">
              <w:rPr>
                <w:rFonts w:eastAsia="Arial"/>
                <w:sz w:val="20"/>
                <w:szCs w:val="20"/>
                <w:lang w:eastAsia="en-IN" w:bidi="hi-IN"/>
              </w:rPr>
              <w:t>(1)</w:t>
            </w:r>
          </w:p>
        </w:tc>
        <w:tc>
          <w:tcPr>
            <w:tcW w:w="993" w:type="dxa"/>
            <w:vAlign w:val="center"/>
          </w:tcPr>
          <w:p w14:paraId="37F1E431" w14:textId="1210D039" w:rsidR="001E59BD" w:rsidRDefault="001E59BD" w:rsidP="00F72FC0">
            <w:pPr>
              <w:jc w:val="center"/>
              <w:rPr>
                <w:rFonts w:eastAsia="Arial"/>
                <w:sz w:val="20"/>
                <w:szCs w:val="20"/>
                <w:lang w:eastAsia="en-IN" w:bidi="hi-IN"/>
              </w:rPr>
            </w:pPr>
            <w:r>
              <w:rPr>
                <w:rFonts w:eastAsia="Arial"/>
                <w:sz w:val="20"/>
                <w:szCs w:val="20"/>
                <w:lang w:eastAsia="en-IN" w:bidi="hi-IN"/>
              </w:rPr>
              <w:t>0</w:t>
            </w:r>
            <w:r w:rsidRPr="001E59BD">
              <w:rPr>
                <w:rFonts w:eastAsia="Arial"/>
                <w:sz w:val="20"/>
                <w:szCs w:val="20"/>
                <w:lang w:eastAsia="en-IN" w:bidi="hi-IN"/>
              </w:rPr>
              <w:t>.4833</w:t>
            </w:r>
          </w:p>
        </w:tc>
        <w:tc>
          <w:tcPr>
            <w:tcW w:w="1139" w:type="dxa"/>
            <w:vAlign w:val="center"/>
          </w:tcPr>
          <w:p w14:paraId="55CC0185" w14:textId="2A10E32A" w:rsidR="001E59BD" w:rsidRDefault="001E59BD" w:rsidP="00F72FC0">
            <w:pPr>
              <w:jc w:val="center"/>
              <w:rPr>
                <w:rFonts w:eastAsia="Arial"/>
                <w:sz w:val="20"/>
                <w:szCs w:val="20"/>
                <w:lang w:eastAsia="en-IN" w:bidi="hi-IN"/>
              </w:rPr>
            </w:pPr>
            <w:r>
              <w:rPr>
                <w:rFonts w:eastAsia="Arial"/>
                <w:sz w:val="20"/>
                <w:szCs w:val="20"/>
                <w:lang w:eastAsia="en-IN" w:bidi="hi-IN"/>
              </w:rPr>
              <w:t>0.00</w:t>
            </w:r>
            <w:r w:rsidRPr="00274B66">
              <w:rPr>
                <w:rFonts w:eastAsia="Arial"/>
                <w:sz w:val="20"/>
                <w:szCs w:val="20"/>
                <w:lang w:eastAsia="en-IN" w:bidi="hi-IN"/>
              </w:rPr>
              <w:t>%</w:t>
            </w:r>
          </w:p>
        </w:tc>
      </w:tr>
      <w:tr w:rsidR="001E59BD" w14:paraId="0D6F3C96" w14:textId="77777777" w:rsidTr="00F72FC0">
        <w:tc>
          <w:tcPr>
            <w:tcW w:w="2122" w:type="dxa"/>
            <w:vAlign w:val="center"/>
          </w:tcPr>
          <w:p w14:paraId="7F740A00" w14:textId="77777777" w:rsidR="001E59BD" w:rsidRDefault="001E59BD" w:rsidP="001E59BD">
            <w:pPr>
              <w:spacing w:before="40" w:after="40"/>
              <w:jc w:val="center"/>
              <w:rPr>
                <w:rFonts w:eastAsia="Arial"/>
                <w:sz w:val="20"/>
                <w:szCs w:val="20"/>
                <w:lang w:eastAsia="en-IN" w:bidi="hi-IN"/>
              </w:rPr>
            </w:pPr>
            <w:r w:rsidRPr="00274B66">
              <w:rPr>
                <w:rFonts w:eastAsia="Arial"/>
                <w:sz w:val="20"/>
                <w:szCs w:val="20"/>
                <w:lang w:eastAsia="en-IN" w:bidi="hi-IN"/>
              </w:rPr>
              <w:t>Males (%)</w:t>
            </w:r>
          </w:p>
          <w:p w14:paraId="19463FF4" w14:textId="21B09518" w:rsidR="001E59BD" w:rsidRPr="00274B66" w:rsidRDefault="001E59BD" w:rsidP="001E59BD">
            <w:pPr>
              <w:spacing w:before="40" w:after="40"/>
              <w:jc w:val="center"/>
              <w:rPr>
                <w:rFonts w:eastAsia="Arial"/>
                <w:sz w:val="20"/>
                <w:szCs w:val="20"/>
                <w:lang w:eastAsia="en-IN" w:bidi="hi-IN"/>
              </w:rPr>
            </w:pPr>
            <w:r>
              <w:rPr>
                <w:rFonts w:eastAsia="Arial"/>
                <w:sz w:val="20"/>
                <w:szCs w:val="20"/>
                <w:lang w:eastAsia="en-IN" w:bidi="hi-IN"/>
              </w:rPr>
              <w:t>(k=12)</w:t>
            </w:r>
          </w:p>
        </w:tc>
        <w:tc>
          <w:tcPr>
            <w:tcW w:w="1836" w:type="dxa"/>
            <w:vAlign w:val="center"/>
          </w:tcPr>
          <w:p w14:paraId="371024A5" w14:textId="15866F61" w:rsidR="001E59BD" w:rsidRPr="00274B66" w:rsidRDefault="001E59BD" w:rsidP="00F72FC0">
            <w:pPr>
              <w:jc w:val="center"/>
              <w:rPr>
                <w:rFonts w:eastAsia="Arial"/>
                <w:sz w:val="20"/>
                <w:szCs w:val="20"/>
                <w:lang w:eastAsia="en-IN" w:bidi="hi-IN"/>
              </w:rPr>
            </w:pPr>
            <w:r w:rsidRPr="001E59BD">
              <w:rPr>
                <w:rFonts w:eastAsia="Arial"/>
                <w:sz w:val="20"/>
                <w:szCs w:val="20"/>
                <w:lang w:eastAsia="en-IN" w:bidi="hi-IN"/>
              </w:rPr>
              <w:t>-0.00</w:t>
            </w:r>
            <w:r>
              <w:rPr>
                <w:rFonts w:eastAsia="Arial"/>
                <w:sz w:val="20"/>
                <w:szCs w:val="20"/>
                <w:lang w:eastAsia="en-IN" w:bidi="hi-IN"/>
              </w:rPr>
              <w:t>4</w:t>
            </w:r>
            <w:r w:rsidRPr="001E59BD">
              <w:rPr>
                <w:rFonts w:eastAsia="Arial"/>
                <w:sz w:val="20"/>
                <w:szCs w:val="20"/>
                <w:lang w:eastAsia="en-IN" w:bidi="hi-IN"/>
              </w:rPr>
              <w:t xml:space="preserve"> (-0.01, 0.00)</w:t>
            </w:r>
          </w:p>
        </w:tc>
        <w:tc>
          <w:tcPr>
            <w:tcW w:w="709" w:type="dxa"/>
            <w:vAlign w:val="center"/>
          </w:tcPr>
          <w:p w14:paraId="015A9FD8" w14:textId="764FD2D5" w:rsidR="001E59BD" w:rsidRPr="00274B66" w:rsidRDefault="001E59BD" w:rsidP="00F72FC0">
            <w:pPr>
              <w:jc w:val="center"/>
              <w:rPr>
                <w:rFonts w:eastAsia="Arial"/>
                <w:sz w:val="20"/>
                <w:szCs w:val="20"/>
                <w:lang w:eastAsia="en-IN" w:bidi="hi-IN"/>
              </w:rPr>
            </w:pPr>
            <w:r w:rsidRPr="001E59BD">
              <w:rPr>
                <w:rFonts w:eastAsia="Arial"/>
                <w:sz w:val="20"/>
                <w:szCs w:val="20"/>
                <w:lang w:eastAsia="en-IN" w:bidi="hi-IN"/>
              </w:rPr>
              <w:t>0.003</w:t>
            </w:r>
          </w:p>
        </w:tc>
        <w:tc>
          <w:tcPr>
            <w:tcW w:w="1029" w:type="dxa"/>
            <w:vAlign w:val="center"/>
          </w:tcPr>
          <w:p w14:paraId="0CB2C30A" w14:textId="2282EF8A" w:rsidR="001E59BD" w:rsidRDefault="001E59BD" w:rsidP="00F72FC0">
            <w:pPr>
              <w:jc w:val="center"/>
              <w:rPr>
                <w:rFonts w:eastAsia="Arial"/>
                <w:sz w:val="20"/>
                <w:szCs w:val="20"/>
                <w:lang w:eastAsia="en-IN" w:bidi="hi-IN"/>
              </w:rPr>
            </w:pPr>
            <w:r w:rsidRPr="001E59BD">
              <w:rPr>
                <w:rFonts w:eastAsia="Arial"/>
                <w:sz w:val="20"/>
                <w:szCs w:val="20"/>
                <w:lang w:eastAsia="en-IN" w:bidi="hi-IN"/>
              </w:rPr>
              <w:t>-1.31</w:t>
            </w:r>
          </w:p>
        </w:tc>
        <w:tc>
          <w:tcPr>
            <w:tcW w:w="1381" w:type="dxa"/>
            <w:vAlign w:val="center"/>
          </w:tcPr>
          <w:p w14:paraId="40F1187F" w14:textId="03ADDF83" w:rsidR="001E59BD" w:rsidRDefault="001E59BD" w:rsidP="00F72FC0">
            <w:pPr>
              <w:jc w:val="center"/>
              <w:rPr>
                <w:rFonts w:eastAsia="Arial"/>
                <w:sz w:val="20"/>
                <w:szCs w:val="20"/>
                <w:lang w:eastAsia="en-IN" w:bidi="hi-IN"/>
              </w:rPr>
            </w:pPr>
            <w:r>
              <w:rPr>
                <w:rFonts w:eastAsia="Arial"/>
                <w:sz w:val="20"/>
                <w:szCs w:val="20"/>
                <w:lang w:eastAsia="en-IN" w:bidi="hi-IN"/>
              </w:rPr>
              <w:t>0</w:t>
            </w:r>
            <w:r w:rsidRPr="001E59BD">
              <w:rPr>
                <w:rFonts w:eastAsia="Arial"/>
                <w:sz w:val="20"/>
                <w:szCs w:val="20"/>
                <w:lang w:eastAsia="en-IN" w:bidi="hi-IN"/>
              </w:rPr>
              <w:t>.1912</w:t>
            </w:r>
          </w:p>
        </w:tc>
        <w:tc>
          <w:tcPr>
            <w:tcW w:w="992" w:type="dxa"/>
            <w:vAlign w:val="center"/>
          </w:tcPr>
          <w:p w14:paraId="7C459883" w14:textId="671CF89E" w:rsidR="001E59BD" w:rsidRPr="00274B66" w:rsidRDefault="001E59BD" w:rsidP="00F72FC0">
            <w:pPr>
              <w:jc w:val="center"/>
              <w:rPr>
                <w:rFonts w:eastAsia="Arial"/>
                <w:sz w:val="20"/>
                <w:szCs w:val="20"/>
                <w:lang w:eastAsia="en-IN" w:bidi="hi-IN"/>
              </w:rPr>
            </w:pPr>
            <w:r>
              <w:rPr>
                <w:rFonts w:eastAsia="Arial"/>
                <w:sz w:val="20"/>
                <w:szCs w:val="20"/>
                <w:lang w:eastAsia="en-IN" w:bidi="hi-IN"/>
              </w:rPr>
              <w:t>1.708</w:t>
            </w:r>
            <w:r w:rsidRPr="001E59BD">
              <w:rPr>
                <w:rFonts w:eastAsia="Arial"/>
                <w:sz w:val="20"/>
                <w:szCs w:val="20"/>
                <w:lang w:eastAsia="en-IN" w:bidi="hi-IN"/>
              </w:rPr>
              <w:t xml:space="preserve"> (1)</w:t>
            </w:r>
          </w:p>
        </w:tc>
        <w:tc>
          <w:tcPr>
            <w:tcW w:w="993" w:type="dxa"/>
            <w:vAlign w:val="center"/>
          </w:tcPr>
          <w:p w14:paraId="14F8CFFB" w14:textId="0E4D2CF9" w:rsidR="001E59BD" w:rsidRDefault="001E59BD" w:rsidP="00F72FC0">
            <w:pPr>
              <w:jc w:val="center"/>
              <w:rPr>
                <w:rFonts w:eastAsia="Arial"/>
                <w:sz w:val="20"/>
                <w:szCs w:val="20"/>
                <w:lang w:eastAsia="en-IN" w:bidi="hi-IN"/>
              </w:rPr>
            </w:pPr>
            <w:r>
              <w:rPr>
                <w:rFonts w:eastAsia="Arial"/>
                <w:sz w:val="20"/>
                <w:szCs w:val="20"/>
                <w:lang w:eastAsia="en-IN" w:bidi="hi-IN"/>
              </w:rPr>
              <w:t>0</w:t>
            </w:r>
            <w:r w:rsidRPr="001E59BD">
              <w:rPr>
                <w:rFonts w:eastAsia="Arial"/>
                <w:sz w:val="20"/>
                <w:szCs w:val="20"/>
                <w:lang w:eastAsia="en-IN" w:bidi="hi-IN"/>
              </w:rPr>
              <w:t>.1912</w:t>
            </w:r>
          </w:p>
        </w:tc>
        <w:tc>
          <w:tcPr>
            <w:tcW w:w="1139" w:type="dxa"/>
            <w:vAlign w:val="center"/>
          </w:tcPr>
          <w:p w14:paraId="284F835D" w14:textId="3DC73200" w:rsidR="001E59BD" w:rsidRDefault="001E59BD" w:rsidP="00F72FC0">
            <w:pPr>
              <w:jc w:val="center"/>
              <w:rPr>
                <w:rFonts w:eastAsia="Arial"/>
                <w:sz w:val="20"/>
                <w:szCs w:val="20"/>
                <w:lang w:eastAsia="en-IN" w:bidi="hi-IN"/>
              </w:rPr>
            </w:pPr>
            <w:r>
              <w:rPr>
                <w:rFonts w:eastAsia="Arial"/>
                <w:sz w:val="20"/>
                <w:szCs w:val="20"/>
                <w:lang w:eastAsia="en-IN" w:bidi="hi-IN"/>
              </w:rPr>
              <w:t>0.00</w:t>
            </w:r>
            <w:r w:rsidRPr="00274B66">
              <w:rPr>
                <w:rFonts w:eastAsia="Arial"/>
                <w:sz w:val="20"/>
                <w:szCs w:val="20"/>
                <w:lang w:eastAsia="en-IN" w:bidi="hi-IN"/>
              </w:rPr>
              <w:t>%</w:t>
            </w:r>
          </w:p>
        </w:tc>
      </w:tr>
    </w:tbl>
    <w:p w14:paraId="416DDF3C" w14:textId="3E2E9741" w:rsidR="00FF77B6" w:rsidRPr="00274B66" w:rsidRDefault="00FF77B6" w:rsidP="00274B66">
      <w:pPr>
        <w:jc w:val="both"/>
        <w:rPr>
          <w:sz w:val="20"/>
          <w:szCs w:val="20"/>
        </w:rPr>
      </w:pPr>
      <w:r w:rsidRPr="00274B66">
        <w:rPr>
          <w:sz w:val="20"/>
          <w:szCs w:val="20"/>
        </w:rPr>
        <w:t>Abbreviations: β = regression coefficient; SE = standard error; z = z-statistic; QM = test of moderators (omnibus); R² = proportion of heterogeneity explained.</w:t>
      </w:r>
    </w:p>
    <w:p w14:paraId="21E81032" w14:textId="1BA1A35D" w:rsidR="00FF77B6" w:rsidRDefault="00FF77B6" w:rsidP="00FF77B6">
      <w:pPr>
        <w:jc w:val="both"/>
        <w:rPr>
          <w:sz w:val="20"/>
          <w:szCs w:val="20"/>
        </w:rPr>
      </w:pPr>
      <w:r w:rsidRPr="00274B66">
        <w:rPr>
          <w:sz w:val="20"/>
          <w:szCs w:val="20"/>
        </w:rPr>
        <w:t xml:space="preserve">All analyses performed on outlier-adjusted datasets (SVR-12: Abdelmohsen et al. 2022 removed; SVR-24: </w:t>
      </w:r>
      <w:proofErr w:type="spellStart"/>
      <w:r w:rsidRPr="00274B66">
        <w:rPr>
          <w:sz w:val="20"/>
          <w:szCs w:val="20"/>
        </w:rPr>
        <w:t>Sangineto</w:t>
      </w:r>
      <w:proofErr w:type="spellEnd"/>
      <w:r w:rsidRPr="00274B66">
        <w:rPr>
          <w:sz w:val="20"/>
          <w:szCs w:val="20"/>
        </w:rPr>
        <w:t xml:space="preserve"> et al. 2021 removed) using REML random-effects models. ALT</w:t>
      </w:r>
      <w:r w:rsidR="002437EE">
        <w:rPr>
          <w:sz w:val="20"/>
          <w:szCs w:val="20"/>
        </w:rPr>
        <w:t xml:space="preserve">, age and proportion of males </w:t>
      </w:r>
      <w:r w:rsidRPr="00274B66">
        <w:rPr>
          <w:sz w:val="20"/>
          <w:szCs w:val="20"/>
        </w:rPr>
        <w:t>analyses based on subset of studies with available data</w:t>
      </w:r>
      <w:r w:rsidR="002437EE">
        <w:rPr>
          <w:sz w:val="20"/>
          <w:szCs w:val="20"/>
        </w:rPr>
        <w:t xml:space="preserve"> (n=10, 20 and 21 studies respectively)</w:t>
      </w:r>
      <w:r w:rsidRPr="00274B66">
        <w:rPr>
          <w:sz w:val="20"/>
          <w:szCs w:val="20"/>
        </w:rPr>
        <w:t xml:space="preserve">. Bold p-values indicate statistical significance (p &lt; </w:t>
      </w:r>
      <w:r w:rsidR="00A92CA2">
        <w:rPr>
          <w:sz w:val="20"/>
          <w:szCs w:val="20"/>
        </w:rPr>
        <w:t>0</w:t>
      </w:r>
      <w:r w:rsidRPr="00274B66">
        <w:rPr>
          <w:sz w:val="20"/>
          <w:szCs w:val="20"/>
        </w:rPr>
        <w:t>.05). CHC = chronic hepatitis C; HCV = hepatitis C virus; HIV = human immunodeficiency virus.</w:t>
      </w:r>
      <w:r w:rsidR="0004265A">
        <w:rPr>
          <w:sz w:val="20"/>
          <w:szCs w:val="20"/>
        </w:rPr>
        <w:t xml:space="preserve"> Reference categories: Retrospective, CHC with fibrosis/cirrhosis, Mediterranean Region</w:t>
      </w:r>
    </w:p>
    <w:p w14:paraId="6C31A058" w14:textId="77777777" w:rsidR="00A92CA2" w:rsidRDefault="00A92CA2" w:rsidP="00FF77B6">
      <w:pPr>
        <w:jc w:val="both"/>
        <w:rPr>
          <w:sz w:val="20"/>
          <w:szCs w:val="20"/>
        </w:rPr>
      </w:pPr>
    </w:p>
    <w:p w14:paraId="5BFEC5F2" w14:textId="77777777" w:rsidR="00D876DD" w:rsidRDefault="00D876DD" w:rsidP="00FF77B6">
      <w:pPr>
        <w:jc w:val="both"/>
        <w:rPr>
          <w:sz w:val="20"/>
          <w:szCs w:val="20"/>
        </w:rPr>
      </w:pPr>
    </w:p>
    <w:p w14:paraId="17582ACB" w14:textId="41C30999" w:rsidR="00D876DD" w:rsidRDefault="005163BD" w:rsidP="00F72FC0">
      <w:pPr>
        <w:jc w:val="center"/>
        <w:rPr>
          <w:sz w:val="20"/>
          <w:szCs w:val="20"/>
        </w:rPr>
      </w:pPr>
      <w:r>
        <w:rPr>
          <w:noProof/>
          <w:sz w:val="20"/>
          <w:szCs w:val="20"/>
        </w:rPr>
        <w:drawing>
          <wp:inline distT="0" distB="0" distL="0" distR="0" wp14:anchorId="7DAF582A" wp14:editId="0D64089D">
            <wp:extent cx="5478016" cy="3912781"/>
            <wp:effectExtent l="0" t="0" r="8890" b="0"/>
            <wp:docPr id="707726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726021" name="Picture 70772602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486787" cy="3919046"/>
                    </a:xfrm>
                    <a:prstGeom prst="rect">
                      <a:avLst/>
                    </a:prstGeom>
                  </pic:spPr>
                </pic:pic>
              </a:graphicData>
            </a:graphic>
          </wp:inline>
        </w:drawing>
      </w:r>
    </w:p>
    <w:p w14:paraId="0F0CA12A" w14:textId="407732B1" w:rsidR="0012039D" w:rsidRDefault="0012039D" w:rsidP="00FF77B6">
      <w:pPr>
        <w:jc w:val="both"/>
        <w:rPr>
          <w:sz w:val="20"/>
          <w:szCs w:val="20"/>
        </w:rPr>
      </w:pPr>
      <w:r>
        <w:rPr>
          <w:sz w:val="20"/>
          <w:szCs w:val="20"/>
        </w:rPr>
        <w:t xml:space="preserve">Figure (B) Bubble plot representation for case characteristics moderator for SVR12 studies. </w:t>
      </w:r>
    </w:p>
    <w:p w14:paraId="2135BDA6" w14:textId="77777777" w:rsidR="00D876DD" w:rsidRDefault="00D876DD" w:rsidP="00FF77B6">
      <w:pPr>
        <w:jc w:val="both"/>
        <w:rPr>
          <w:sz w:val="20"/>
          <w:szCs w:val="20"/>
        </w:rPr>
      </w:pPr>
    </w:p>
    <w:p w14:paraId="516E5305" w14:textId="77777777" w:rsidR="00D876DD" w:rsidRDefault="00D876DD" w:rsidP="00FF77B6">
      <w:pPr>
        <w:jc w:val="both"/>
        <w:rPr>
          <w:sz w:val="20"/>
          <w:szCs w:val="20"/>
        </w:rPr>
      </w:pPr>
    </w:p>
    <w:p w14:paraId="139DB056" w14:textId="77777777" w:rsidR="00AF701B" w:rsidRDefault="00AF701B" w:rsidP="00FF77B6">
      <w:pPr>
        <w:jc w:val="both"/>
        <w:rPr>
          <w:sz w:val="20"/>
          <w:szCs w:val="20"/>
        </w:rPr>
      </w:pPr>
    </w:p>
    <w:p w14:paraId="646270E4" w14:textId="77777777" w:rsidR="00AF701B" w:rsidRDefault="00AF701B" w:rsidP="00FF77B6">
      <w:pPr>
        <w:jc w:val="both"/>
        <w:rPr>
          <w:sz w:val="20"/>
          <w:szCs w:val="20"/>
        </w:rPr>
      </w:pPr>
    </w:p>
    <w:p w14:paraId="042311EB" w14:textId="77777777" w:rsidR="00AF701B" w:rsidRDefault="00AF701B" w:rsidP="00FF77B6">
      <w:pPr>
        <w:jc w:val="both"/>
        <w:rPr>
          <w:sz w:val="20"/>
          <w:szCs w:val="20"/>
        </w:rPr>
      </w:pPr>
    </w:p>
    <w:p w14:paraId="690DC105" w14:textId="77777777" w:rsidR="00AF701B" w:rsidRDefault="00AF701B" w:rsidP="00FF77B6">
      <w:pPr>
        <w:jc w:val="both"/>
        <w:rPr>
          <w:sz w:val="20"/>
          <w:szCs w:val="20"/>
        </w:rPr>
      </w:pPr>
    </w:p>
    <w:p w14:paraId="1B23A282" w14:textId="77777777" w:rsidR="00AF701B" w:rsidRDefault="00AF701B" w:rsidP="00FF77B6">
      <w:pPr>
        <w:jc w:val="both"/>
        <w:rPr>
          <w:sz w:val="20"/>
          <w:szCs w:val="20"/>
        </w:rPr>
      </w:pPr>
    </w:p>
    <w:p w14:paraId="3BFB0820" w14:textId="77777777" w:rsidR="00AF701B" w:rsidRDefault="00AF701B" w:rsidP="00FF77B6">
      <w:pPr>
        <w:jc w:val="both"/>
        <w:rPr>
          <w:sz w:val="20"/>
          <w:szCs w:val="20"/>
        </w:rPr>
      </w:pPr>
    </w:p>
    <w:p w14:paraId="75E40A6E" w14:textId="77777777" w:rsidR="00AF701B" w:rsidRDefault="00AF701B" w:rsidP="00FF77B6">
      <w:pPr>
        <w:jc w:val="both"/>
        <w:rPr>
          <w:sz w:val="20"/>
          <w:szCs w:val="20"/>
        </w:rPr>
      </w:pPr>
    </w:p>
    <w:p w14:paraId="03AC2506" w14:textId="77777777" w:rsidR="00AF701B" w:rsidRDefault="00AF701B" w:rsidP="00FF77B6">
      <w:pPr>
        <w:jc w:val="both"/>
        <w:rPr>
          <w:sz w:val="20"/>
          <w:szCs w:val="20"/>
        </w:rPr>
      </w:pPr>
    </w:p>
    <w:p w14:paraId="500758BE" w14:textId="77777777" w:rsidR="00AF701B" w:rsidRDefault="00AF701B" w:rsidP="00FF77B6">
      <w:pPr>
        <w:jc w:val="both"/>
        <w:rPr>
          <w:sz w:val="20"/>
          <w:szCs w:val="20"/>
        </w:rPr>
      </w:pPr>
    </w:p>
    <w:p w14:paraId="09C4160D" w14:textId="77777777" w:rsidR="00AF701B" w:rsidRDefault="00AF701B" w:rsidP="00FF77B6">
      <w:pPr>
        <w:jc w:val="both"/>
        <w:rPr>
          <w:sz w:val="20"/>
          <w:szCs w:val="20"/>
        </w:rPr>
      </w:pPr>
    </w:p>
    <w:p w14:paraId="0057B161" w14:textId="2A7ACC1A" w:rsidR="00A92CA2" w:rsidRPr="00274B66" w:rsidRDefault="00D876DD" w:rsidP="00A92CA2">
      <w:pPr>
        <w:spacing w:before="200" w:after="120"/>
        <w:rPr>
          <w:rFonts w:eastAsia="Arial"/>
          <w:sz w:val="20"/>
          <w:szCs w:val="20"/>
          <w:lang w:eastAsia="en-IN" w:bidi="hi-IN"/>
        </w:rPr>
      </w:pPr>
      <w:r>
        <w:rPr>
          <w:rFonts w:eastAsia="Arial"/>
          <w:b/>
          <w:bCs/>
          <w:sz w:val="20"/>
          <w:szCs w:val="20"/>
          <w:lang w:eastAsia="en-IN" w:bidi="hi-IN"/>
        </w:rPr>
        <w:lastRenderedPageBreak/>
        <w:t>Table (</w:t>
      </w:r>
      <w:r w:rsidR="0012039D">
        <w:rPr>
          <w:rFonts w:eastAsia="Arial"/>
          <w:b/>
          <w:bCs/>
          <w:sz w:val="20"/>
          <w:szCs w:val="20"/>
          <w:lang w:eastAsia="en-IN" w:bidi="hi-IN"/>
        </w:rPr>
        <w:t>C</w:t>
      </w:r>
      <w:r>
        <w:rPr>
          <w:rFonts w:eastAsia="Arial"/>
          <w:b/>
          <w:bCs/>
          <w:sz w:val="20"/>
          <w:szCs w:val="20"/>
          <w:lang w:eastAsia="en-IN" w:bidi="hi-IN"/>
        </w:rPr>
        <w:t xml:space="preserve">): </w:t>
      </w:r>
      <w:r w:rsidR="00A92CA2" w:rsidRPr="00274B66">
        <w:rPr>
          <w:rFonts w:eastAsia="Arial"/>
          <w:b/>
          <w:bCs/>
          <w:sz w:val="20"/>
          <w:szCs w:val="20"/>
          <w:lang w:eastAsia="en-IN" w:bidi="hi-IN"/>
        </w:rPr>
        <w:t>Bivariate Meta-Regression: Final Models for SVR-12 and SVR-24 Cohorts</w:t>
      </w:r>
    </w:p>
    <w:tbl>
      <w:tblPr>
        <w:tblW w:w="10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71"/>
        <w:gridCol w:w="2679"/>
        <w:gridCol w:w="1140"/>
        <w:gridCol w:w="1053"/>
        <w:gridCol w:w="875"/>
        <w:gridCol w:w="265"/>
      </w:tblGrid>
      <w:tr w:rsidR="009334E2" w:rsidRPr="00A92CA2" w14:paraId="3DD4EEC1" w14:textId="77777777" w:rsidTr="00F72FC0">
        <w:trPr>
          <w:tblHeader/>
        </w:trPr>
        <w:tc>
          <w:tcPr>
            <w:tcW w:w="4171"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12986AD8" w14:textId="1EAF4E6D" w:rsidR="009334E2" w:rsidRPr="00274B66" w:rsidRDefault="009334E2" w:rsidP="009334E2">
            <w:pPr>
              <w:spacing w:before="80" w:after="80"/>
              <w:jc w:val="center"/>
              <w:rPr>
                <w:rFonts w:eastAsia="Arial"/>
                <w:sz w:val="20"/>
                <w:szCs w:val="20"/>
                <w:lang w:eastAsia="en-IN" w:bidi="hi-IN"/>
              </w:rPr>
            </w:pPr>
            <w:r w:rsidRPr="00274B66">
              <w:rPr>
                <w:rFonts w:eastAsia="Arial"/>
                <w:b/>
                <w:bCs/>
                <w:color w:val="FFFFFF"/>
                <w:sz w:val="20"/>
                <w:szCs w:val="20"/>
                <w:lang w:eastAsia="en-IN" w:bidi="hi-IN"/>
              </w:rPr>
              <w:t>Term</w:t>
            </w:r>
          </w:p>
        </w:tc>
        <w:tc>
          <w:tcPr>
            <w:tcW w:w="2679"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7C479A63" w14:textId="77777777" w:rsidR="009334E2" w:rsidRPr="00274B66" w:rsidRDefault="009334E2" w:rsidP="00A92CA2">
            <w:pPr>
              <w:spacing w:before="80" w:after="80"/>
              <w:jc w:val="center"/>
              <w:rPr>
                <w:rFonts w:eastAsia="Arial"/>
                <w:sz w:val="20"/>
                <w:szCs w:val="20"/>
                <w:lang w:eastAsia="en-IN" w:bidi="hi-IN"/>
              </w:rPr>
            </w:pPr>
            <w:r w:rsidRPr="00274B66">
              <w:rPr>
                <w:rFonts w:eastAsia="Arial"/>
                <w:b/>
                <w:bCs/>
                <w:color w:val="FFFFFF"/>
                <w:sz w:val="20"/>
                <w:szCs w:val="20"/>
                <w:lang w:eastAsia="en-IN" w:bidi="hi-IN"/>
              </w:rPr>
              <w:t>β (95% CI)</w:t>
            </w:r>
          </w:p>
        </w:tc>
        <w:tc>
          <w:tcPr>
            <w:tcW w:w="1140"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61FAB176" w14:textId="77777777" w:rsidR="009334E2" w:rsidRPr="00274B66" w:rsidRDefault="009334E2" w:rsidP="00A92CA2">
            <w:pPr>
              <w:spacing w:before="80" w:after="80"/>
              <w:jc w:val="center"/>
              <w:rPr>
                <w:rFonts w:eastAsia="Arial"/>
                <w:sz w:val="20"/>
                <w:szCs w:val="20"/>
                <w:lang w:eastAsia="en-IN" w:bidi="hi-IN"/>
              </w:rPr>
            </w:pPr>
            <w:r w:rsidRPr="00274B66">
              <w:rPr>
                <w:rFonts w:eastAsia="Arial"/>
                <w:b/>
                <w:bCs/>
                <w:color w:val="FFFFFF"/>
                <w:sz w:val="20"/>
                <w:szCs w:val="20"/>
                <w:lang w:eastAsia="en-IN" w:bidi="hi-IN"/>
              </w:rPr>
              <w:t>SE</w:t>
            </w:r>
          </w:p>
        </w:tc>
        <w:tc>
          <w:tcPr>
            <w:tcW w:w="1053" w:type="dxa"/>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6976F27A" w14:textId="77777777" w:rsidR="009334E2" w:rsidRPr="00274B66" w:rsidRDefault="009334E2" w:rsidP="00A92CA2">
            <w:pPr>
              <w:spacing w:before="80" w:after="80"/>
              <w:jc w:val="center"/>
              <w:rPr>
                <w:rFonts w:eastAsia="Arial"/>
                <w:sz w:val="20"/>
                <w:szCs w:val="20"/>
                <w:lang w:eastAsia="en-IN" w:bidi="hi-IN"/>
              </w:rPr>
            </w:pPr>
            <w:r w:rsidRPr="00274B66">
              <w:rPr>
                <w:rFonts w:eastAsia="Arial"/>
                <w:b/>
                <w:bCs/>
                <w:color w:val="FFFFFF"/>
                <w:sz w:val="20"/>
                <w:szCs w:val="20"/>
                <w:lang w:eastAsia="en-IN" w:bidi="hi-IN"/>
              </w:rPr>
              <w:t>z</w:t>
            </w:r>
          </w:p>
        </w:tc>
        <w:tc>
          <w:tcPr>
            <w:tcW w:w="1140" w:type="dxa"/>
            <w:gridSpan w:val="2"/>
            <w:tcBorders>
              <w:top w:val="single" w:sz="6" w:space="0" w:color="2E4057"/>
              <w:left w:val="nil"/>
              <w:bottom w:val="single" w:sz="6" w:space="0" w:color="2E4057"/>
              <w:right w:val="single" w:sz="2" w:space="0" w:color="FFFFFF"/>
            </w:tcBorders>
            <w:shd w:val="clear" w:color="auto" w:fill="2E4057"/>
            <w:tcMar>
              <w:top w:w="80" w:type="dxa"/>
              <w:left w:w="120" w:type="dxa"/>
              <w:bottom w:w="80" w:type="dxa"/>
              <w:right w:w="120" w:type="dxa"/>
            </w:tcMar>
            <w:vAlign w:val="center"/>
          </w:tcPr>
          <w:p w14:paraId="134120C5" w14:textId="77777777" w:rsidR="009334E2" w:rsidRPr="00274B66" w:rsidRDefault="009334E2" w:rsidP="00A92CA2">
            <w:pPr>
              <w:spacing w:before="80" w:after="80"/>
              <w:jc w:val="center"/>
              <w:rPr>
                <w:rFonts w:eastAsia="Arial"/>
                <w:sz w:val="20"/>
                <w:szCs w:val="20"/>
                <w:lang w:eastAsia="en-IN" w:bidi="hi-IN"/>
              </w:rPr>
            </w:pPr>
            <w:r w:rsidRPr="00274B66">
              <w:rPr>
                <w:rFonts w:eastAsia="Arial"/>
                <w:b/>
                <w:bCs/>
                <w:color w:val="FFFFFF"/>
                <w:sz w:val="20"/>
                <w:szCs w:val="20"/>
                <w:lang w:eastAsia="en-IN" w:bidi="hi-IN"/>
              </w:rPr>
              <w:t>p-value</w:t>
            </w:r>
          </w:p>
        </w:tc>
      </w:tr>
      <w:tr w:rsidR="005163BD" w:rsidRPr="00A92CA2" w14:paraId="472017B8" w14:textId="77777777" w:rsidTr="00F72FC0">
        <w:trPr>
          <w:gridAfter w:val="1"/>
          <w:wAfter w:w="265" w:type="dxa"/>
        </w:trPr>
        <w:tc>
          <w:tcPr>
            <w:tcW w:w="9918" w:type="dxa"/>
            <w:gridSpan w:val="5"/>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14901A1E" w14:textId="77777777" w:rsidR="00AF701B" w:rsidRDefault="005163BD" w:rsidP="005163BD">
            <w:pPr>
              <w:spacing w:before="40" w:after="40"/>
              <w:rPr>
                <w:rFonts w:eastAsia="Arial"/>
                <w:b/>
                <w:bCs/>
                <w:sz w:val="20"/>
                <w:szCs w:val="20"/>
                <w:lang w:eastAsia="en-IN" w:bidi="hi-IN"/>
              </w:rPr>
            </w:pPr>
            <w:r w:rsidRPr="005163BD">
              <w:rPr>
                <w:rFonts w:eastAsia="Arial"/>
                <w:b/>
                <w:bCs/>
                <w:sz w:val="20"/>
                <w:szCs w:val="20"/>
                <w:lang w:eastAsia="en-IN" w:bidi="hi-IN"/>
              </w:rPr>
              <w:t xml:space="preserve">SVR-12: Case Characteristics + Study Design </w:t>
            </w:r>
          </w:p>
          <w:p w14:paraId="50EB426D" w14:textId="79AA0AEC" w:rsidR="005163BD" w:rsidRPr="00274B66" w:rsidRDefault="005163BD" w:rsidP="00F72FC0">
            <w:pPr>
              <w:spacing w:before="40" w:after="40"/>
              <w:rPr>
                <w:rFonts w:eastAsia="Arial"/>
                <w:sz w:val="20"/>
                <w:szCs w:val="20"/>
                <w:lang w:eastAsia="en-IN" w:bidi="hi-IN"/>
              </w:rPr>
            </w:pPr>
            <w:r w:rsidRPr="005163BD">
              <w:rPr>
                <w:rFonts w:eastAsia="Arial"/>
                <w:b/>
                <w:bCs/>
                <w:sz w:val="20"/>
                <w:szCs w:val="20"/>
                <w:lang w:eastAsia="en-IN" w:bidi="hi-IN"/>
              </w:rPr>
              <w:t>(</w:t>
            </w:r>
            <w:r w:rsidR="008B054E">
              <w:rPr>
                <w:rFonts w:eastAsia="Arial"/>
                <w:b/>
                <w:bCs/>
                <w:sz w:val="20"/>
                <w:szCs w:val="20"/>
                <w:lang w:eastAsia="en-IN" w:bidi="hi-IN"/>
              </w:rPr>
              <w:t>k = 24, QM (</w:t>
            </w:r>
            <w:proofErr w:type="spellStart"/>
            <w:r w:rsidR="008B054E">
              <w:rPr>
                <w:rFonts w:eastAsia="Arial"/>
                <w:b/>
                <w:bCs/>
                <w:sz w:val="20"/>
                <w:szCs w:val="20"/>
                <w:lang w:eastAsia="en-IN" w:bidi="hi-IN"/>
              </w:rPr>
              <w:t>df</w:t>
            </w:r>
            <w:proofErr w:type="spellEnd"/>
            <w:r w:rsidR="008B054E">
              <w:rPr>
                <w:rFonts w:eastAsia="Arial"/>
                <w:b/>
                <w:bCs/>
                <w:sz w:val="20"/>
                <w:szCs w:val="20"/>
                <w:lang w:eastAsia="en-IN" w:bidi="hi-IN"/>
              </w:rPr>
              <w:t xml:space="preserve"> = 3) = 10.87, p = 0.0124, R</w:t>
            </w:r>
            <w:r w:rsidR="008B054E">
              <w:rPr>
                <w:rFonts w:eastAsia="Arial"/>
                <w:b/>
                <w:bCs/>
                <w:sz w:val="20"/>
                <w:szCs w:val="20"/>
                <w:vertAlign w:val="superscript"/>
                <w:lang w:eastAsia="en-IN" w:bidi="hi-IN"/>
              </w:rPr>
              <w:t>2</w:t>
            </w:r>
            <w:r w:rsidR="008B054E">
              <w:rPr>
                <w:rFonts w:eastAsia="Arial"/>
                <w:b/>
                <w:bCs/>
                <w:sz w:val="20"/>
                <w:szCs w:val="20"/>
                <w:lang w:eastAsia="en-IN" w:bidi="hi-IN"/>
              </w:rPr>
              <w:t>=24.73%, Residual I</w:t>
            </w:r>
            <w:r w:rsidR="008B054E">
              <w:rPr>
                <w:rFonts w:eastAsia="Arial"/>
                <w:b/>
                <w:bCs/>
                <w:sz w:val="20"/>
                <w:szCs w:val="20"/>
                <w:vertAlign w:val="superscript"/>
                <w:lang w:eastAsia="en-IN" w:bidi="hi-IN"/>
              </w:rPr>
              <w:t>2</w:t>
            </w:r>
            <w:r w:rsidR="008B054E">
              <w:rPr>
                <w:rFonts w:eastAsia="Arial"/>
                <w:b/>
                <w:bCs/>
                <w:sz w:val="20"/>
                <w:szCs w:val="20"/>
                <w:lang w:eastAsia="en-IN" w:bidi="hi-IN"/>
              </w:rPr>
              <w:t>=95.99%</w:t>
            </w:r>
            <w:r w:rsidRPr="005163BD">
              <w:rPr>
                <w:rFonts w:eastAsia="Arial"/>
                <w:b/>
                <w:bCs/>
                <w:sz w:val="20"/>
                <w:szCs w:val="20"/>
                <w:lang w:eastAsia="en-IN" w:bidi="hi-IN"/>
              </w:rPr>
              <w:t>)</w:t>
            </w:r>
          </w:p>
        </w:tc>
      </w:tr>
      <w:tr w:rsidR="009334E2" w:rsidRPr="00A92CA2" w14:paraId="17B282B4" w14:textId="77777777" w:rsidTr="00F72FC0">
        <w:tc>
          <w:tcPr>
            <w:tcW w:w="4171" w:type="dxa"/>
            <w:tcBorders>
              <w:top w:val="single" w:sz="2" w:space="0" w:color="AAAAAA"/>
              <w:left w:val="nil"/>
              <w:bottom w:val="single" w:sz="2" w:space="0" w:color="AAAAAA"/>
              <w:right w:val="nil"/>
            </w:tcBorders>
            <w:tcMar>
              <w:top w:w="60" w:type="dxa"/>
              <w:left w:w="120" w:type="dxa"/>
              <w:bottom w:w="60" w:type="dxa"/>
              <w:right w:w="120" w:type="dxa"/>
            </w:tcMar>
          </w:tcPr>
          <w:p w14:paraId="43B4F9E4" w14:textId="0B174C08" w:rsidR="009334E2" w:rsidRPr="00274B66" w:rsidRDefault="009334E2" w:rsidP="00F72FC0">
            <w:pPr>
              <w:spacing w:before="40" w:after="40"/>
              <w:rPr>
                <w:rFonts w:eastAsia="Arial"/>
                <w:sz w:val="20"/>
                <w:szCs w:val="20"/>
                <w:lang w:eastAsia="en-IN" w:bidi="hi-IN"/>
              </w:rPr>
            </w:pPr>
            <w:r w:rsidRPr="008B054E">
              <w:rPr>
                <w:rFonts w:eastAsia="Arial"/>
                <w:sz w:val="20"/>
                <w:szCs w:val="20"/>
                <w:lang w:eastAsia="en-IN" w:bidi="hi-IN"/>
              </w:rPr>
              <w:t>Intercept (</w:t>
            </w:r>
            <w:r>
              <w:rPr>
                <w:rFonts w:eastAsia="Arial"/>
                <w:sz w:val="20"/>
                <w:szCs w:val="20"/>
                <w:lang w:eastAsia="en-IN" w:bidi="hi-IN"/>
              </w:rPr>
              <w:t>CHC with fibrosis/cirrhosis</w:t>
            </w:r>
            <w:r w:rsidRPr="008B054E">
              <w:rPr>
                <w:rFonts w:eastAsia="Arial"/>
                <w:sz w:val="20"/>
                <w:szCs w:val="20"/>
                <w:lang w:eastAsia="en-IN" w:bidi="hi-IN"/>
              </w:rPr>
              <w:t>, Retrospective)</w:t>
            </w:r>
            <w:r>
              <w:rPr>
                <w:rFonts w:eastAsia="Arial"/>
                <w:sz w:val="20"/>
                <w:szCs w:val="20"/>
                <w:vertAlign w:val="superscript"/>
                <w:lang w:eastAsia="en-IN" w:bidi="hi-IN"/>
              </w:rPr>
              <w:t>a</w:t>
            </w:r>
          </w:p>
        </w:tc>
        <w:tc>
          <w:tcPr>
            <w:tcW w:w="2679" w:type="dxa"/>
            <w:tcBorders>
              <w:top w:val="single" w:sz="2" w:space="0" w:color="AAAAAA"/>
              <w:left w:val="nil"/>
              <w:bottom w:val="single" w:sz="2" w:space="0" w:color="AAAAAA"/>
              <w:right w:val="nil"/>
            </w:tcBorders>
            <w:tcMar>
              <w:top w:w="60" w:type="dxa"/>
              <w:left w:w="120" w:type="dxa"/>
              <w:bottom w:w="60" w:type="dxa"/>
              <w:right w:w="120" w:type="dxa"/>
            </w:tcMar>
          </w:tcPr>
          <w:p w14:paraId="10E377B9" w14:textId="17CC9651" w:rsidR="009334E2" w:rsidRPr="00274B66" w:rsidRDefault="009334E2" w:rsidP="00A92CA2">
            <w:pPr>
              <w:spacing w:before="40" w:after="40"/>
              <w:jc w:val="center"/>
              <w:rPr>
                <w:rFonts w:eastAsia="Arial"/>
                <w:sz w:val="20"/>
                <w:szCs w:val="20"/>
                <w:lang w:eastAsia="en-IN" w:bidi="hi-IN"/>
              </w:rPr>
            </w:pPr>
            <w:r w:rsidRPr="009334E2">
              <w:rPr>
                <w:rFonts w:eastAsia="Arial"/>
                <w:sz w:val="20"/>
                <w:szCs w:val="20"/>
                <w:lang w:eastAsia="en-IN" w:bidi="hi-IN"/>
              </w:rPr>
              <w:t>0.24 (0.01, 0.46)</w:t>
            </w:r>
          </w:p>
        </w:tc>
        <w:tc>
          <w:tcPr>
            <w:tcW w:w="1140" w:type="dxa"/>
            <w:tcBorders>
              <w:top w:val="single" w:sz="2" w:space="0" w:color="AAAAAA"/>
              <w:left w:val="nil"/>
              <w:bottom w:val="single" w:sz="2" w:space="0" w:color="AAAAAA"/>
              <w:right w:val="nil"/>
            </w:tcBorders>
            <w:tcMar>
              <w:top w:w="60" w:type="dxa"/>
              <w:left w:w="120" w:type="dxa"/>
              <w:bottom w:w="60" w:type="dxa"/>
              <w:right w:w="120" w:type="dxa"/>
            </w:tcMar>
          </w:tcPr>
          <w:p w14:paraId="0174AA29" w14:textId="1EAF58E0" w:rsidR="009334E2" w:rsidRPr="00274B66" w:rsidRDefault="009334E2" w:rsidP="00A92CA2">
            <w:pPr>
              <w:spacing w:before="40" w:after="40"/>
              <w:jc w:val="center"/>
              <w:rPr>
                <w:rFonts w:eastAsia="Arial"/>
                <w:sz w:val="20"/>
                <w:szCs w:val="20"/>
                <w:lang w:eastAsia="en-IN" w:bidi="hi-IN"/>
              </w:rPr>
            </w:pPr>
            <w:r w:rsidRPr="009334E2">
              <w:rPr>
                <w:rFonts w:eastAsia="Arial"/>
                <w:sz w:val="20"/>
                <w:szCs w:val="20"/>
                <w:lang w:eastAsia="en-IN" w:bidi="hi-IN"/>
              </w:rPr>
              <w:t>0.115</w:t>
            </w:r>
          </w:p>
        </w:tc>
        <w:tc>
          <w:tcPr>
            <w:tcW w:w="1053" w:type="dxa"/>
            <w:tcBorders>
              <w:top w:val="single" w:sz="2" w:space="0" w:color="AAAAAA"/>
              <w:left w:val="nil"/>
              <w:bottom w:val="single" w:sz="2" w:space="0" w:color="AAAAAA"/>
              <w:right w:val="nil"/>
            </w:tcBorders>
            <w:tcMar>
              <w:top w:w="60" w:type="dxa"/>
              <w:left w:w="120" w:type="dxa"/>
              <w:bottom w:w="60" w:type="dxa"/>
              <w:right w:w="120" w:type="dxa"/>
            </w:tcMar>
          </w:tcPr>
          <w:p w14:paraId="73B091FA" w14:textId="47F14CBC" w:rsidR="009334E2" w:rsidRPr="00274B66" w:rsidRDefault="009334E2" w:rsidP="00A92CA2">
            <w:pPr>
              <w:spacing w:before="40" w:after="40"/>
              <w:jc w:val="center"/>
              <w:rPr>
                <w:rFonts w:eastAsia="Arial"/>
                <w:sz w:val="20"/>
                <w:szCs w:val="20"/>
                <w:lang w:eastAsia="en-IN" w:bidi="hi-IN"/>
              </w:rPr>
            </w:pPr>
            <w:r>
              <w:rPr>
                <w:rFonts w:eastAsia="Arial"/>
                <w:sz w:val="20"/>
                <w:szCs w:val="20"/>
                <w:lang w:eastAsia="en-IN" w:bidi="hi-IN"/>
              </w:rPr>
              <w:t>2.07</w:t>
            </w:r>
          </w:p>
        </w:tc>
        <w:tc>
          <w:tcPr>
            <w:tcW w:w="1140" w:type="dxa"/>
            <w:gridSpan w:val="2"/>
            <w:tcBorders>
              <w:top w:val="single" w:sz="2" w:space="0" w:color="AAAAAA"/>
              <w:left w:val="nil"/>
              <w:bottom w:val="single" w:sz="2" w:space="0" w:color="AAAAAA"/>
              <w:right w:val="nil"/>
            </w:tcBorders>
            <w:tcMar>
              <w:top w:w="60" w:type="dxa"/>
              <w:left w:w="120" w:type="dxa"/>
              <w:bottom w:w="60" w:type="dxa"/>
              <w:right w:w="120" w:type="dxa"/>
            </w:tcMar>
          </w:tcPr>
          <w:p w14:paraId="57DD0EAB" w14:textId="0F19AD74" w:rsidR="009334E2" w:rsidRPr="00274B66" w:rsidRDefault="009334E2" w:rsidP="00A92CA2">
            <w:pPr>
              <w:spacing w:before="40" w:after="40"/>
              <w:jc w:val="center"/>
              <w:rPr>
                <w:rFonts w:eastAsia="Arial"/>
                <w:sz w:val="20"/>
                <w:szCs w:val="20"/>
                <w:lang w:eastAsia="en-IN" w:bidi="hi-IN"/>
              </w:rPr>
            </w:pPr>
            <w:r>
              <w:rPr>
                <w:rFonts w:eastAsia="Arial"/>
                <w:sz w:val="20"/>
                <w:szCs w:val="20"/>
                <w:lang w:eastAsia="en-IN" w:bidi="hi-IN"/>
              </w:rPr>
              <w:t>0.038</w:t>
            </w:r>
          </w:p>
        </w:tc>
      </w:tr>
      <w:tr w:rsidR="009334E2" w:rsidRPr="00A92CA2" w14:paraId="1F38A77E" w14:textId="77777777" w:rsidTr="00F72FC0">
        <w:tc>
          <w:tcPr>
            <w:tcW w:w="4171" w:type="dxa"/>
            <w:tcBorders>
              <w:top w:val="single" w:sz="2" w:space="0" w:color="AAAAAA"/>
              <w:left w:val="nil"/>
              <w:bottom w:val="single" w:sz="2" w:space="0" w:color="AAAAAA"/>
              <w:right w:val="nil"/>
            </w:tcBorders>
            <w:tcMar>
              <w:top w:w="60" w:type="dxa"/>
              <w:left w:w="120" w:type="dxa"/>
              <w:bottom w:w="60" w:type="dxa"/>
              <w:right w:w="120" w:type="dxa"/>
            </w:tcMar>
          </w:tcPr>
          <w:p w14:paraId="4DDA3149" w14:textId="59C6B083" w:rsidR="009334E2" w:rsidRPr="00274B66" w:rsidDel="008B054E" w:rsidRDefault="009334E2" w:rsidP="00F72FC0">
            <w:pPr>
              <w:spacing w:before="40" w:after="40"/>
              <w:rPr>
                <w:rFonts w:eastAsia="Arial"/>
                <w:sz w:val="20"/>
                <w:szCs w:val="20"/>
                <w:lang w:eastAsia="en-IN" w:bidi="hi-IN"/>
              </w:rPr>
            </w:pPr>
            <w:r w:rsidRPr="008B054E">
              <w:rPr>
                <w:rFonts w:eastAsia="Arial"/>
                <w:sz w:val="20"/>
                <w:szCs w:val="20"/>
                <w:lang w:eastAsia="en-IN" w:bidi="hi-IN"/>
              </w:rPr>
              <w:t xml:space="preserve">Case Characteristics (vs. </w:t>
            </w:r>
            <w:r w:rsidRPr="009334E2">
              <w:rPr>
                <w:rFonts w:eastAsia="Arial"/>
                <w:sz w:val="20"/>
                <w:szCs w:val="20"/>
                <w:lang w:eastAsia="en-IN" w:bidi="hi-IN"/>
              </w:rPr>
              <w:t>CHC with fibrosis/cirrhosis</w:t>
            </w:r>
            <w:r w:rsidRPr="008B054E">
              <w:rPr>
                <w:rFonts w:eastAsia="Arial"/>
                <w:sz w:val="20"/>
                <w:szCs w:val="20"/>
                <w:lang w:eastAsia="en-IN" w:bidi="hi-IN"/>
              </w:rPr>
              <w:t>)</w:t>
            </w:r>
          </w:p>
        </w:tc>
        <w:tc>
          <w:tcPr>
            <w:tcW w:w="2679" w:type="dxa"/>
            <w:tcBorders>
              <w:top w:val="single" w:sz="2" w:space="0" w:color="AAAAAA"/>
              <w:left w:val="nil"/>
              <w:bottom w:val="single" w:sz="2" w:space="0" w:color="AAAAAA"/>
              <w:right w:val="nil"/>
            </w:tcBorders>
            <w:tcMar>
              <w:top w:w="60" w:type="dxa"/>
              <w:left w:w="120" w:type="dxa"/>
              <w:bottom w:w="60" w:type="dxa"/>
              <w:right w:w="120" w:type="dxa"/>
            </w:tcMar>
          </w:tcPr>
          <w:p w14:paraId="46A19064" w14:textId="77777777" w:rsidR="009334E2" w:rsidRPr="00274B66" w:rsidDel="008B054E" w:rsidRDefault="009334E2" w:rsidP="00A92CA2">
            <w:pPr>
              <w:spacing w:before="40" w:after="40"/>
              <w:jc w:val="center"/>
              <w:rPr>
                <w:rFonts w:eastAsia="Arial"/>
                <w:sz w:val="20"/>
                <w:szCs w:val="20"/>
                <w:lang w:eastAsia="en-IN" w:bidi="hi-IN"/>
              </w:rPr>
            </w:pPr>
          </w:p>
        </w:tc>
        <w:tc>
          <w:tcPr>
            <w:tcW w:w="1140" w:type="dxa"/>
            <w:tcBorders>
              <w:top w:val="single" w:sz="2" w:space="0" w:color="AAAAAA"/>
              <w:left w:val="nil"/>
              <w:bottom w:val="single" w:sz="2" w:space="0" w:color="AAAAAA"/>
              <w:right w:val="nil"/>
            </w:tcBorders>
            <w:tcMar>
              <w:top w:w="60" w:type="dxa"/>
              <w:left w:w="120" w:type="dxa"/>
              <w:bottom w:w="60" w:type="dxa"/>
              <w:right w:w="120" w:type="dxa"/>
            </w:tcMar>
          </w:tcPr>
          <w:p w14:paraId="3F2D221F" w14:textId="77777777" w:rsidR="009334E2" w:rsidRPr="00274B66" w:rsidDel="008B054E" w:rsidRDefault="009334E2" w:rsidP="00A92CA2">
            <w:pPr>
              <w:spacing w:before="40" w:after="40"/>
              <w:jc w:val="center"/>
              <w:rPr>
                <w:rFonts w:eastAsia="Arial"/>
                <w:sz w:val="20"/>
                <w:szCs w:val="20"/>
                <w:lang w:eastAsia="en-IN" w:bidi="hi-IN"/>
              </w:rPr>
            </w:pPr>
          </w:p>
        </w:tc>
        <w:tc>
          <w:tcPr>
            <w:tcW w:w="1053" w:type="dxa"/>
            <w:tcBorders>
              <w:top w:val="single" w:sz="2" w:space="0" w:color="AAAAAA"/>
              <w:left w:val="nil"/>
              <w:bottom w:val="single" w:sz="2" w:space="0" w:color="AAAAAA"/>
              <w:right w:val="nil"/>
            </w:tcBorders>
            <w:tcMar>
              <w:top w:w="60" w:type="dxa"/>
              <w:left w:w="120" w:type="dxa"/>
              <w:bottom w:w="60" w:type="dxa"/>
              <w:right w:w="120" w:type="dxa"/>
            </w:tcMar>
          </w:tcPr>
          <w:p w14:paraId="4182D847" w14:textId="77777777" w:rsidR="009334E2" w:rsidRPr="00274B66" w:rsidDel="008B054E" w:rsidRDefault="009334E2" w:rsidP="00A92CA2">
            <w:pPr>
              <w:spacing w:before="40" w:after="40"/>
              <w:jc w:val="center"/>
              <w:rPr>
                <w:rFonts w:eastAsia="Arial"/>
                <w:sz w:val="20"/>
                <w:szCs w:val="20"/>
                <w:lang w:eastAsia="en-IN" w:bidi="hi-IN"/>
              </w:rPr>
            </w:pPr>
          </w:p>
        </w:tc>
        <w:tc>
          <w:tcPr>
            <w:tcW w:w="1140" w:type="dxa"/>
            <w:gridSpan w:val="2"/>
            <w:tcBorders>
              <w:top w:val="single" w:sz="2" w:space="0" w:color="AAAAAA"/>
              <w:left w:val="nil"/>
              <w:bottom w:val="single" w:sz="2" w:space="0" w:color="AAAAAA"/>
              <w:right w:val="nil"/>
            </w:tcBorders>
            <w:tcMar>
              <w:top w:w="60" w:type="dxa"/>
              <w:left w:w="120" w:type="dxa"/>
              <w:bottom w:w="60" w:type="dxa"/>
              <w:right w:w="120" w:type="dxa"/>
            </w:tcMar>
          </w:tcPr>
          <w:p w14:paraId="53AFED8A" w14:textId="77777777" w:rsidR="009334E2" w:rsidRPr="00274B66" w:rsidDel="008B054E" w:rsidRDefault="009334E2" w:rsidP="00A92CA2">
            <w:pPr>
              <w:spacing w:before="40" w:after="40"/>
              <w:jc w:val="center"/>
              <w:rPr>
                <w:rFonts w:eastAsia="Arial"/>
                <w:sz w:val="20"/>
                <w:szCs w:val="20"/>
                <w:lang w:eastAsia="en-IN" w:bidi="hi-IN"/>
              </w:rPr>
            </w:pPr>
          </w:p>
        </w:tc>
      </w:tr>
      <w:tr w:rsidR="009334E2" w:rsidRPr="00A92CA2" w14:paraId="163D24B0" w14:textId="77777777" w:rsidTr="00F72FC0">
        <w:tc>
          <w:tcPr>
            <w:tcW w:w="4171" w:type="dxa"/>
            <w:tcBorders>
              <w:top w:val="single" w:sz="2" w:space="0" w:color="AAAAAA"/>
              <w:left w:val="nil"/>
              <w:bottom w:val="single" w:sz="2" w:space="0" w:color="AAAAAA"/>
              <w:right w:val="nil"/>
            </w:tcBorders>
            <w:tcMar>
              <w:top w:w="60" w:type="dxa"/>
              <w:left w:w="120" w:type="dxa"/>
              <w:bottom w:w="60" w:type="dxa"/>
              <w:right w:w="120" w:type="dxa"/>
            </w:tcMar>
          </w:tcPr>
          <w:p w14:paraId="3F121062" w14:textId="4EEAF390" w:rsidR="009334E2" w:rsidRPr="00274B66" w:rsidRDefault="009334E2" w:rsidP="00F72FC0">
            <w:pPr>
              <w:spacing w:before="40" w:after="40"/>
              <w:rPr>
                <w:rFonts w:eastAsia="Arial"/>
                <w:sz w:val="20"/>
                <w:szCs w:val="20"/>
                <w:lang w:eastAsia="en-IN" w:bidi="hi-IN"/>
              </w:rPr>
            </w:pPr>
            <w:r w:rsidRPr="008B054E">
              <w:rPr>
                <w:rFonts w:eastAsia="Arial"/>
                <w:sz w:val="20"/>
                <w:szCs w:val="20"/>
                <w:lang w:eastAsia="en-IN" w:bidi="hi-IN"/>
              </w:rPr>
              <w:t> CHC with cirrhosis</w:t>
            </w:r>
          </w:p>
        </w:tc>
        <w:tc>
          <w:tcPr>
            <w:tcW w:w="2679" w:type="dxa"/>
            <w:tcBorders>
              <w:top w:val="single" w:sz="2" w:space="0" w:color="AAAAAA"/>
              <w:left w:val="nil"/>
              <w:bottom w:val="single" w:sz="2" w:space="0" w:color="AAAAAA"/>
              <w:right w:val="nil"/>
            </w:tcBorders>
            <w:tcMar>
              <w:top w:w="60" w:type="dxa"/>
              <w:left w:w="120" w:type="dxa"/>
              <w:bottom w:w="60" w:type="dxa"/>
              <w:right w:w="120" w:type="dxa"/>
            </w:tcMar>
          </w:tcPr>
          <w:p w14:paraId="330B5FE3" w14:textId="79005F88"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0.30 (0.07, 0.53)</w:t>
            </w:r>
          </w:p>
        </w:tc>
        <w:tc>
          <w:tcPr>
            <w:tcW w:w="1140" w:type="dxa"/>
            <w:tcBorders>
              <w:top w:val="single" w:sz="2" w:space="0" w:color="AAAAAA"/>
              <w:left w:val="nil"/>
              <w:bottom w:val="single" w:sz="2" w:space="0" w:color="AAAAAA"/>
              <w:right w:val="nil"/>
            </w:tcBorders>
            <w:tcMar>
              <w:top w:w="60" w:type="dxa"/>
              <w:left w:w="120" w:type="dxa"/>
              <w:bottom w:w="60" w:type="dxa"/>
              <w:right w:w="120" w:type="dxa"/>
            </w:tcMar>
          </w:tcPr>
          <w:p w14:paraId="566A4A99" w14:textId="5B271D76"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0.117</w:t>
            </w:r>
          </w:p>
        </w:tc>
        <w:tc>
          <w:tcPr>
            <w:tcW w:w="1053" w:type="dxa"/>
            <w:tcBorders>
              <w:top w:val="single" w:sz="2" w:space="0" w:color="AAAAAA"/>
              <w:left w:val="nil"/>
              <w:bottom w:val="single" w:sz="2" w:space="0" w:color="AAAAAA"/>
              <w:right w:val="nil"/>
            </w:tcBorders>
            <w:tcMar>
              <w:top w:w="60" w:type="dxa"/>
              <w:left w:w="120" w:type="dxa"/>
              <w:bottom w:w="60" w:type="dxa"/>
              <w:right w:w="120" w:type="dxa"/>
            </w:tcMar>
          </w:tcPr>
          <w:p w14:paraId="46BCC632" w14:textId="2831C17B"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2.56</w:t>
            </w:r>
          </w:p>
        </w:tc>
        <w:tc>
          <w:tcPr>
            <w:tcW w:w="1140" w:type="dxa"/>
            <w:gridSpan w:val="2"/>
            <w:tcBorders>
              <w:top w:val="single" w:sz="2" w:space="0" w:color="AAAAAA"/>
              <w:left w:val="nil"/>
              <w:bottom w:val="single" w:sz="2" w:space="0" w:color="AAAAAA"/>
              <w:right w:val="nil"/>
            </w:tcBorders>
            <w:tcMar>
              <w:top w:w="60" w:type="dxa"/>
              <w:left w:w="120" w:type="dxa"/>
              <w:bottom w:w="60" w:type="dxa"/>
              <w:right w:w="120" w:type="dxa"/>
            </w:tcMar>
          </w:tcPr>
          <w:p w14:paraId="530C343F" w14:textId="23177A5C" w:rsidR="009334E2" w:rsidRPr="00F72FC0" w:rsidRDefault="009334E2" w:rsidP="008B054E">
            <w:pPr>
              <w:spacing w:before="40" w:after="40"/>
              <w:jc w:val="center"/>
              <w:rPr>
                <w:rFonts w:eastAsia="Arial"/>
                <w:b/>
                <w:bCs/>
                <w:sz w:val="20"/>
                <w:szCs w:val="20"/>
                <w:lang w:eastAsia="en-IN" w:bidi="hi-IN"/>
              </w:rPr>
            </w:pPr>
            <w:r w:rsidRPr="00F72FC0">
              <w:rPr>
                <w:rFonts w:eastAsia="Arial"/>
                <w:b/>
                <w:bCs/>
                <w:sz w:val="20"/>
                <w:szCs w:val="20"/>
                <w:lang w:eastAsia="en-IN" w:bidi="hi-IN"/>
              </w:rPr>
              <w:t>0.0105</w:t>
            </w:r>
          </w:p>
        </w:tc>
      </w:tr>
      <w:tr w:rsidR="009334E2" w:rsidRPr="00A92CA2" w14:paraId="671687D8" w14:textId="77777777" w:rsidTr="00F72FC0">
        <w:tc>
          <w:tcPr>
            <w:tcW w:w="4171"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438C066" w14:textId="61350CE6" w:rsidR="009334E2" w:rsidRPr="00274B66" w:rsidRDefault="009334E2" w:rsidP="00F72FC0">
            <w:pPr>
              <w:spacing w:before="40" w:after="40"/>
              <w:rPr>
                <w:rFonts w:eastAsia="Arial"/>
                <w:sz w:val="20"/>
                <w:szCs w:val="20"/>
                <w:lang w:eastAsia="en-IN" w:bidi="hi-IN"/>
              </w:rPr>
            </w:pPr>
            <w:r w:rsidRPr="008B054E">
              <w:rPr>
                <w:rFonts w:eastAsia="Arial"/>
                <w:sz w:val="20"/>
                <w:szCs w:val="20"/>
                <w:lang w:eastAsia="en-IN" w:bidi="hi-IN"/>
              </w:rPr>
              <w:t> HIV HCV coinfection</w:t>
            </w:r>
          </w:p>
        </w:tc>
        <w:tc>
          <w:tcPr>
            <w:tcW w:w="2679"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403A109A" w14:textId="76443A47"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1.43 (-0.42, 3.28)</w:t>
            </w:r>
          </w:p>
        </w:tc>
        <w:tc>
          <w:tcPr>
            <w:tcW w:w="11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0E9BB997" w14:textId="327CA4FD"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0.944</w:t>
            </w:r>
          </w:p>
        </w:tc>
        <w:tc>
          <w:tcPr>
            <w:tcW w:w="10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072BA0F0" w14:textId="07EDCFE9"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1.52</w:t>
            </w:r>
          </w:p>
        </w:tc>
        <w:tc>
          <w:tcPr>
            <w:tcW w:w="1140" w:type="dxa"/>
            <w:gridSpan w:val="2"/>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2FC9CAD0" w14:textId="494DE3B4" w:rsidR="009334E2" w:rsidRPr="00274B66" w:rsidRDefault="009334E2" w:rsidP="008B054E">
            <w:pPr>
              <w:spacing w:before="40" w:after="40"/>
              <w:jc w:val="center"/>
              <w:rPr>
                <w:rFonts w:eastAsia="Arial"/>
                <w:sz w:val="20"/>
                <w:szCs w:val="20"/>
                <w:lang w:eastAsia="en-IN" w:bidi="hi-IN"/>
              </w:rPr>
            </w:pPr>
            <w:r>
              <w:rPr>
                <w:rFonts w:eastAsia="Arial"/>
                <w:sz w:val="20"/>
                <w:szCs w:val="20"/>
                <w:lang w:eastAsia="en-IN" w:bidi="hi-IN"/>
              </w:rPr>
              <w:t>0.</w:t>
            </w:r>
            <w:r w:rsidRPr="009334E2">
              <w:rPr>
                <w:rFonts w:eastAsia="Arial"/>
                <w:sz w:val="20"/>
                <w:szCs w:val="20"/>
                <w:lang w:eastAsia="en-IN" w:bidi="hi-IN"/>
              </w:rPr>
              <w:t>1288</w:t>
            </w:r>
          </w:p>
        </w:tc>
      </w:tr>
      <w:tr w:rsidR="009334E2" w:rsidRPr="00A92CA2" w14:paraId="43297A53" w14:textId="77777777" w:rsidTr="00F72FC0">
        <w:tc>
          <w:tcPr>
            <w:tcW w:w="4171"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380BC223" w14:textId="128D3B7F" w:rsidR="009334E2" w:rsidRPr="00274B66" w:rsidRDefault="009334E2" w:rsidP="00F72FC0">
            <w:pPr>
              <w:spacing w:before="40" w:after="40"/>
              <w:rPr>
                <w:rFonts w:eastAsia="Arial"/>
                <w:sz w:val="20"/>
                <w:szCs w:val="20"/>
                <w:lang w:eastAsia="en-IN" w:bidi="hi-IN"/>
              </w:rPr>
            </w:pPr>
            <w:r w:rsidRPr="008B054E">
              <w:rPr>
                <w:rFonts w:eastAsia="Arial"/>
                <w:b/>
                <w:bCs/>
                <w:sz w:val="20"/>
                <w:szCs w:val="20"/>
                <w:lang w:eastAsia="en-IN" w:bidi="hi-IN"/>
              </w:rPr>
              <w:t>Study Design (vs. Retrospective)</w:t>
            </w:r>
          </w:p>
        </w:tc>
        <w:tc>
          <w:tcPr>
            <w:tcW w:w="2679"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362391BB" w14:textId="4F302584" w:rsidR="009334E2" w:rsidRPr="00274B66" w:rsidRDefault="009334E2" w:rsidP="008B054E">
            <w:pPr>
              <w:spacing w:before="40" w:after="40"/>
              <w:jc w:val="center"/>
              <w:rPr>
                <w:rFonts w:eastAsia="Arial"/>
                <w:sz w:val="20"/>
                <w:szCs w:val="20"/>
                <w:lang w:eastAsia="en-IN" w:bidi="hi-IN"/>
              </w:rPr>
            </w:pPr>
          </w:p>
        </w:tc>
        <w:tc>
          <w:tcPr>
            <w:tcW w:w="1140"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0D9A84AF" w14:textId="051C2381" w:rsidR="009334E2" w:rsidRPr="00274B66" w:rsidRDefault="009334E2" w:rsidP="008B054E">
            <w:pPr>
              <w:spacing w:before="40" w:after="40"/>
              <w:jc w:val="center"/>
              <w:rPr>
                <w:rFonts w:eastAsia="Arial"/>
                <w:sz w:val="20"/>
                <w:szCs w:val="20"/>
                <w:lang w:eastAsia="en-IN" w:bidi="hi-IN"/>
              </w:rPr>
            </w:pPr>
          </w:p>
        </w:tc>
        <w:tc>
          <w:tcPr>
            <w:tcW w:w="1053" w:type="dxa"/>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BE0E791" w14:textId="238ACA95" w:rsidR="009334E2" w:rsidRPr="00274B66" w:rsidRDefault="009334E2" w:rsidP="008B054E">
            <w:pPr>
              <w:spacing w:before="40" w:after="40"/>
              <w:jc w:val="center"/>
              <w:rPr>
                <w:rFonts w:eastAsia="Arial"/>
                <w:sz w:val="20"/>
                <w:szCs w:val="20"/>
                <w:lang w:eastAsia="en-IN" w:bidi="hi-IN"/>
              </w:rPr>
            </w:pPr>
          </w:p>
        </w:tc>
        <w:tc>
          <w:tcPr>
            <w:tcW w:w="1140" w:type="dxa"/>
            <w:gridSpan w:val="2"/>
            <w:tcBorders>
              <w:top w:val="single" w:sz="2" w:space="0" w:color="AAAAAA"/>
              <w:left w:val="nil"/>
              <w:bottom w:val="single" w:sz="2" w:space="0" w:color="AAAAAA"/>
              <w:right w:val="nil"/>
            </w:tcBorders>
            <w:shd w:val="clear" w:color="auto" w:fill="F4F8FC"/>
            <w:tcMar>
              <w:top w:w="60" w:type="dxa"/>
              <w:left w:w="120" w:type="dxa"/>
              <w:bottom w:w="60" w:type="dxa"/>
              <w:right w:w="120" w:type="dxa"/>
            </w:tcMar>
          </w:tcPr>
          <w:p w14:paraId="7E209624" w14:textId="1E8A6AE1" w:rsidR="009334E2" w:rsidRPr="00274B66" w:rsidRDefault="009334E2" w:rsidP="008B054E">
            <w:pPr>
              <w:spacing w:before="40" w:after="40"/>
              <w:jc w:val="center"/>
              <w:rPr>
                <w:rFonts w:eastAsia="Arial"/>
                <w:sz w:val="20"/>
                <w:szCs w:val="20"/>
                <w:lang w:eastAsia="en-IN" w:bidi="hi-IN"/>
              </w:rPr>
            </w:pPr>
          </w:p>
        </w:tc>
      </w:tr>
      <w:tr w:rsidR="009334E2" w:rsidRPr="00A92CA2" w14:paraId="5D9DD882" w14:textId="77777777" w:rsidTr="00F72FC0">
        <w:tc>
          <w:tcPr>
            <w:tcW w:w="4171" w:type="dxa"/>
            <w:tcBorders>
              <w:top w:val="single" w:sz="2" w:space="0" w:color="AAAAAA"/>
              <w:left w:val="nil"/>
              <w:bottom w:val="single" w:sz="2" w:space="0" w:color="AAAAAA"/>
              <w:right w:val="nil"/>
            </w:tcBorders>
            <w:tcMar>
              <w:top w:w="60" w:type="dxa"/>
              <w:left w:w="120" w:type="dxa"/>
              <w:bottom w:w="60" w:type="dxa"/>
              <w:right w:w="120" w:type="dxa"/>
            </w:tcMar>
          </w:tcPr>
          <w:p w14:paraId="55B0850F" w14:textId="1834B714" w:rsidR="009334E2" w:rsidRPr="00274B66" w:rsidRDefault="009334E2" w:rsidP="00F72FC0">
            <w:pPr>
              <w:spacing w:before="40" w:after="40"/>
              <w:rPr>
                <w:rFonts w:eastAsia="Arial"/>
                <w:sz w:val="20"/>
                <w:szCs w:val="20"/>
                <w:lang w:eastAsia="en-IN" w:bidi="hi-IN"/>
              </w:rPr>
            </w:pPr>
            <w:r w:rsidRPr="008B054E">
              <w:rPr>
                <w:rFonts w:eastAsia="Arial"/>
                <w:sz w:val="20"/>
                <w:szCs w:val="20"/>
                <w:lang w:eastAsia="en-IN" w:bidi="hi-IN"/>
              </w:rPr>
              <w:t> Prospective</w:t>
            </w:r>
          </w:p>
        </w:tc>
        <w:tc>
          <w:tcPr>
            <w:tcW w:w="2679" w:type="dxa"/>
            <w:tcBorders>
              <w:top w:val="single" w:sz="2" w:space="0" w:color="AAAAAA"/>
              <w:left w:val="nil"/>
              <w:bottom w:val="single" w:sz="2" w:space="0" w:color="AAAAAA"/>
              <w:right w:val="nil"/>
            </w:tcBorders>
            <w:tcMar>
              <w:top w:w="60" w:type="dxa"/>
              <w:left w:w="120" w:type="dxa"/>
              <w:bottom w:w="60" w:type="dxa"/>
              <w:right w:w="120" w:type="dxa"/>
            </w:tcMar>
          </w:tcPr>
          <w:p w14:paraId="6FED7813" w14:textId="39603084"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0.15 (-0.11, 0.40)</w:t>
            </w:r>
          </w:p>
        </w:tc>
        <w:tc>
          <w:tcPr>
            <w:tcW w:w="1140" w:type="dxa"/>
            <w:tcBorders>
              <w:top w:val="single" w:sz="2" w:space="0" w:color="AAAAAA"/>
              <w:left w:val="nil"/>
              <w:bottom w:val="single" w:sz="2" w:space="0" w:color="AAAAAA"/>
              <w:right w:val="nil"/>
            </w:tcBorders>
            <w:tcMar>
              <w:top w:w="60" w:type="dxa"/>
              <w:left w:w="120" w:type="dxa"/>
              <w:bottom w:w="60" w:type="dxa"/>
              <w:right w:w="120" w:type="dxa"/>
            </w:tcMar>
          </w:tcPr>
          <w:p w14:paraId="042452C3" w14:textId="3A31FEE9"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0.132</w:t>
            </w:r>
          </w:p>
        </w:tc>
        <w:tc>
          <w:tcPr>
            <w:tcW w:w="1053" w:type="dxa"/>
            <w:tcBorders>
              <w:top w:val="single" w:sz="2" w:space="0" w:color="AAAAAA"/>
              <w:left w:val="nil"/>
              <w:bottom w:val="single" w:sz="2" w:space="0" w:color="AAAAAA"/>
              <w:right w:val="nil"/>
            </w:tcBorders>
            <w:tcMar>
              <w:top w:w="60" w:type="dxa"/>
              <w:left w:w="120" w:type="dxa"/>
              <w:bottom w:w="60" w:type="dxa"/>
              <w:right w:w="120" w:type="dxa"/>
            </w:tcMar>
          </w:tcPr>
          <w:p w14:paraId="0087BF03" w14:textId="2B0D0B02" w:rsidR="009334E2" w:rsidRPr="00274B66" w:rsidRDefault="009334E2" w:rsidP="008B054E">
            <w:pPr>
              <w:spacing w:before="40" w:after="40"/>
              <w:jc w:val="center"/>
              <w:rPr>
                <w:rFonts w:eastAsia="Arial"/>
                <w:sz w:val="20"/>
                <w:szCs w:val="20"/>
                <w:lang w:eastAsia="en-IN" w:bidi="hi-IN"/>
              </w:rPr>
            </w:pPr>
            <w:r w:rsidRPr="009334E2">
              <w:rPr>
                <w:rFonts w:eastAsia="Arial"/>
                <w:sz w:val="20"/>
                <w:szCs w:val="20"/>
                <w:lang w:eastAsia="en-IN" w:bidi="hi-IN"/>
              </w:rPr>
              <w:t>1.11</w:t>
            </w:r>
          </w:p>
        </w:tc>
        <w:tc>
          <w:tcPr>
            <w:tcW w:w="1140" w:type="dxa"/>
            <w:gridSpan w:val="2"/>
            <w:tcBorders>
              <w:top w:val="single" w:sz="2" w:space="0" w:color="AAAAAA"/>
              <w:left w:val="nil"/>
              <w:bottom w:val="single" w:sz="2" w:space="0" w:color="AAAAAA"/>
              <w:right w:val="nil"/>
            </w:tcBorders>
            <w:tcMar>
              <w:top w:w="60" w:type="dxa"/>
              <w:left w:w="120" w:type="dxa"/>
              <w:bottom w:w="60" w:type="dxa"/>
              <w:right w:w="120" w:type="dxa"/>
            </w:tcMar>
          </w:tcPr>
          <w:p w14:paraId="72B78418" w14:textId="2E6C27D1" w:rsidR="009334E2" w:rsidRPr="00274B66" w:rsidRDefault="009334E2" w:rsidP="008B054E">
            <w:pPr>
              <w:spacing w:before="40" w:after="40"/>
              <w:jc w:val="center"/>
              <w:rPr>
                <w:rFonts w:eastAsia="Arial"/>
                <w:sz w:val="20"/>
                <w:szCs w:val="20"/>
                <w:lang w:eastAsia="en-IN" w:bidi="hi-IN"/>
              </w:rPr>
            </w:pPr>
            <w:r>
              <w:rPr>
                <w:rFonts w:eastAsia="Arial"/>
                <w:sz w:val="20"/>
                <w:szCs w:val="20"/>
                <w:lang w:eastAsia="en-IN" w:bidi="hi-IN"/>
              </w:rPr>
              <w:t>0.</w:t>
            </w:r>
            <w:r w:rsidRPr="009334E2">
              <w:rPr>
                <w:rFonts w:eastAsia="Arial"/>
                <w:sz w:val="20"/>
                <w:szCs w:val="20"/>
                <w:lang w:eastAsia="en-IN" w:bidi="hi-IN"/>
              </w:rPr>
              <w:t>2675</w:t>
            </w:r>
          </w:p>
        </w:tc>
      </w:tr>
    </w:tbl>
    <w:p w14:paraId="59A99FFB" w14:textId="77777777" w:rsidR="00A92CA2" w:rsidRPr="00274B66" w:rsidRDefault="00A92CA2" w:rsidP="00A92CA2">
      <w:pPr>
        <w:spacing w:before="80"/>
        <w:rPr>
          <w:rFonts w:eastAsia="Arial"/>
          <w:sz w:val="20"/>
          <w:szCs w:val="20"/>
          <w:lang w:eastAsia="en-IN" w:bidi="hi-IN"/>
        </w:rPr>
      </w:pPr>
      <w:r w:rsidRPr="00274B66">
        <w:rPr>
          <w:rFonts w:eastAsia="Arial"/>
          <w:sz w:val="20"/>
          <w:szCs w:val="20"/>
          <w:lang w:eastAsia="en-IN" w:bidi="hi-IN"/>
        </w:rPr>
        <w:t>Abbreviations: k = number of studies; β = regression coefficient; SE = standard error; z = z-statistic; QM = omnibus test of moderators; R² = variance explained by combined moderators.</w:t>
      </w:r>
    </w:p>
    <w:p w14:paraId="5B6B48C8" w14:textId="01613DE8" w:rsidR="00A92CA2" w:rsidRPr="00274B66" w:rsidRDefault="00A92CA2" w:rsidP="00A92CA2">
      <w:pPr>
        <w:spacing w:before="80"/>
        <w:rPr>
          <w:rFonts w:eastAsia="Arial"/>
          <w:sz w:val="20"/>
          <w:szCs w:val="20"/>
          <w:lang w:eastAsia="en-IN" w:bidi="hi-IN"/>
        </w:rPr>
      </w:pPr>
      <w:r w:rsidRPr="00274B66">
        <w:rPr>
          <w:rFonts w:eastAsia="Arial"/>
          <w:sz w:val="20"/>
          <w:szCs w:val="20"/>
          <w:lang w:eastAsia="en-IN" w:bidi="hi-IN"/>
        </w:rPr>
        <w:t>SVR-</w:t>
      </w:r>
      <w:r w:rsidR="00DE4480">
        <w:rPr>
          <w:rFonts w:eastAsia="Arial"/>
          <w:sz w:val="20"/>
          <w:szCs w:val="20"/>
          <w:lang w:eastAsia="en-IN" w:bidi="hi-IN"/>
        </w:rPr>
        <w:t xml:space="preserve">12 </w:t>
      </w:r>
      <w:r w:rsidR="00AF701B">
        <w:rPr>
          <w:rFonts w:eastAsia="Arial"/>
          <w:sz w:val="20"/>
          <w:szCs w:val="20"/>
          <w:lang w:eastAsia="en-IN" w:bidi="hi-IN"/>
        </w:rPr>
        <w:t xml:space="preserve">meta-regression </w:t>
      </w:r>
      <w:r w:rsidRPr="00274B66">
        <w:rPr>
          <w:rFonts w:eastAsia="Arial"/>
          <w:sz w:val="20"/>
          <w:szCs w:val="20"/>
          <w:lang w:eastAsia="en-IN" w:bidi="hi-IN"/>
        </w:rPr>
        <w:t>model: case characteristics + study design</w:t>
      </w:r>
      <w:r w:rsidR="00AF701B">
        <w:rPr>
          <w:rFonts w:eastAsia="Arial"/>
          <w:sz w:val="20"/>
          <w:szCs w:val="20"/>
          <w:lang w:eastAsia="en-IN" w:bidi="hi-IN"/>
        </w:rPr>
        <w:t xml:space="preserve">. </w:t>
      </w:r>
      <w:r w:rsidRPr="00274B66">
        <w:rPr>
          <w:rFonts w:eastAsia="Arial"/>
          <w:sz w:val="20"/>
          <w:szCs w:val="20"/>
          <w:lang w:eastAsia="en-IN" w:bidi="hi-IN"/>
        </w:rPr>
        <w:t xml:space="preserve">Reference categories: </w:t>
      </w:r>
      <w:r w:rsidR="009334E2" w:rsidRPr="009334E2">
        <w:rPr>
          <w:rFonts w:eastAsia="Arial"/>
          <w:sz w:val="20"/>
          <w:szCs w:val="20"/>
          <w:lang w:eastAsia="en-IN" w:bidi="hi-IN"/>
        </w:rPr>
        <w:t>CHC with fibrosis/cirrhosis</w:t>
      </w:r>
      <w:r w:rsidRPr="00274B66">
        <w:rPr>
          <w:rFonts w:eastAsia="Arial"/>
          <w:sz w:val="20"/>
          <w:szCs w:val="20"/>
          <w:lang w:eastAsia="en-IN" w:bidi="hi-IN"/>
        </w:rPr>
        <w:t xml:space="preserve">, </w:t>
      </w:r>
      <w:r w:rsidR="000D75D8">
        <w:rPr>
          <w:rFonts w:eastAsia="Arial"/>
          <w:sz w:val="20"/>
          <w:szCs w:val="20"/>
          <w:lang w:eastAsia="en-IN" w:bidi="hi-IN"/>
        </w:rPr>
        <w:t>retrospective</w:t>
      </w:r>
      <w:r w:rsidRPr="00274B66">
        <w:rPr>
          <w:rFonts w:eastAsia="Arial"/>
          <w:sz w:val="20"/>
          <w:szCs w:val="20"/>
          <w:lang w:eastAsia="en-IN" w:bidi="hi-IN"/>
        </w:rPr>
        <w:t xml:space="preserve"> design. All models fitted using REML.</w:t>
      </w:r>
    </w:p>
    <w:p w14:paraId="492DBD5C" w14:textId="77777777" w:rsidR="00A92CA2" w:rsidRPr="00274B66" w:rsidRDefault="00A92CA2" w:rsidP="00274B66">
      <w:pPr>
        <w:jc w:val="both"/>
        <w:rPr>
          <w:sz w:val="20"/>
          <w:szCs w:val="20"/>
        </w:rPr>
      </w:pPr>
    </w:p>
    <w:p w14:paraId="21BC09FC" w14:textId="77777777" w:rsidR="00B052FE" w:rsidRPr="00E20B89" w:rsidRDefault="00B052FE">
      <w:pPr>
        <w:spacing w:after="160" w:line="259" w:lineRule="auto"/>
        <w:rPr>
          <w:rFonts w:ascii="Arial" w:hAnsi="Arial" w:cs="Arial"/>
          <w:b/>
          <w:bCs/>
          <w:sz w:val="20"/>
          <w:szCs w:val="20"/>
        </w:rPr>
        <w:sectPr w:rsidR="00B052FE" w:rsidRPr="00E20B89">
          <w:pgSz w:w="11906" w:h="16838"/>
          <w:pgMar w:top="1440" w:right="1440" w:bottom="1440" w:left="1440" w:header="709" w:footer="709" w:gutter="0"/>
          <w:cols w:space="708"/>
          <w:docGrid w:linePitch="360"/>
        </w:sectPr>
      </w:pPr>
    </w:p>
    <w:p w14:paraId="45D7BFD8" w14:textId="63D840DD" w:rsidR="00B052FE" w:rsidRPr="00E20B89" w:rsidRDefault="00CB73A9">
      <w:pPr>
        <w:jc w:val="both"/>
        <w:rPr>
          <w:b/>
          <w:bCs/>
          <w:sz w:val="20"/>
          <w:szCs w:val="20"/>
        </w:rPr>
      </w:pPr>
      <w:r w:rsidRPr="00E20B89">
        <w:rPr>
          <w:b/>
          <w:bCs/>
          <w:sz w:val="20"/>
          <w:szCs w:val="20"/>
        </w:rPr>
        <w:lastRenderedPageBreak/>
        <w:t>Appendix</w:t>
      </w:r>
      <w:r w:rsidR="003758D4">
        <w:rPr>
          <w:b/>
          <w:bCs/>
          <w:sz w:val="20"/>
          <w:szCs w:val="20"/>
        </w:rPr>
        <w:t xml:space="preserve"> </w:t>
      </w:r>
      <w:r w:rsidR="009B17EA">
        <w:rPr>
          <w:b/>
          <w:bCs/>
          <w:sz w:val="20"/>
          <w:szCs w:val="20"/>
        </w:rPr>
        <w:t>I</w:t>
      </w:r>
      <w:r w:rsidR="003758D4">
        <w:rPr>
          <w:b/>
          <w:bCs/>
          <w:sz w:val="20"/>
          <w:szCs w:val="20"/>
        </w:rPr>
        <w:t>X</w:t>
      </w:r>
      <w:r w:rsidRPr="00E20B89">
        <w:rPr>
          <w:b/>
          <w:bCs/>
          <w:sz w:val="20"/>
          <w:szCs w:val="20"/>
        </w:rPr>
        <w:t>: PRISMA 2020 checklist</w:t>
      </w:r>
      <w:r w:rsidR="0086257A">
        <w:rPr>
          <w:b/>
          <w:bCs/>
          <w:sz w:val="20"/>
          <w:szCs w:val="20"/>
        </w:rPr>
        <w:t xml:space="preserve"> </w:t>
      </w:r>
    </w:p>
    <w:p w14:paraId="00E79D43" w14:textId="77777777" w:rsidR="00B052FE" w:rsidRPr="00E20B89" w:rsidRDefault="00B052FE">
      <w:pPr>
        <w:jc w:val="both"/>
        <w:rPr>
          <w:b/>
          <w:bCs/>
          <w:sz w:val="20"/>
          <w:szCs w:val="20"/>
        </w:rPr>
      </w:pPr>
    </w:p>
    <w:tbl>
      <w:tblPr>
        <w:tblW w:w="15027" w:type="dxa"/>
        <w:tblInd w:w="-431" w:type="dxa"/>
        <w:tblLook w:val="04A0" w:firstRow="1" w:lastRow="0" w:firstColumn="1" w:lastColumn="0" w:noHBand="0" w:noVBand="1"/>
      </w:tblPr>
      <w:tblGrid>
        <w:gridCol w:w="1560"/>
        <w:gridCol w:w="567"/>
        <w:gridCol w:w="11057"/>
        <w:gridCol w:w="1843"/>
      </w:tblGrid>
      <w:tr w:rsidR="00B052FE" w:rsidRPr="00E20B89" w14:paraId="2AFED5FB" w14:textId="77777777" w:rsidTr="00274B66">
        <w:trPr>
          <w:trHeight w:val="65"/>
          <w:tblHeader/>
        </w:trPr>
        <w:tc>
          <w:tcPr>
            <w:tcW w:w="1560"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5088B402" w14:textId="77777777" w:rsidR="00B052FE" w:rsidRPr="00E20B89" w:rsidRDefault="00CB73A9">
            <w:pPr>
              <w:pStyle w:val="Default"/>
              <w:rPr>
                <w:rFonts w:ascii="Times New Roman" w:hAnsi="Times New Roman" w:cs="Times New Roman"/>
                <w:color w:val="FFFFFF"/>
                <w:sz w:val="16"/>
                <w:szCs w:val="16"/>
                <w:lang w:val="en-GB"/>
              </w:rPr>
            </w:pPr>
            <w:r w:rsidRPr="00E20B89">
              <w:rPr>
                <w:rFonts w:ascii="Times New Roman" w:hAnsi="Times New Roman" w:cs="Times New Roman"/>
                <w:b/>
                <w:bCs/>
                <w:color w:val="FFFFFF"/>
                <w:sz w:val="16"/>
                <w:szCs w:val="16"/>
                <w:lang w:val="en-GB"/>
              </w:rPr>
              <w:t xml:space="preserve">Section and Topic </w:t>
            </w:r>
          </w:p>
        </w:tc>
        <w:tc>
          <w:tcPr>
            <w:tcW w:w="56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276E9210" w14:textId="77777777" w:rsidR="00B052FE" w:rsidRPr="00E20B89" w:rsidRDefault="00CB73A9">
            <w:pPr>
              <w:pStyle w:val="Default"/>
              <w:rPr>
                <w:rFonts w:ascii="Times New Roman" w:hAnsi="Times New Roman" w:cs="Times New Roman"/>
                <w:b/>
                <w:bCs/>
                <w:color w:val="FFFFFF"/>
                <w:sz w:val="16"/>
                <w:szCs w:val="16"/>
                <w:lang w:val="en-GB"/>
              </w:rPr>
            </w:pPr>
            <w:r w:rsidRPr="00E20B89">
              <w:rPr>
                <w:rFonts w:ascii="Times New Roman" w:hAnsi="Times New Roman" w:cs="Times New Roman"/>
                <w:b/>
                <w:bCs/>
                <w:color w:val="FFFFFF"/>
                <w:sz w:val="16"/>
                <w:szCs w:val="16"/>
                <w:lang w:val="en-GB"/>
              </w:rPr>
              <w:t>Item #</w:t>
            </w:r>
          </w:p>
        </w:tc>
        <w:tc>
          <w:tcPr>
            <w:tcW w:w="11057"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57E62CE1" w14:textId="77777777" w:rsidR="00B052FE" w:rsidRPr="00E20B89" w:rsidRDefault="00CB73A9">
            <w:pPr>
              <w:pStyle w:val="Default"/>
              <w:rPr>
                <w:rFonts w:ascii="Times New Roman" w:hAnsi="Times New Roman" w:cs="Times New Roman"/>
                <w:color w:val="FFFFFF"/>
                <w:sz w:val="16"/>
                <w:szCs w:val="16"/>
                <w:lang w:val="en-GB"/>
              </w:rPr>
            </w:pPr>
            <w:r w:rsidRPr="00E20B89">
              <w:rPr>
                <w:rFonts w:ascii="Times New Roman" w:hAnsi="Times New Roman" w:cs="Times New Roman"/>
                <w:b/>
                <w:bCs/>
                <w:color w:val="FFFFFF"/>
                <w:sz w:val="16"/>
                <w:szCs w:val="16"/>
                <w:lang w:val="en-GB"/>
              </w:rPr>
              <w:t xml:space="preserve">Checklist item </w:t>
            </w:r>
          </w:p>
        </w:tc>
        <w:tc>
          <w:tcPr>
            <w:tcW w:w="1843"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34548F01" w14:textId="77777777" w:rsidR="00B052FE" w:rsidRPr="00E20B89" w:rsidRDefault="00CB73A9">
            <w:pPr>
              <w:pStyle w:val="Default"/>
              <w:rPr>
                <w:rFonts w:ascii="Times New Roman" w:hAnsi="Times New Roman" w:cs="Times New Roman"/>
                <w:color w:val="FFFFFF"/>
                <w:sz w:val="16"/>
                <w:szCs w:val="16"/>
                <w:lang w:val="en-GB"/>
              </w:rPr>
            </w:pPr>
            <w:r w:rsidRPr="00E20B89">
              <w:rPr>
                <w:rFonts w:ascii="Times New Roman" w:hAnsi="Times New Roman" w:cs="Times New Roman"/>
                <w:b/>
                <w:bCs/>
                <w:color w:val="FFFFFF"/>
                <w:sz w:val="16"/>
                <w:szCs w:val="16"/>
                <w:lang w:val="en-GB"/>
              </w:rPr>
              <w:t xml:space="preserve">Location where item is reported </w:t>
            </w:r>
          </w:p>
        </w:tc>
      </w:tr>
      <w:tr w:rsidR="00B052FE" w:rsidRPr="00E20B89" w14:paraId="38C26C8A" w14:textId="77777777" w:rsidTr="00274B66">
        <w:trPr>
          <w:trHeight w:val="24"/>
        </w:trPr>
        <w:tc>
          <w:tcPr>
            <w:tcW w:w="1318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D63D601" w14:textId="77777777" w:rsidR="00B052FE" w:rsidRPr="00E20B89" w:rsidRDefault="00CB73A9">
            <w:pPr>
              <w:pStyle w:val="Default"/>
              <w:rPr>
                <w:rFonts w:ascii="Times New Roman" w:hAnsi="Times New Roman" w:cs="Times New Roman"/>
                <w:sz w:val="16"/>
                <w:szCs w:val="16"/>
                <w:lang w:val="en-GB"/>
              </w:rPr>
            </w:pPr>
            <w:r w:rsidRPr="00E20B89">
              <w:rPr>
                <w:rFonts w:ascii="Times New Roman" w:hAnsi="Times New Roman" w:cs="Times New Roman"/>
                <w:b/>
                <w:bCs/>
                <w:sz w:val="16"/>
                <w:szCs w:val="16"/>
                <w:lang w:val="en-GB"/>
              </w:rPr>
              <w:t xml:space="preserve">TITLE </w:t>
            </w:r>
          </w:p>
        </w:tc>
        <w:tc>
          <w:tcPr>
            <w:tcW w:w="1843" w:type="dxa"/>
            <w:tcBorders>
              <w:top w:val="double" w:sz="4" w:space="0" w:color="000000"/>
              <w:left w:val="single" w:sz="4" w:space="0" w:color="000000"/>
              <w:bottom w:val="single" w:sz="4" w:space="0" w:color="000000"/>
              <w:right w:val="single" w:sz="4" w:space="0" w:color="000000"/>
            </w:tcBorders>
            <w:shd w:val="clear" w:color="auto" w:fill="FFFFCC"/>
          </w:tcPr>
          <w:p w14:paraId="4A159358" w14:textId="77777777" w:rsidR="00B052FE" w:rsidRPr="00E20B89" w:rsidRDefault="00B052FE">
            <w:pPr>
              <w:pStyle w:val="Default"/>
              <w:jc w:val="right"/>
              <w:rPr>
                <w:rFonts w:ascii="Times New Roman" w:hAnsi="Times New Roman" w:cs="Times New Roman"/>
                <w:color w:val="auto"/>
                <w:sz w:val="16"/>
                <w:szCs w:val="16"/>
                <w:lang w:val="en-GB"/>
              </w:rPr>
            </w:pPr>
          </w:p>
        </w:tc>
      </w:tr>
      <w:tr w:rsidR="00B052FE" w:rsidRPr="00E20B89" w14:paraId="512382F9" w14:textId="77777777" w:rsidTr="00274B66">
        <w:trPr>
          <w:trHeight w:val="48"/>
        </w:trPr>
        <w:tc>
          <w:tcPr>
            <w:tcW w:w="1560" w:type="dxa"/>
            <w:tcBorders>
              <w:top w:val="single" w:sz="4" w:space="0" w:color="000000"/>
              <w:left w:val="single" w:sz="4" w:space="0" w:color="000000"/>
              <w:bottom w:val="double" w:sz="2" w:space="0" w:color="FFFFCC"/>
              <w:right w:val="single" w:sz="4" w:space="0" w:color="000000"/>
            </w:tcBorders>
          </w:tcPr>
          <w:p w14:paraId="15CAAE3F"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Title </w:t>
            </w:r>
          </w:p>
        </w:tc>
        <w:tc>
          <w:tcPr>
            <w:tcW w:w="567" w:type="dxa"/>
            <w:tcBorders>
              <w:top w:val="single" w:sz="4" w:space="0" w:color="000000"/>
              <w:left w:val="single" w:sz="4" w:space="0" w:color="000000"/>
              <w:bottom w:val="double" w:sz="2" w:space="0" w:color="FFFFCC"/>
              <w:right w:val="single" w:sz="4" w:space="0" w:color="000000"/>
            </w:tcBorders>
          </w:tcPr>
          <w:p w14:paraId="1B8B5EA3"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w:t>
            </w:r>
          </w:p>
        </w:tc>
        <w:tc>
          <w:tcPr>
            <w:tcW w:w="11057" w:type="dxa"/>
            <w:tcBorders>
              <w:top w:val="single" w:sz="4" w:space="0" w:color="000000"/>
              <w:left w:val="single" w:sz="4" w:space="0" w:color="000000"/>
              <w:bottom w:val="double" w:sz="4" w:space="0" w:color="000000"/>
              <w:right w:val="single" w:sz="4" w:space="0" w:color="000000"/>
            </w:tcBorders>
          </w:tcPr>
          <w:p w14:paraId="4CBA4C16"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Identify the report as a systematic review.</w:t>
            </w:r>
          </w:p>
        </w:tc>
        <w:tc>
          <w:tcPr>
            <w:tcW w:w="1843" w:type="dxa"/>
            <w:tcBorders>
              <w:top w:val="single" w:sz="4" w:space="0" w:color="000000"/>
              <w:left w:val="single" w:sz="4" w:space="0" w:color="000000"/>
              <w:bottom w:val="double" w:sz="4" w:space="0" w:color="000000"/>
              <w:right w:val="single" w:sz="4" w:space="0" w:color="000000"/>
            </w:tcBorders>
          </w:tcPr>
          <w:p w14:paraId="2205BCAA" w14:textId="58443400"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Pg 1, Line 0</w:t>
            </w:r>
            <w:r w:rsidR="002208D1">
              <w:rPr>
                <w:rFonts w:ascii="Times New Roman" w:hAnsi="Times New Roman" w:cs="Times New Roman"/>
                <w:color w:val="auto"/>
                <w:sz w:val="16"/>
                <w:szCs w:val="16"/>
                <w:lang w:val="en-GB"/>
              </w:rPr>
              <w:t>1</w:t>
            </w:r>
          </w:p>
        </w:tc>
      </w:tr>
      <w:tr w:rsidR="00B052FE" w:rsidRPr="00E20B89" w14:paraId="0BCA3423" w14:textId="77777777" w:rsidTr="00274B66">
        <w:trPr>
          <w:trHeight w:val="24"/>
        </w:trPr>
        <w:tc>
          <w:tcPr>
            <w:tcW w:w="1318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A6473A8" w14:textId="77777777" w:rsidR="00B052FE" w:rsidRPr="00E20B89" w:rsidRDefault="00CB73A9">
            <w:pPr>
              <w:pStyle w:val="Default"/>
              <w:rPr>
                <w:rFonts w:ascii="Times New Roman" w:hAnsi="Times New Roman" w:cs="Times New Roman"/>
                <w:sz w:val="16"/>
                <w:szCs w:val="16"/>
                <w:lang w:val="en-GB"/>
              </w:rPr>
            </w:pPr>
            <w:r w:rsidRPr="00E20B89">
              <w:rPr>
                <w:rFonts w:ascii="Times New Roman" w:hAnsi="Times New Roman" w:cs="Times New Roman"/>
                <w:b/>
                <w:bCs/>
                <w:sz w:val="16"/>
                <w:szCs w:val="16"/>
                <w:lang w:val="en-GB"/>
              </w:rPr>
              <w:t xml:space="preserve">ABSTRACT </w:t>
            </w:r>
          </w:p>
        </w:tc>
        <w:tc>
          <w:tcPr>
            <w:tcW w:w="1843" w:type="dxa"/>
            <w:tcBorders>
              <w:top w:val="double" w:sz="4" w:space="0" w:color="000000"/>
              <w:left w:val="single" w:sz="4" w:space="0" w:color="000000"/>
              <w:bottom w:val="single" w:sz="4" w:space="0" w:color="000000"/>
              <w:right w:val="single" w:sz="4" w:space="0" w:color="000000"/>
            </w:tcBorders>
            <w:shd w:val="clear" w:color="auto" w:fill="FFFFCC"/>
          </w:tcPr>
          <w:p w14:paraId="5AB5CEC5" w14:textId="77777777" w:rsidR="00B052FE" w:rsidRPr="00E20B89" w:rsidRDefault="00B052FE">
            <w:pPr>
              <w:pStyle w:val="Default"/>
              <w:jc w:val="right"/>
              <w:rPr>
                <w:rFonts w:ascii="Times New Roman" w:hAnsi="Times New Roman" w:cs="Times New Roman"/>
                <w:color w:val="auto"/>
                <w:sz w:val="16"/>
                <w:szCs w:val="16"/>
                <w:lang w:val="en-GB"/>
              </w:rPr>
            </w:pPr>
          </w:p>
        </w:tc>
      </w:tr>
      <w:tr w:rsidR="00B052FE" w:rsidRPr="00E20B89" w14:paraId="2CB034C0" w14:textId="77777777" w:rsidTr="00274B66">
        <w:trPr>
          <w:trHeight w:val="48"/>
        </w:trPr>
        <w:tc>
          <w:tcPr>
            <w:tcW w:w="1560" w:type="dxa"/>
            <w:tcBorders>
              <w:top w:val="single" w:sz="4" w:space="0" w:color="000000"/>
              <w:left w:val="single" w:sz="4" w:space="0" w:color="000000"/>
              <w:bottom w:val="double" w:sz="2" w:space="0" w:color="FFFFCC"/>
              <w:right w:val="single" w:sz="4" w:space="0" w:color="000000"/>
            </w:tcBorders>
          </w:tcPr>
          <w:p w14:paraId="673ECAA6"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Abstract </w:t>
            </w:r>
          </w:p>
        </w:tc>
        <w:tc>
          <w:tcPr>
            <w:tcW w:w="567" w:type="dxa"/>
            <w:tcBorders>
              <w:top w:val="single" w:sz="4" w:space="0" w:color="000000"/>
              <w:left w:val="single" w:sz="4" w:space="0" w:color="000000"/>
              <w:bottom w:val="double" w:sz="2" w:space="0" w:color="FFFFCC"/>
              <w:right w:val="single" w:sz="4" w:space="0" w:color="000000"/>
            </w:tcBorders>
          </w:tcPr>
          <w:p w14:paraId="6EF13B63"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w:t>
            </w:r>
          </w:p>
        </w:tc>
        <w:tc>
          <w:tcPr>
            <w:tcW w:w="11057" w:type="dxa"/>
            <w:tcBorders>
              <w:top w:val="single" w:sz="4" w:space="0" w:color="000000"/>
              <w:left w:val="single" w:sz="4" w:space="0" w:color="000000"/>
              <w:bottom w:val="double" w:sz="4" w:space="0" w:color="000000"/>
              <w:right w:val="single" w:sz="4" w:space="0" w:color="000000"/>
            </w:tcBorders>
          </w:tcPr>
          <w:p w14:paraId="3780332F"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See the PRISMA 2020 for Abstracts checklist.</w:t>
            </w:r>
          </w:p>
        </w:tc>
        <w:tc>
          <w:tcPr>
            <w:tcW w:w="1843" w:type="dxa"/>
            <w:tcBorders>
              <w:top w:val="single" w:sz="4" w:space="0" w:color="000000"/>
              <w:left w:val="single" w:sz="4" w:space="0" w:color="000000"/>
              <w:bottom w:val="double" w:sz="4" w:space="0" w:color="000000"/>
              <w:right w:val="single" w:sz="4" w:space="0" w:color="000000"/>
            </w:tcBorders>
          </w:tcPr>
          <w:p w14:paraId="4C387368" w14:textId="1C7BF452"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4543CA">
              <w:rPr>
                <w:rFonts w:ascii="Times New Roman" w:hAnsi="Times New Roman" w:cs="Times New Roman"/>
                <w:color w:val="auto"/>
                <w:sz w:val="16"/>
                <w:szCs w:val="16"/>
                <w:lang w:val="en-GB"/>
              </w:rPr>
              <w:t>4</w:t>
            </w:r>
            <w:r w:rsidRPr="00E20B89">
              <w:rPr>
                <w:rFonts w:ascii="Times New Roman" w:hAnsi="Times New Roman" w:cs="Times New Roman"/>
                <w:color w:val="auto"/>
                <w:sz w:val="16"/>
                <w:szCs w:val="16"/>
                <w:lang w:val="en-GB"/>
              </w:rPr>
              <w:t xml:space="preserve">, Line </w:t>
            </w:r>
            <w:r w:rsidR="004543CA">
              <w:rPr>
                <w:rFonts w:ascii="Times New Roman" w:hAnsi="Times New Roman" w:cs="Times New Roman"/>
                <w:color w:val="auto"/>
                <w:sz w:val="16"/>
                <w:szCs w:val="16"/>
                <w:lang w:val="en-GB"/>
              </w:rPr>
              <w:t>68</w:t>
            </w:r>
          </w:p>
        </w:tc>
      </w:tr>
      <w:tr w:rsidR="00B052FE" w:rsidRPr="00E20B89" w14:paraId="06E3AFA4" w14:textId="77777777" w:rsidTr="00274B66">
        <w:trPr>
          <w:trHeight w:val="24"/>
        </w:trPr>
        <w:tc>
          <w:tcPr>
            <w:tcW w:w="1318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EE466AA" w14:textId="77777777" w:rsidR="00B052FE" w:rsidRPr="00E20B89" w:rsidRDefault="00CB73A9">
            <w:pPr>
              <w:pStyle w:val="Default"/>
              <w:rPr>
                <w:rFonts w:ascii="Times New Roman" w:hAnsi="Times New Roman" w:cs="Times New Roman"/>
                <w:sz w:val="16"/>
                <w:szCs w:val="16"/>
                <w:lang w:val="en-GB"/>
              </w:rPr>
            </w:pPr>
            <w:r w:rsidRPr="00E20B89">
              <w:rPr>
                <w:rFonts w:ascii="Times New Roman" w:hAnsi="Times New Roman" w:cs="Times New Roman"/>
                <w:b/>
                <w:bCs/>
                <w:sz w:val="16"/>
                <w:szCs w:val="16"/>
                <w:lang w:val="en-GB"/>
              </w:rPr>
              <w:t xml:space="preserve">INTRODUCTION </w:t>
            </w:r>
          </w:p>
        </w:tc>
        <w:tc>
          <w:tcPr>
            <w:tcW w:w="1843" w:type="dxa"/>
            <w:tcBorders>
              <w:top w:val="double" w:sz="4" w:space="0" w:color="000000"/>
              <w:left w:val="single" w:sz="4" w:space="0" w:color="000000"/>
              <w:bottom w:val="single" w:sz="4" w:space="0" w:color="000000"/>
              <w:right w:val="single" w:sz="4" w:space="0" w:color="000000"/>
            </w:tcBorders>
            <w:shd w:val="clear" w:color="auto" w:fill="FFFFCC"/>
          </w:tcPr>
          <w:p w14:paraId="1B437B73" w14:textId="77777777" w:rsidR="00B052FE" w:rsidRPr="00E20B89" w:rsidRDefault="00B052FE">
            <w:pPr>
              <w:pStyle w:val="Default"/>
              <w:jc w:val="right"/>
              <w:rPr>
                <w:rFonts w:ascii="Times New Roman" w:hAnsi="Times New Roman" w:cs="Times New Roman"/>
                <w:color w:val="auto"/>
                <w:sz w:val="16"/>
                <w:szCs w:val="16"/>
                <w:lang w:val="en-GB"/>
              </w:rPr>
            </w:pPr>
          </w:p>
        </w:tc>
      </w:tr>
      <w:tr w:rsidR="00B052FE" w:rsidRPr="00E20B89" w14:paraId="1427D57A"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67D5D748"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Rationale </w:t>
            </w:r>
          </w:p>
        </w:tc>
        <w:tc>
          <w:tcPr>
            <w:tcW w:w="567" w:type="dxa"/>
            <w:tcBorders>
              <w:top w:val="single" w:sz="4" w:space="0" w:color="000000"/>
              <w:left w:val="single" w:sz="4" w:space="0" w:color="000000"/>
              <w:bottom w:val="single" w:sz="4" w:space="0" w:color="000000"/>
              <w:right w:val="single" w:sz="4" w:space="0" w:color="000000"/>
            </w:tcBorders>
          </w:tcPr>
          <w:p w14:paraId="11B0C18C"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3</w:t>
            </w:r>
          </w:p>
        </w:tc>
        <w:tc>
          <w:tcPr>
            <w:tcW w:w="11057" w:type="dxa"/>
            <w:tcBorders>
              <w:top w:val="single" w:sz="4" w:space="0" w:color="000000"/>
              <w:left w:val="single" w:sz="4" w:space="0" w:color="000000"/>
              <w:bottom w:val="single" w:sz="4" w:space="0" w:color="000000"/>
              <w:right w:val="single" w:sz="4" w:space="0" w:color="000000"/>
            </w:tcBorders>
          </w:tcPr>
          <w:p w14:paraId="44FDC9E9"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the rationale for the review in the context of existing knowledge.</w:t>
            </w:r>
          </w:p>
        </w:tc>
        <w:tc>
          <w:tcPr>
            <w:tcW w:w="1843" w:type="dxa"/>
            <w:tcBorders>
              <w:top w:val="single" w:sz="4" w:space="0" w:color="000000"/>
              <w:left w:val="single" w:sz="4" w:space="0" w:color="000000"/>
              <w:bottom w:val="single" w:sz="4" w:space="0" w:color="000000"/>
              <w:right w:val="single" w:sz="4" w:space="0" w:color="000000"/>
            </w:tcBorders>
          </w:tcPr>
          <w:p w14:paraId="5737D65F" w14:textId="189F17CE"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6</w:t>
            </w:r>
            <w:r w:rsidRPr="00E20B89">
              <w:rPr>
                <w:rFonts w:ascii="Times New Roman" w:hAnsi="Times New Roman" w:cs="Times New Roman"/>
                <w:color w:val="auto"/>
                <w:sz w:val="16"/>
                <w:szCs w:val="16"/>
                <w:lang w:val="en-GB"/>
              </w:rPr>
              <w:t xml:space="preserve">, Line </w:t>
            </w:r>
            <w:r w:rsidR="00743437">
              <w:rPr>
                <w:rFonts w:ascii="Times New Roman" w:hAnsi="Times New Roman" w:cs="Times New Roman"/>
                <w:color w:val="auto"/>
                <w:sz w:val="16"/>
                <w:szCs w:val="16"/>
                <w:lang w:val="en-GB"/>
              </w:rPr>
              <w:t>134</w:t>
            </w:r>
          </w:p>
        </w:tc>
      </w:tr>
      <w:tr w:rsidR="00B052FE" w:rsidRPr="00E20B89" w14:paraId="33578FEC" w14:textId="77777777" w:rsidTr="00274B66">
        <w:trPr>
          <w:trHeight w:val="48"/>
        </w:trPr>
        <w:tc>
          <w:tcPr>
            <w:tcW w:w="1560" w:type="dxa"/>
            <w:tcBorders>
              <w:top w:val="single" w:sz="4" w:space="0" w:color="000000"/>
              <w:left w:val="single" w:sz="4" w:space="0" w:color="000000"/>
              <w:bottom w:val="double" w:sz="2" w:space="0" w:color="FFFFCC"/>
              <w:right w:val="single" w:sz="4" w:space="0" w:color="000000"/>
            </w:tcBorders>
          </w:tcPr>
          <w:p w14:paraId="5735706D"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Objectives </w:t>
            </w:r>
          </w:p>
        </w:tc>
        <w:tc>
          <w:tcPr>
            <w:tcW w:w="567" w:type="dxa"/>
            <w:tcBorders>
              <w:top w:val="single" w:sz="4" w:space="0" w:color="000000"/>
              <w:left w:val="single" w:sz="4" w:space="0" w:color="000000"/>
              <w:bottom w:val="double" w:sz="2" w:space="0" w:color="FFFFCC"/>
              <w:right w:val="single" w:sz="4" w:space="0" w:color="000000"/>
            </w:tcBorders>
          </w:tcPr>
          <w:p w14:paraId="3826EDE6"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4</w:t>
            </w:r>
          </w:p>
        </w:tc>
        <w:tc>
          <w:tcPr>
            <w:tcW w:w="11057" w:type="dxa"/>
            <w:tcBorders>
              <w:top w:val="single" w:sz="4" w:space="0" w:color="000000"/>
              <w:left w:val="single" w:sz="4" w:space="0" w:color="000000"/>
              <w:bottom w:val="double" w:sz="4" w:space="0" w:color="000000"/>
              <w:right w:val="single" w:sz="4" w:space="0" w:color="000000"/>
            </w:tcBorders>
          </w:tcPr>
          <w:p w14:paraId="48816466"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Provide an explicit statement of the objective(s) or question(s) the review addresses.</w:t>
            </w:r>
          </w:p>
        </w:tc>
        <w:tc>
          <w:tcPr>
            <w:tcW w:w="1843" w:type="dxa"/>
            <w:tcBorders>
              <w:top w:val="single" w:sz="4" w:space="0" w:color="000000"/>
              <w:left w:val="single" w:sz="4" w:space="0" w:color="000000"/>
              <w:bottom w:val="double" w:sz="4" w:space="0" w:color="000000"/>
              <w:right w:val="single" w:sz="4" w:space="0" w:color="000000"/>
            </w:tcBorders>
          </w:tcPr>
          <w:p w14:paraId="26F580B6" w14:textId="64295FF9"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7</w:t>
            </w:r>
            <w:r w:rsidRPr="00E20B89">
              <w:rPr>
                <w:rFonts w:ascii="Times New Roman" w:hAnsi="Times New Roman" w:cs="Times New Roman"/>
                <w:color w:val="auto"/>
                <w:sz w:val="16"/>
                <w:szCs w:val="16"/>
                <w:lang w:val="en-GB"/>
              </w:rPr>
              <w:t xml:space="preserve">, Line </w:t>
            </w:r>
            <w:r w:rsidR="00743437">
              <w:rPr>
                <w:rFonts w:ascii="Times New Roman" w:hAnsi="Times New Roman" w:cs="Times New Roman"/>
                <w:color w:val="auto"/>
                <w:sz w:val="16"/>
                <w:szCs w:val="16"/>
                <w:lang w:val="en-GB"/>
              </w:rPr>
              <w:t>139</w:t>
            </w:r>
          </w:p>
        </w:tc>
      </w:tr>
      <w:tr w:rsidR="00B052FE" w:rsidRPr="00E20B89" w14:paraId="5CFEB7FE" w14:textId="77777777" w:rsidTr="00274B66">
        <w:trPr>
          <w:trHeight w:val="24"/>
        </w:trPr>
        <w:tc>
          <w:tcPr>
            <w:tcW w:w="1318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139275A" w14:textId="77777777" w:rsidR="00B052FE" w:rsidRPr="00E20B89" w:rsidRDefault="00CB73A9">
            <w:pPr>
              <w:pStyle w:val="Default"/>
              <w:rPr>
                <w:rFonts w:ascii="Times New Roman" w:hAnsi="Times New Roman" w:cs="Times New Roman"/>
                <w:sz w:val="16"/>
                <w:szCs w:val="16"/>
                <w:lang w:val="en-GB"/>
              </w:rPr>
            </w:pPr>
            <w:r w:rsidRPr="00E20B89">
              <w:rPr>
                <w:rFonts w:ascii="Times New Roman" w:hAnsi="Times New Roman" w:cs="Times New Roman"/>
                <w:b/>
                <w:bCs/>
                <w:sz w:val="16"/>
                <w:szCs w:val="16"/>
                <w:lang w:val="en-GB"/>
              </w:rPr>
              <w:t xml:space="preserve">METHODS </w:t>
            </w:r>
          </w:p>
        </w:tc>
        <w:tc>
          <w:tcPr>
            <w:tcW w:w="1843" w:type="dxa"/>
            <w:tcBorders>
              <w:top w:val="double" w:sz="4" w:space="0" w:color="000000"/>
              <w:left w:val="single" w:sz="4" w:space="0" w:color="000000"/>
              <w:bottom w:val="single" w:sz="4" w:space="0" w:color="000000"/>
              <w:right w:val="single" w:sz="4" w:space="0" w:color="000000"/>
            </w:tcBorders>
            <w:shd w:val="clear" w:color="auto" w:fill="FFFFCC"/>
          </w:tcPr>
          <w:p w14:paraId="48A780A3" w14:textId="77777777" w:rsidR="00B052FE" w:rsidRPr="00E20B89" w:rsidRDefault="00B052FE">
            <w:pPr>
              <w:pStyle w:val="Default"/>
              <w:jc w:val="right"/>
              <w:rPr>
                <w:rFonts w:ascii="Times New Roman" w:hAnsi="Times New Roman" w:cs="Times New Roman"/>
                <w:color w:val="auto"/>
                <w:sz w:val="16"/>
                <w:szCs w:val="16"/>
                <w:lang w:val="en-GB"/>
              </w:rPr>
            </w:pPr>
          </w:p>
        </w:tc>
      </w:tr>
      <w:tr w:rsidR="00B052FE" w:rsidRPr="00E20B89" w14:paraId="10A1FCC6"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32E56FC1"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Eligibility criteria </w:t>
            </w:r>
          </w:p>
        </w:tc>
        <w:tc>
          <w:tcPr>
            <w:tcW w:w="567" w:type="dxa"/>
            <w:tcBorders>
              <w:top w:val="single" w:sz="4" w:space="0" w:color="000000"/>
              <w:left w:val="single" w:sz="4" w:space="0" w:color="000000"/>
              <w:bottom w:val="single" w:sz="4" w:space="0" w:color="000000"/>
              <w:right w:val="single" w:sz="4" w:space="0" w:color="000000"/>
            </w:tcBorders>
          </w:tcPr>
          <w:p w14:paraId="26FD08D8"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5</w:t>
            </w:r>
          </w:p>
        </w:tc>
        <w:tc>
          <w:tcPr>
            <w:tcW w:w="11057" w:type="dxa"/>
            <w:tcBorders>
              <w:top w:val="single" w:sz="4" w:space="0" w:color="000000"/>
              <w:left w:val="single" w:sz="4" w:space="0" w:color="000000"/>
              <w:bottom w:val="single" w:sz="4" w:space="0" w:color="000000"/>
              <w:right w:val="single" w:sz="4" w:space="0" w:color="000000"/>
            </w:tcBorders>
          </w:tcPr>
          <w:p w14:paraId="5449161E"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Specify the inclusion and exclusion criteria for the review and how studies were grouped for the syntheses.</w:t>
            </w:r>
          </w:p>
        </w:tc>
        <w:tc>
          <w:tcPr>
            <w:tcW w:w="1843" w:type="dxa"/>
            <w:tcBorders>
              <w:top w:val="single" w:sz="4" w:space="0" w:color="000000"/>
              <w:left w:val="single" w:sz="4" w:space="0" w:color="000000"/>
              <w:bottom w:val="single" w:sz="4" w:space="0" w:color="000000"/>
              <w:right w:val="single" w:sz="4" w:space="0" w:color="000000"/>
            </w:tcBorders>
          </w:tcPr>
          <w:p w14:paraId="12E259F6" w14:textId="024B2A55"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8</w:t>
            </w:r>
            <w:r w:rsidRPr="00E20B89">
              <w:rPr>
                <w:rFonts w:ascii="Times New Roman" w:hAnsi="Times New Roman" w:cs="Times New Roman"/>
                <w:color w:val="auto"/>
                <w:sz w:val="16"/>
                <w:szCs w:val="16"/>
                <w:lang w:val="en-GB"/>
              </w:rPr>
              <w:t xml:space="preserve">, Line </w:t>
            </w:r>
            <w:r w:rsidR="00743437">
              <w:rPr>
                <w:rFonts w:ascii="Times New Roman" w:hAnsi="Times New Roman" w:cs="Times New Roman"/>
                <w:color w:val="auto"/>
                <w:sz w:val="16"/>
                <w:szCs w:val="16"/>
                <w:lang w:val="en-GB"/>
              </w:rPr>
              <w:t>168</w:t>
            </w:r>
          </w:p>
        </w:tc>
      </w:tr>
      <w:tr w:rsidR="00B052FE" w:rsidRPr="00E20B89" w14:paraId="431A1716" w14:textId="77777777" w:rsidTr="00274B66">
        <w:trPr>
          <w:trHeight w:val="191"/>
        </w:trPr>
        <w:tc>
          <w:tcPr>
            <w:tcW w:w="1560" w:type="dxa"/>
            <w:tcBorders>
              <w:top w:val="single" w:sz="4" w:space="0" w:color="000000"/>
              <w:left w:val="single" w:sz="4" w:space="0" w:color="000000"/>
              <w:bottom w:val="single" w:sz="4" w:space="0" w:color="000000"/>
              <w:right w:val="single" w:sz="4" w:space="0" w:color="000000"/>
            </w:tcBorders>
          </w:tcPr>
          <w:p w14:paraId="316AF991"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Information sources </w:t>
            </w:r>
          </w:p>
        </w:tc>
        <w:tc>
          <w:tcPr>
            <w:tcW w:w="567" w:type="dxa"/>
            <w:tcBorders>
              <w:top w:val="single" w:sz="4" w:space="0" w:color="000000"/>
              <w:left w:val="single" w:sz="4" w:space="0" w:color="000000"/>
              <w:bottom w:val="single" w:sz="4" w:space="0" w:color="000000"/>
              <w:right w:val="single" w:sz="4" w:space="0" w:color="000000"/>
            </w:tcBorders>
          </w:tcPr>
          <w:p w14:paraId="6FF50E02"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6</w:t>
            </w:r>
          </w:p>
        </w:tc>
        <w:tc>
          <w:tcPr>
            <w:tcW w:w="11057" w:type="dxa"/>
            <w:tcBorders>
              <w:top w:val="single" w:sz="4" w:space="0" w:color="000000"/>
              <w:left w:val="single" w:sz="4" w:space="0" w:color="000000"/>
              <w:bottom w:val="single" w:sz="4" w:space="0" w:color="000000"/>
              <w:right w:val="single" w:sz="4" w:space="0" w:color="000000"/>
            </w:tcBorders>
          </w:tcPr>
          <w:p w14:paraId="272756DE"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Specify all databases, registers, websites, organisations, reference lists and other sources searched or consulted to identify studies. Specify the date when each source was last searched or consulted.</w:t>
            </w:r>
          </w:p>
        </w:tc>
        <w:tc>
          <w:tcPr>
            <w:tcW w:w="1843" w:type="dxa"/>
            <w:tcBorders>
              <w:top w:val="single" w:sz="4" w:space="0" w:color="000000"/>
              <w:left w:val="single" w:sz="4" w:space="0" w:color="000000"/>
              <w:bottom w:val="single" w:sz="4" w:space="0" w:color="000000"/>
              <w:right w:val="single" w:sz="4" w:space="0" w:color="000000"/>
            </w:tcBorders>
          </w:tcPr>
          <w:p w14:paraId="2B3C4B1B" w14:textId="5BB61674"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8</w:t>
            </w:r>
            <w:r w:rsidRPr="00E20B89">
              <w:rPr>
                <w:rFonts w:ascii="Times New Roman" w:hAnsi="Times New Roman" w:cs="Times New Roman"/>
                <w:color w:val="auto"/>
                <w:sz w:val="16"/>
                <w:szCs w:val="16"/>
                <w:lang w:val="en-GB"/>
              </w:rPr>
              <w:t xml:space="preserve">, Line </w:t>
            </w:r>
            <w:r w:rsidR="00743437">
              <w:rPr>
                <w:rFonts w:ascii="Times New Roman" w:hAnsi="Times New Roman" w:cs="Times New Roman"/>
                <w:color w:val="auto"/>
                <w:sz w:val="16"/>
                <w:szCs w:val="16"/>
                <w:lang w:val="en-GB"/>
              </w:rPr>
              <w:t>166</w:t>
            </w:r>
          </w:p>
        </w:tc>
      </w:tr>
      <w:tr w:rsidR="00B052FE" w:rsidRPr="00E20B89" w14:paraId="0E035C7E"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5AF47D62"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Search strategy</w:t>
            </w:r>
          </w:p>
        </w:tc>
        <w:tc>
          <w:tcPr>
            <w:tcW w:w="567" w:type="dxa"/>
            <w:tcBorders>
              <w:top w:val="single" w:sz="4" w:space="0" w:color="000000"/>
              <w:left w:val="single" w:sz="4" w:space="0" w:color="000000"/>
              <w:bottom w:val="single" w:sz="4" w:space="0" w:color="000000"/>
              <w:right w:val="single" w:sz="4" w:space="0" w:color="000000"/>
            </w:tcBorders>
          </w:tcPr>
          <w:p w14:paraId="707B02FF"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7</w:t>
            </w:r>
          </w:p>
        </w:tc>
        <w:tc>
          <w:tcPr>
            <w:tcW w:w="11057" w:type="dxa"/>
            <w:tcBorders>
              <w:top w:val="single" w:sz="4" w:space="0" w:color="000000"/>
              <w:left w:val="single" w:sz="4" w:space="0" w:color="000000"/>
              <w:bottom w:val="single" w:sz="4" w:space="0" w:color="000000"/>
              <w:right w:val="single" w:sz="4" w:space="0" w:color="000000"/>
            </w:tcBorders>
          </w:tcPr>
          <w:p w14:paraId="3A2EEE24"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Present the full search strategies for all databases, registers and websites, including any filters and limits used.</w:t>
            </w:r>
          </w:p>
        </w:tc>
        <w:tc>
          <w:tcPr>
            <w:tcW w:w="1843" w:type="dxa"/>
            <w:tcBorders>
              <w:top w:val="single" w:sz="4" w:space="0" w:color="000000"/>
              <w:left w:val="single" w:sz="4" w:space="0" w:color="000000"/>
              <w:bottom w:val="single" w:sz="4" w:space="0" w:color="000000"/>
              <w:right w:val="single" w:sz="4" w:space="0" w:color="000000"/>
            </w:tcBorders>
          </w:tcPr>
          <w:p w14:paraId="3572BE82" w14:textId="08BD8652"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Supp File, </w:t>
            </w:r>
            <w:r w:rsidR="002208D1">
              <w:rPr>
                <w:rFonts w:ascii="Times New Roman" w:hAnsi="Times New Roman" w:cs="Times New Roman"/>
                <w:color w:val="auto"/>
                <w:sz w:val="16"/>
                <w:szCs w:val="16"/>
                <w:lang w:val="en-GB"/>
              </w:rPr>
              <w:t>Appendix I</w:t>
            </w:r>
          </w:p>
        </w:tc>
      </w:tr>
      <w:tr w:rsidR="00B052FE" w:rsidRPr="00E20B89" w14:paraId="637CB6F7"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32000A64"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Selection process</w:t>
            </w:r>
          </w:p>
        </w:tc>
        <w:tc>
          <w:tcPr>
            <w:tcW w:w="567" w:type="dxa"/>
            <w:tcBorders>
              <w:top w:val="single" w:sz="4" w:space="0" w:color="000000"/>
              <w:left w:val="single" w:sz="4" w:space="0" w:color="000000"/>
              <w:bottom w:val="single" w:sz="4" w:space="0" w:color="000000"/>
              <w:right w:val="single" w:sz="4" w:space="0" w:color="000000"/>
            </w:tcBorders>
          </w:tcPr>
          <w:p w14:paraId="469B7625"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8</w:t>
            </w:r>
          </w:p>
        </w:tc>
        <w:tc>
          <w:tcPr>
            <w:tcW w:w="11057" w:type="dxa"/>
            <w:tcBorders>
              <w:top w:val="single" w:sz="4" w:space="0" w:color="000000"/>
              <w:left w:val="single" w:sz="4" w:space="0" w:color="000000"/>
              <w:bottom w:val="single" w:sz="4" w:space="0" w:color="000000"/>
              <w:right w:val="single" w:sz="4" w:space="0" w:color="000000"/>
            </w:tcBorders>
          </w:tcPr>
          <w:p w14:paraId="55103EC9"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843" w:type="dxa"/>
            <w:tcBorders>
              <w:top w:val="single" w:sz="4" w:space="0" w:color="000000"/>
              <w:left w:val="single" w:sz="4" w:space="0" w:color="000000"/>
              <w:bottom w:val="single" w:sz="4" w:space="0" w:color="000000"/>
              <w:right w:val="single" w:sz="4" w:space="0" w:color="000000"/>
            </w:tcBorders>
          </w:tcPr>
          <w:p w14:paraId="6B457A96" w14:textId="503E54A7"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9</w:t>
            </w:r>
            <w:r w:rsidRPr="00E20B89">
              <w:rPr>
                <w:rFonts w:ascii="Times New Roman" w:hAnsi="Times New Roman" w:cs="Times New Roman"/>
                <w:color w:val="auto"/>
                <w:sz w:val="16"/>
                <w:szCs w:val="16"/>
                <w:lang w:val="en-GB"/>
              </w:rPr>
              <w:t xml:space="preserve">, Line </w:t>
            </w:r>
            <w:r w:rsidR="00267A71">
              <w:rPr>
                <w:rFonts w:ascii="Times New Roman" w:hAnsi="Times New Roman" w:cs="Times New Roman"/>
                <w:color w:val="auto"/>
                <w:sz w:val="16"/>
                <w:szCs w:val="16"/>
                <w:lang w:val="en-GB"/>
              </w:rPr>
              <w:t>1</w:t>
            </w:r>
            <w:r w:rsidR="00743437">
              <w:rPr>
                <w:rFonts w:ascii="Times New Roman" w:hAnsi="Times New Roman" w:cs="Times New Roman"/>
                <w:color w:val="auto"/>
                <w:sz w:val="16"/>
                <w:szCs w:val="16"/>
                <w:lang w:val="en-GB"/>
              </w:rPr>
              <w:t>85</w:t>
            </w:r>
          </w:p>
        </w:tc>
      </w:tr>
      <w:tr w:rsidR="00B052FE" w:rsidRPr="00E20B89" w14:paraId="73FD3A4B" w14:textId="77777777" w:rsidTr="00274B66">
        <w:trPr>
          <w:trHeight w:val="152"/>
        </w:trPr>
        <w:tc>
          <w:tcPr>
            <w:tcW w:w="1560" w:type="dxa"/>
            <w:tcBorders>
              <w:top w:val="single" w:sz="4" w:space="0" w:color="000000"/>
              <w:left w:val="single" w:sz="4" w:space="0" w:color="000000"/>
              <w:bottom w:val="single" w:sz="4" w:space="0" w:color="000000"/>
              <w:right w:val="single" w:sz="4" w:space="0" w:color="000000"/>
            </w:tcBorders>
          </w:tcPr>
          <w:p w14:paraId="4283FFEA"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Data collection process </w:t>
            </w:r>
          </w:p>
        </w:tc>
        <w:tc>
          <w:tcPr>
            <w:tcW w:w="567" w:type="dxa"/>
            <w:tcBorders>
              <w:top w:val="single" w:sz="4" w:space="0" w:color="000000"/>
              <w:left w:val="single" w:sz="4" w:space="0" w:color="000000"/>
              <w:bottom w:val="single" w:sz="4" w:space="0" w:color="000000"/>
              <w:right w:val="single" w:sz="4" w:space="0" w:color="000000"/>
            </w:tcBorders>
          </w:tcPr>
          <w:p w14:paraId="5CFD9A35"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9</w:t>
            </w:r>
          </w:p>
        </w:tc>
        <w:tc>
          <w:tcPr>
            <w:tcW w:w="11057" w:type="dxa"/>
            <w:tcBorders>
              <w:top w:val="single" w:sz="4" w:space="0" w:color="000000"/>
              <w:left w:val="single" w:sz="4" w:space="0" w:color="000000"/>
              <w:bottom w:val="single" w:sz="4" w:space="0" w:color="000000"/>
              <w:right w:val="single" w:sz="4" w:space="0" w:color="000000"/>
            </w:tcBorders>
          </w:tcPr>
          <w:p w14:paraId="0811DA2B"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843" w:type="dxa"/>
            <w:tcBorders>
              <w:top w:val="single" w:sz="4" w:space="0" w:color="000000"/>
              <w:left w:val="single" w:sz="4" w:space="0" w:color="000000"/>
              <w:bottom w:val="single" w:sz="4" w:space="0" w:color="000000"/>
              <w:right w:val="single" w:sz="4" w:space="0" w:color="000000"/>
            </w:tcBorders>
          </w:tcPr>
          <w:p w14:paraId="2FEB6137" w14:textId="46D4AF62"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9</w:t>
            </w:r>
            <w:r w:rsidRPr="00E20B89">
              <w:rPr>
                <w:rFonts w:ascii="Times New Roman" w:hAnsi="Times New Roman" w:cs="Times New Roman"/>
                <w:color w:val="auto"/>
                <w:sz w:val="16"/>
                <w:szCs w:val="16"/>
                <w:lang w:val="en-GB"/>
              </w:rPr>
              <w:t>, Line 1</w:t>
            </w:r>
            <w:r w:rsidR="00743437">
              <w:rPr>
                <w:rFonts w:ascii="Times New Roman" w:hAnsi="Times New Roman" w:cs="Times New Roman"/>
                <w:color w:val="auto"/>
                <w:sz w:val="16"/>
                <w:szCs w:val="16"/>
                <w:lang w:val="en-GB"/>
              </w:rPr>
              <w:t>87</w:t>
            </w:r>
          </w:p>
        </w:tc>
      </w:tr>
      <w:tr w:rsidR="00B052FE" w:rsidRPr="00E20B89" w14:paraId="24812E8A" w14:textId="77777777" w:rsidTr="00274B66">
        <w:trPr>
          <w:trHeight w:val="48"/>
        </w:trPr>
        <w:tc>
          <w:tcPr>
            <w:tcW w:w="1560" w:type="dxa"/>
            <w:vMerge w:val="restart"/>
            <w:tcBorders>
              <w:top w:val="single" w:sz="4" w:space="0" w:color="000000"/>
              <w:left w:val="single" w:sz="4" w:space="0" w:color="000000"/>
              <w:right w:val="single" w:sz="4" w:space="0" w:color="000000"/>
            </w:tcBorders>
          </w:tcPr>
          <w:p w14:paraId="54B23BBE"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Data items </w:t>
            </w:r>
          </w:p>
        </w:tc>
        <w:tc>
          <w:tcPr>
            <w:tcW w:w="567" w:type="dxa"/>
            <w:tcBorders>
              <w:top w:val="single" w:sz="4" w:space="0" w:color="000000"/>
              <w:left w:val="single" w:sz="4" w:space="0" w:color="000000"/>
              <w:bottom w:val="single" w:sz="4" w:space="0" w:color="000000"/>
              <w:right w:val="single" w:sz="4" w:space="0" w:color="000000"/>
            </w:tcBorders>
          </w:tcPr>
          <w:p w14:paraId="54AAC276"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10a</w:t>
            </w:r>
          </w:p>
        </w:tc>
        <w:tc>
          <w:tcPr>
            <w:tcW w:w="11057" w:type="dxa"/>
            <w:tcBorders>
              <w:top w:val="single" w:sz="4" w:space="0" w:color="000000"/>
              <w:left w:val="single" w:sz="4" w:space="0" w:color="000000"/>
              <w:bottom w:val="single" w:sz="4" w:space="0" w:color="000000"/>
              <w:right w:val="single" w:sz="4" w:space="0" w:color="000000"/>
            </w:tcBorders>
          </w:tcPr>
          <w:p w14:paraId="35F30BEC"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843" w:type="dxa"/>
            <w:tcBorders>
              <w:top w:val="single" w:sz="4" w:space="0" w:color="000000"/>
              <w:left w:val="single" w:sz="4" w:space="0" w:color="000000"/>
              <w:bottom w:val="single" w:sz="4" w:space="0" w:color="000000"/>
              <w:right w:val="single" w:sz="4" w:space="0" w:color="000000"/>
            </w:tcBorders>
          </w:tcPr>
          <w:p w14:paraId="481D3B85" w14:textId="54BD298D"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10</w:t>
            </w:r>
            <w:r w:rsidRPr="00E20B89">
              <w:rPr>
                <w:rFonts w:ascii="Times New Roman" w:hAnsi="Times New Roman" w:cs="Times New Roman"/>
                <w:color w:val="auto"/>
                <w:sz w:val="16"/>
                <w:szCs w:val="16"/>
                <w:lang w:val="en-GB"/>
              </w:rPr>
              <w:t xml:space="preserve">, Line </w:t>
            </w:r>
            <w:r w:rsidR="00F53068">
              <w:rPr>
                <w:rFonts w:ascii="Times New Roman" w:hAnsi="Times New Roman" w:cs="Times New Roman"/>
                <w:color w:val="auto"/>
                <w:sz w:val="16"/>
                <w:szCs w:val="16"/>
                <w:lang w:val="en-GB"/>
              </w:rPr>
              <w:t>192</w:t>
            </w:r>
          </w:p>
        </w:tc>
      </w:tr>
      <w:tr w:rsidR="00B052FE" w:rsidRPr="00E20B89" w14:paraId="2CBD56CC" w14:textId="77777777" w:rsidTr="00274B66">
        <w:trPr>
          <w:trHeight w:val="48"/>
        </w:trPr>
        <w:tc>
          <w:tcPr>
            <w:tcW w:w="1560" w:type="dxa"/>
            <w:vMerge/>
            <w:tcBorders>
              <w:left w:val="single" w:sz="4" w:space="0" w:color="000000"/>
              <w:bottom w:val="single" w:sz="4" w:space="0" w:color="000000"/>
              <w:right w:val="single" w:sz="4" w:space="0" w:color="000000"/>
            </w:tcBorders>
          </w:tcPr>
          <w:p w14:paraId="0AE33A14"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4A37D1DB"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10b</w:t>
            </w:r>
          </w:p>
        </w:tc>
        <w:tc>
          <w:tcPr>
            <w:tcW w:w="11057" w:type="dxa"/>
            <w:tcBorders>
              <w:top w:val="single" w:sz="4" w:space="0" w:color="000000"/>
              <w:left w:val="single" w:sz="4" w:space="0" w:color="000000"/>
              <w:bottom w:val="single" w:sz="4" w:space="0" w:color="000000"/>
              <w:right w:val="single" w:sz="4" w:space="0" w:color="000000"/>
            </w:tcBorders>
          </w:tcPr>
          <w:p w14:paraId="5A7A8810"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List and define all other variables for which data were sought (e.g. participant and intervention characteristics, funding sources). Describe any assumptions made about any missing or unclear information.</w:t>
            </w:r>
          </w:p>
        </w:tc>
        <w:tc>
          <w:tcPr>
            <w:tcW w:w="1843" w:type="dxa"/>
            <w:tcBorders>
              <w:top w:val="single" w:sz="4" w:space="0" w:color="000000"/>
              <w:left w:val="single" w:sz="4" w:space="0" w:color="000000"/>
              <w:bottom w:val="single" w:sz="4" w:space="0" w:color="000000"/>
              <w:right w:val="single" w:sz="4" w:space="0" w:color="000000"/>
            </w:tcBorders>
          </w:tcPr>
          <w:p w14:paraId="29C2AEEC" w14:textId="40F295E4"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9</w:t>
            </w:r>
            <w:r w:rsidRPr="00E20B89">
              <w:rPr>
                <w:rFonts w:ascii="Times New Roman" w:hAnsi="Times New Roman" w:cs="Times New Roman"/>
                <w:color w:val="auto"/>
                <w:sz w:val="16"/>
                <w:szCs w:val="16"/>
                <w:lang w:val="en-GB"/>
              </w:rPr>
              <w:t xml:space="preserve">, Line </w:t>
            </w:r>
            <w:r w:rsidR="002208D1">
              <w:rPr>
                <w:rFonts w:ascii="Times New Roman" w:hAnsi="Times New Roman" w:cs="Times New Roman"/>
                <w:color w:val="auto"/>
                <w:sz w:val="16"/>
                <w:szCs w:val="16"/>
                <w:lang w:val="en-GB"/>
              </w:rPr>
              <w:t>1</w:t>
            </w:r>
            <w:r w:rsidR="00743437">
              <w:rPr>
                <w:rFonts w:ascii="Times New Roman" w:hAnsi="Times New Roman" w:cs="Times New Roman"/>
                <w:color w:val="auto"/>
                <w:sz w:val="16"/>
                <w:szCs w:val="16"/>
                <w:lang w:val="en-GB"/>
              </w:rPr>
              <w:t>88</w:t>
            </w:r>
          </w:p>
        </w:tc>
      </w:tr>
      <w:tr w:rsidR="00B052FE" w:rsidRPr="00E20B89" w14:paraId="26F63060"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76B79963"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Study risk of bias assessment</w:t>
            </w:r>
          </w:p>
        </w:tc>
        <w:tc>
          <w:tcPr>
            <w:tcW w:w="567" w:type="dxa"/>
            <w:tcBorders>
              <w:top w:val="single" w:sz="4" w:space="0" w:color="000000"/>
              <w:left w:val="single" w:sz="4" w:space="0" w:color="000000"/>
              <w:bottom w:val="single" w:sz="4" w:space="0" w:color="000000"/>
              <w:right w:val="single" w:sz="4" w:space="0" w:color="000000"/>
            </w:tcBorders>
          </w:tcPr>
          <w:p w14:paraId="7C845D87"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11</w:t>
            </w:r>
          </w:p>
        </w:tc>
        <w:tc>
          <w:tcPr>
            <w:tcW w:w="11057" w:type="dxa"/>
            <w:tcBorders>
              <w:top w:val="single" w:sz="4" w:space="0" w:color="000000"/>
              <w:left w:val="single" w:sz="4" w:space="0" w:color="000000"/>
              <w:bottom w:val="single" w:sz="4" w:space="0" w:color="000000"/>
              <w:right w:val="single" w:sz="4" w:space="0" w:color="000000"/>
            </w:tcBorders>
          </w:tcPr>
          <w:p w14:paraId="7D04F9E7"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843" w:type="dxa"/>
            <w:tcBorders>
              <w:top w:val="single" w:sz="4" w:space="0" w:color="000000"/>
              <w:left w:val="single" w:sz="4" w:space="0" w:color="000000"/>
              <w:bottom w:val="single" w:sz="4" w:space="0" w:color="000000"/>
              <w:right w:val="single" w:sz="4" w:space="0" w:color="000000"/>
            </w:tcBorders>
          </w:tcPr>
          <w:p w14:paraId="42F4087B" w14:textId="77EFE527"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10</w:t>
            </w:r>
            <w:r w:rsidRPr="00E20B89">
              <w:rPr>
                <w:rFonts w:ascii="Times New Roman" w:hAnsi="Times New Roman" w:cs="Times New Roman"/>
                <w:color w:val="auto"/>
                <w:sz w:val="16"/>
                <w:szCs w:val="16"/>
                <w:lang w:val="en-GB"/>
              </w:rPr>
              <w:t xml:space="preserve">, Line </w:t>
            </w:r>
            <w:r w:rsidR="00743437">
              <w:rPr>
                <w:rFonts w:ascii="Times New Roman" w:hAnsi="Times New Roman" w:cs="Times New Roman"/>
                <w:color w:val="auto"/>
                <w:sz w:val="16"/>
                <w:szCs w:val="16"/>
                <w:lang w:val="en-GB"/>
              </w:rPr>
              <w:t>22</w:t>
            </w:r>
            <w:r w:rsidR="00F53068">
              <w:rPr>
                <w:rFonts w:ascii="Times New Roman" w:hAnsi="Times New Roman" w:cs="Times New Roman"/>
                <w:color w:val="auto"/>
                <w:sz w:val="16"/>
                <w:szCs w:val="16"/>
                <w:lang w:val="en-GB"/>
              </w:rPr>
              <w:t>8</w:t>
            </w:r>
          </w:p>
        </w:tc>
      </w:tr>
      <w:tr w:rsidR="00B052FE" w:rsidRPr="00E20B89" w14:paraId="2B30C33F"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4DAA969C"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Effect measures </w:t>
            </w:r>
          </w:p>
        </w:tc>
        <w:tc>
          <w:tcPr>
            <w:tcW w:w="567" w:type="dxa"/>
            <w:tcBorders>
              <w:top w:val="single" w:sz="4" w:space="0" w:color="000000"/>
              <w:left w:val="single" w:sz="4" w:space="0" w:color="000000"/>
              <w:bottom w:val="single" w:sz="4" w:space="0" w:color="000000"/>
              <w:right w:val="single" w:sz="4" w:space="0" w:color="000000"/>
            </w:tcBorders>
          </w:tcPr>
          <w:p w14:paraId="2460C04E"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12</w:t>
            </w:r>
          </w:p>
        </w:tc>
        <w:tc>
          <w:tcPr>
            <w:tcW w:w="11057" w:type="dxa"/>
            <w:tcBorders>
              <w:top w:val="single" w:sz="4" w:space="0" w:color="000000"/>
              <w:left w:val="single" w:sz="4" w:space="0" w:color="000000"/>
              <w:bottom w:val="single" w:sz="4" w:space="0" w:color="000000"/>
              <w:right w:val="single" w:sz="4" w:space="0" w:color="000000"/>
            </w:tcBorders>
          </w:tcPr>
          <w:p w14:paraId="2EBE3DD0"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Specify for each outcome the effect measure(s) (e.g. risk ratio, mean difference) used in the synthesis or presentation of results.</w:t>
            </w:r>
          </w:p>
        </w:tc>
        <w:tc>
          <w:tcPr>
            <w:tcW w:w="1843" w:type="dxa"/>
            <w:tcBorders>
              <w:top w:val="single" w:sz="4" w:space="0" w:color="000000"/>
              <w:left w:val="single" w:sz="4" w:space="0" w:color="000000"/>
              <w:bottom w:val="single" w:sz="4" w:space="0" w:color="000000"/>
              <w:right w:val="single" w:sz="4" w:space="0" w:color="000000"/>
            </w:tcBorders>
          </w:tcPr>
          <w:p w14:paraId="5356275B" w14:textId="49370EB1"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10</w:t>
            </w:r>
            <w:r w:rsidRPr="00E20B89">
              <w:rPr>
                <w:rFonts w:ascii="Times New Roman" w:hAnsi="Times New Roman" w:cs="Times New Roman"/>
                <w:color w:val="auto"/>
                <w:sz w:val="16"/>
                <w:szCs w:val="16"/>
                <w:lang w:val="en-GB"/>
              </w:rPr>
              <w:t xml:space="preserve">, Line </w:t>
            </w:r>
            <w:r w:rsidR="00743437">
              <w:rPr>
                <w:rFonts w:ascii="Times New Roman" w:hAnsi="Times New Roman" w:cs="Times New Roman"/>
                <w:color w:val="auto"/>
                <w:sz w:val="16"/>
                <w:szCs w:val="16"/>
                <w:lang w:val="en-GB"/>
              </w:rPr>
              <w:t>21</w:t>
            </w:r>
            <w:r w:rsidR="00F53068">
              <w:rPr>
                <w:rFonts w:ascii="Times New Roman" w:hAnsi="Times New Roman" w:cs="Times New Roman"/>
                <w:color w:val="auto"/>
                <w:sz w:val="16"/>
                <w:szCs w:val="16"/>
                <w:lang w:val="en-GB"/>
              </w:rPr>
              <w:t>8</w:t>
            </w:r>
          </w:p>
        </w:tc>
      </w:tr>
      <w:tr w:rsidR="00B052FE" w:rsidRPr="00E20B89" w14:paraId="52D5B1C9" w14:textId="77777777" w:rsidTr="00274B66">
        <w:trPr>
          <w:trHeight w:val="48"/>
        </w:trPr>
        <w:tc>
          <w:tcPr>
            <w:tcW w:w="1560" w:type="dxa"/>
            <w:vMerge w:val="restart"/>
            <w:tcBorders>
              <w:top w:val="single" w:sz="4" w:space="0" w:color="000000"/>
              <w:left w:val="single" w:sz="4" w:space="0" w:color="000000"/>
              <w:right w:val="single" w:sz="4" w:space="0" w:color="000000"/>
            </w:tcBorders>
          </w:tcPr>
          <w:p w14:paraId="08BF2507"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Synthesis methods</w:t>
            </w:r>
          </w:p>
        </w:tc>
        <w:tc>
          <w:tcPr>
            <w:tcW w:w="567" w:type="dxa"/>
            <w:tcBorders>
              <w:top w:val="single" w:sz="4" w:space="0" w:color="000000"/>
              <w:left w:val="single" w:sz="4" w:space="0" w:color="000000"/>
              <w:bottom w:val="single" w:sz="4" w:space="0" w:color="000000"/>
              <w:right w:val="single" w:sz="4" w:space="0" w:color="000000"/>
            </w:tcBorders>
          </w:tcPr>
          <w:p w14:paraId="27FC288E"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13a</w:t>
            </w:r>
          </w:p>
        </w:tc>
        <w:tc>
          <w:tcPr>
            <w:tcW w:w="11057" w:type="dxa"/>
            <w:tcBorders>
              <w:top w:val="single" w:sz="4" w:space="0" w:color="000000"/>
              <w:left w:val="single" w:sz="4" w:space="0" w:color="000000"/>
              <w:bottom w:val="single" w:sz="4" w:space="0" w:color="000000"/>
              <w:right w:val="single" w:sz="4" w:space="0" w:color="000000"/>
            </w:tcBorders>
          </w:tcPr>
          <w:p w14:paraId="0FAC8D1B"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the processes used to decide which studies were eligible for each synthesis (e.g. tabulating the study intervention characteristics and comparing against the planned groups for each synthesis (item #5)).</w:t>
            </w:r>
          </w:p>
        </w:tc>
        <w:tc>
          <w:tcPr>
            <w:tcW w:w="1843" w:type="dxa"/>
            <w:tcBorders>
              <w:top w:val="single" w:sz="4" w:space="0" w:color="000000"/>
              <w:left w:val="single" w:sz="4" w:space="0" w:color="000000"/>
              <w:bottom w:val="single" w:sz="4" w:space="0" w:color="000000"/>
              <w:right w:val="single" w:sz="4" w:space="0" w:color="000000"/>
            </w:tcBorders>
          </w:tcPr>
          <w:p w14:paraId="69ADFD27" w14:textId="603B6A26"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10</w:t>
            </w:r>
            <w:r w:rsidRPr="00E20B89">
              <w:rPr>
                <w:rFonts w:ascii="Times New Roman" w:hAnsi="Times New Roman" w:cs="Times New Roman"/>
                <w:color w:val="auto"/>
                <w:sz w:val="16"/>
                <w:szCs w:val="16"/>
                <w:lang w:val="en-GB"/>
              </w:rPr>
              <w:t xml:space="preserve">, Line </w:t>
            </w:r>
            <w:r w:rsidR="00F53068">
              <w:rPr>
                <w:rFonts w:ascii="Times New Roman" w:hAnsi="Times New Roman" w:cs="Times New Roman"/>
                <w:color w:val="auto"/>
                <w:sz w:val="16"/>
                <w:szCs w:val="16"/>
                <w:lang w:val="en-GB"/>
              </w:rPr>
              <w:t>194</w:t>
            </w:r>
          </w:p>
        </w:tc>
      </w:tr>
      <w:tr w:rsidR="00B052FE" w:rsidRPr="00E20B89" w14:paraId="3003CB4E" w14:textId="77777777" w:rsidTr="00274B66">
        <w:trPr>
          <w:trHeight w:val="48"/>
        </w:trPr>
        <w:tc>
          <w:tcPr>
            <w:tcW w:w="1560" w:type="dxa"/>
            <w:vMerge/>
            <w:tcBorders>
              <w:left w:val="single" w:sz="4" w:space="0" w:color="000000"/>
              <w:right w:val="single" w:sz="4" w:space="0" w:color="000000"/>
            </w:tcBorders>
          </w:tcPr>
          <w:p w14:paraId="6B124615"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37177A35"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13b</w:t>
            </w:r>
          </w:p>
        </w:tc>
        <w:tc>
          <w:tcPr>
            <w:tcW w:w="11057" w:type="dxa"/>
            <w:tcBorders>
              <w:top w:val="single" w:sz="4" w:space="0" w:color="000000"/>
              <w:left w:val="single" w:sz="4" w:space="0" w:color="000000"/>
              <w:bottom w:val="single" w:sz="4" w:space="0" w:color="000000"/>
              <w:right w:val="single" w:sz="4" w:space="0" w:color="000000"/>
            </w:tcBorders>
          </w:tcPr>
          <w:p w14:paraId="1AB8105C"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any methods required to prepare the data for presentation or synthesis, such as handling of missing summary statistics, or data conversions.</w:t>
            </w:r>
          </w:p>
        </w:tc>
        <w:tc>
          <w:tcPr>
            <w:tcW w:w="1843" w:type="dxa"/>
            <w:tcBorders>
              <w:top w:val="single" w:sz="4" w:space="0" w:color="000000"/>
              <w:left w:val="single" w:sz="4" w:space="0" w:color="000000"/>
              <w:bottom w:val="single" w:sz="4" w:space="0" w:color="000000"/>
              <w:right w:val="single" w:sz="4" w:space="0" w:color="000000"/>
            </w:tcBorders>
          </w:tcPr>
          <w:p w14:paraId="22584961" w14:textId="77777777"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NA</w:t>
            </w:r>
          </w:p>
        </w:tc>
      </w:tr>
      <w:tr w:rsidR="00B052FE" w:rsidRPr="00E20B89" w14:paraId="679C2372" w14:textId="77777777" w:rsidTr="00274B66">
        <w:trPr>
          <w:trHeight w:val="48"/>
        </w:trPr>
        <w:tc>
          <w:tcPr>
            <w:tcW w:w="1560" w:type="dxa"/>
            <w:vMerge/>
            <w:tcBorders>
              <w:left w:val="single" w:sz="4" w:space="0" w:color="000000"/>
              <w:right w:val="single" w:sz="4" w:space="0" w:color="000000"/>
            </w:tcBorders>
          </w:tcPr>
          <w:p w14:paraId="1C9B4A9A"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0C89B291"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13c</w:t>
            </w:r>
          </w:p>
        </w:tc>
        <w:tc>
          <w:tcPr>
            <w:tcW w:w="11057" w:type="dxa"/>
            <w:tcBorders>
              <w:top w:val="single" w:sz="4" w:space="0" w:color="000000"/>
              <w:left w:val="single" w:sz="4" w:space="0" w:color="000000"/>
              <w:bottom w:val="single" w:sz="4" w:space="0" w:color="000000"/>
              <w:right w:val="single" w:sz="4" w:space="0" w:color="000000"/>
            </w:tcBorders>
          </w:tcPr>
          <w:p w14:paraId="19941622"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any methods used to tabulate or visually display results of individual studies and syntheses.</w:t>
            </w:r>
          </w:p>
        </w:tc>
        <w:tc>
          <w:tcPr>
            <w:tcW w:w="1843" w:type="dxa"/>
            <w:tcBorders>
              <w:top w:val="single" w:sz="4" w:space="0" w:color="000000"/>
              <w:left w:val="single" w:sz="4" w:space="0" w:color="000000"/>
              <w:bottom w:val="single" w:sz="4" w:space="0" w:color="000000"/>
              <w:right w:val="single" w:sz="4" w:space="0" w:color="000000"/>
            </w:tcBorders>
          </w:tcPr>
          <w:p w14:paraId="6121C554" w14:textId="62642971"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10</w:t>
            </w:r>
            <w:r w:rsidRPr="00E20B89">
              <w:rPr>
                <w:rFonts w:ascii="Times New Roman" w:hAnsi="Times New Roman" w:cs="Times New Roman"/>
                <w:color w:val="auto"/>
                <w:sz w:val="16"/>
                <w:szCs w:val="16"/>
                <w:lang w:val="en-GB"/>
              </w:rPr>
              <w:t xml:space="preserve">, Line </w:t>
            </w:r>
            <w:r w:rsidR="00743437">
              <w:rPr>
                <w:rFonts w:ascii="Times New Roman" w:hAnsi="Times New Roman" w:cs="Times New Roman"/>
                <w:color w:val="auto"/>
                <w:sz w:val="16"/>
                <w:szCs w:val="16"/>
                <w:lang w:val="en-GB"/>
              </w:rPr>
              <w:t>21</w:t>
            </w:r>
            <w:r w:rsidR="00F53068">
              <w:rPr>
                <w:rFonts w:ascii="Times New Roman" w:hAnsi="Times New Roman" w:cs="Times New Roman"/>
                <w:color w:val="auto"/>
                <w:sz w:val="16"/>
                <w:szCs w:val="16"/>
                <w:lang w:val="en-GB"/>
              </w:rPr>
              <w:t>6</w:t>
            </w:r>
          </w:p>
        </w:tc>
      </w:tr>
      <w:tr w:rsidR="00B052FE" w:rsidRPr="00E20B89" w14:paraId="0E62F4D6" w14:textId="77777777" w:rsidTr="00274B66">
        <w:trPr>
          <w:trHeight w:val="48"/>
        </w:trPr>
        <w:tc>
          <w:tcPr>
            <w:tcW w:w="1560" w:type="dxa"/>
            <w:vMerge/>
            <w:tcBorders>
              <w:left w:val="single" w:sz="4" w:space="0" w:color="000000"/>
              <w:right w:val="single" w:sz="4" w:space="0" w:color="000000"/>
            </w:tcBorders>
          </w:tcPr>
          <w:p w14:paraId="6C08B6E3"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255D0094"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13d</w:t>
            </w:r>
          </w:p>
        </w:tc>
        <w:tc>
          <w:tcPr>
            <w:tcW w:w="11057" w:type="dxa"/>
            <w:tcBorders>
              <w:top w:val="single" w:sz="4" w:space="0" w:color="000000"/>
              <w:left w:val="single" w:sz="4" w:space="0" w:color="000000"/>
              <w:bottom w:val="single" w:sz="4" w:space="0" w:color="000000"/>
              <w:right w:val="single" w:sz="4" w:space="0" w:color="000000"/>
            </w:tcBorders>
          </w:tcPr>
          <w:p w14:paraId="7BEBE6A2"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any methods used to synthesize results and provide a rationale for the choice(s). If meta-analysis was performed, describe the model(s), method(s) to identify the presence and extent of statistical heterogeneity, and software package(s) used.</w:t>
            </w:r>
          </w:p>
        </w:tc>
        <w:tc>
          <w:tcPr>
            <w:tcW w:w="1843" w:type="dxa"/>
            <w:tcBorders>
              <w:top w:val="single" w:sz="4" w:space="0" w:color="000000"/>
              <w:left w:val="single" w:sz="4" w:space="0" w:color="000000"/>
              <w:bottom w:val="single" w:sz="4" w:space="0" w:color="000000"/>
              <w:right w:val="single" w:sz="4" w:space="0" w:color="000000"/>
            </w:tcBorders>
          </w:tcPr>
          <w:p w14:paraId="23FBCFE3" w14:textId="3796B4A2"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10</w:t>
            </w:r>
            <w:r w:rsidRPr="00E20B89">
              <w:rPr>
                <w:rFonts w:ascii="Times New Roman" w:hAnsi="Times New Roman" w:cs="Times New Roman"/>
                <w:color w:val="auto"/>
                <w:sz w:val="16"/>
                <w:szCs w:val="16"/>
                <w:lang w:val="en-GB"/>
              </w:rPr>
              <w:t xml:space="preserve">, Line </w:t>
            </w:r>
            <w:r w:rsidR="00743437">
              <w:rPr>
                <w:rFonts w:ascii="Times New Roman" w:hAnsi="Times New Roman" w:cs="Times New Roman"/>
                <w:color w:val="auto"/>
                <w:sz w:val="16"/>
                <w:szCs w:val="16"/>
                <w:lang w:val="en-GB"/>
              </w:rPr>
              <w:t>21</w:t>
            </w:r>
            <w:r w:rsidR="00F53068">
              <w:rPr>
                <w:rFonts w:ascii="Times New Roman" w:hAnsi="Times New Roman" w:cs="Times New Roman"/>
                <w:color w:val="auto"/>
                <w:sz w:val="16"/>
                <w:szCs w:val="16"/>
                <w:lang w:val="en-GB"/>
              </w:rPr>
              <w:t>8</w:t>
            </w:r>
          </w:p>
        </w:tc>
      </w:tr>
      <w:tr w:rsidR="00B052FE" w:rsidRPr="00E20B89" w14:paraId="0900F1C6" w14:textId="77777777" w:rsidTr="00274B66">
        <w:trPr>
          <w:trHeight w:val="48"/>
        </w:trPr>
        <w:tc>
          <w:tcPr>
            <w:tcW w:w="1560" w:type="dxa"/>
            <w:vMerge/>
            <w:tcBorders>
              <w:left w:val="single" w:sz="4" w:space="0" w:color="000000"/>
              <w:right w:val="single" w:sz="4" w:space="0" w:color="000000"/>
            </w:tcBorders>
          </w:tcPr>
          <w:p w14:paraId="05576028"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04108AAB"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13e</w:t>
            </w:r>
          </w:p>
        </w:tc>
        <w:tc>
          <w:tcPr>
            <w:tcW w:w="11057" w:type="dxa"/>
            <w:tcBorders>
              <w:top w:val="single" w:sz="4" w:space="0" w:color="000000"/>
              <w:left w:val="single" w:sz="4" w:space="0" w:color="000000"/>
              <w:bottom w:val="single" w:sz="4" w:space="0" w:color="000000"/>
              <w:right w:val="single" w:sz="4" w:space="0" w:color="000000"/>
            </w:tcBorders>
          </w:tcPr>
          <w:p w14:paraId="09A47513"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any methods used to explore possible causes of heterogeneity among study results (e.g. subgroup analysis, meta-regression).</w:t>
            </w:r>
          </w:p>
        </w:tc>
        <w:tc>
          <w:tcPr>
            <w:tcW w:w="1843" w:type="dxa"/>
            <w:tcBorders>
              <w:top w:val="single" w:sz="4" w:space="0" w:color="000000"/>
              <w:left w:val="single" w:sz="4" w:space="0" w:color="000000"/>
              <w:bottom w:val="single" w:sz="4" w:space="0" w:color="000000"/>
              <w:right w:val="single" w:sz="4" w:space="0" w:color="000000"/>
            </w:tcBorders>
          </w:tcPr>
          <w:p w14:paraId="2902C6C8" w14:textId="2B9C89DD" w:rsidR="00266A13"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743437">
              <w:rPr>
                <w:rFonts w:ascii="Times New Roman" w:hAnsi="Times New Roman" w:cs="Times New Roman"/>
                <w:color w:val="auto"/>
                <w:sz w:val="16"/>
                <w:szCs w:val="16"/>
                <w:lang w:val="en-GB"/>
              </w:rPr>
              <w:t>10</w:t>
            </w:r>
            <w:r w:rsidRPr="00E20B89">
              <w:rPr>
                <w:rFonts w:ascii="Times New Roman" w:hAnsi="Times New Roman" w:cs="Times New Roman"/>
                <w:color w:val="auto"/>
                <w:sz w:val="16"/>
                <w:szCs w:val="16"/>
                <w:lang w:val="en-GB"/>
              </w:rPr>
              <w:t>,</w:t>
            </w:r>
            <w:r w:rsidR="00266A13">
              <w:rPr>
                <w:rFonts w:ascii="Times New Roman" w:hAnsi="Times New Roman" w:cs="Times New Roman"/>
                <w:color w:val="auto"/>
                <w:sz w:val="16"/>
                <w:szCs w:val="16"/>
                <w:lang w:val="en-GB"/>
              </w:rPr>
              <w:t xml:space="preserve"> Line 2</w:t>
            </w:r>
            <w:r w:rsidR="00F53068">
              <w:rPr>
                <w:rFonts w:ascii="Times New Roman" w:hAnsi="Times New Roman" w:cs="Times New Roman"/>
                <w:color w:val="auto"/>
                <w:sz w:val="16"/>
                <w:szCs w:val="16"/>
                <w:lang w:val="en-GB"/>
              </w:rPr>
              <w:t>24</w:t>
            </w:r>
            <w:r w:rsidR="00266A13">
              <w:rPr>
                <w:rFonts w:ascii="Times New Roman" w:hAnsi="Times New Roman" w:cs="Times New Roman"/>
                <w:color w:val="auto"/>
                <w:sz w:val="16"/>
                <w:szCs w:val="16"/>
                <w:lang w:val="en-GB"/>
              </w:rPr>
              <w:t>,</w:t>
            </w:r>
          </w:p>
          <w:p w14:paraId="052C212A" w14:textId="2F61A30D" w:rsidR="00B052FE" w:rsidRPr="00E20B89" w:rsidRDefault="00266A13">
            <w:pPr>
              <w:pStyle w:val="Default"/>
              <w:spacing w:before="40" w:after="40"/>
              <w:rPr>
                <w:rFonts w:ascii="Times New Roman" w:hAnsi="Times New Roman" w:cs="Times New Roman"/>
                <w:color w:val="auto"/>
                <w:sz w:val="16"/>
                <w:szCs w:val="16"/>
                <w:lang w:val="en-GB"/>
              </w:rPr>
            </w:pPr>
            <w:r>
              <w:rPr>
                <w:rFonts w:ascii="Times New Roman" w:hAnsi="Times New Roman" w:cs="Times New Roman"/>
                <w:color w:val="auto"/>
                <w:sz w:val="16"/>
                <w:szCs w:val="16"/>
                <w:lang w:val="en-GB"/>
              </w:rPr>
              <w:t xml:space="preserve">Pg 11, </w:t>
            </w:r>
            <w:r w:rsidR="00CB73A9" w:rsidRPr="00E20B89">
              <w:rPr>
                <w:rFonts w:ascii="Times New Roman" w:hAnsi="Times New Roman" w:cs="Times New Roman"/>
                <w:color w:val="auto"/>
                <w:sz w:val="16"/>
                <w:szCs w:val="16"/>
                <w:lang w:val="en-GB"/>
              </w:rPr>
              <w:t xml:space="preserve">Line </w:t>
            </w:r>
            <w:r w:rsidR="00743437">
              <w:rPr>
                <w:rFonts w:ascii="Times New Roman" w:hAnsi="Times New Roman" w:cs="Times New Roman"/>
                <w:color w:val="auto"/>
                <w:sz w:val="16"/>
                <w:szCs w:val="16"/>
                <w:lang w:val="en-GB"/>
              </w:rPr>
              <w:t>2</w:t>
            </w:r>
            <w:r w:rsidR="00F53068">
              <w:rPr>
                <w:rFonts w:ascii="Times New Roman" w:hAnsi="Times New Roman" w:cs="Times New Roman"/>
                <w:color w:val="auto"/>
                <w:sz w:val="16"/>
                <w:szCs w:val="16"/>
                <w:lang w:val="en-GB"/>
              </w:rPr>
              <w:t>46</w:t>
            </w:r>
          </w:p>
        </w:tc>
      </w:tr>
      <w:tr w:rsidR="00B052FE" w:rsidRPr="00E20B89" w14:paraId="24CA4F7F" w14:textId="77777777" w:rsidTr="00274B66">
        <w:trPr>
          <w:trHeight w:val="50"/>
        </w:trPr>
        <w:tc>
          <w:tcPr>
            <w:tcW w:w="1560" w:type="dxa"/>
            <w:vMerge/>
            <w:tcBorders>
              <w:left w:val="single" w:sz="4" w:space="0" w:color="000000"/>
              <w:bottom w:val="single" w:sz="4" w:space="0" w:color="000000"/>
              <w:right w:val="single" w:sz="4" w:space="0" w:color="000000"/>
            </w:tcBorders>
          </w:tcPr>
          <w:p w14:paraId="0447DE2C"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5422FC06"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13f</w:t>
            </w:r>
          </w:p>
        </w:tc>
        <w:tc>
          <w:tcPr>
            <w:tcW w:w="11057" w:type="dxa"/>
            <w:tcBorders>
              <w:top w:val="single" w:sz="4" w:space="0" w:color="000000"/>
              <w:left w:val="single" w:sz="4" w:space="0" w:color="000000"/>
              <w:bottom w:val="single" w:sz="4" w:space="0" w:color="000000"/>
              <w:right w:val="single" w:sz="4" w:space="0" w:color="000000"/>
            </w:tcBorders>
          </w:tcPr>
          <w:p w14:paraId="5D2B5B4D"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any sensitivity analyses conducted to assess robustness of the synthesized results.</w:t>
            </w:r>
          </w:p>
        </w:tc>
        <w:tc>
          <w:tcPr>
            <w:tcW w:w="1843" w:type="dxa"/>
            <w:tcBorders>
              <w:top w:val="single" w:sz="4" w:space="0" w:color="000000"/>
              <w:left w:val="single" w:sz="4" w:space="0" w:color="000000"/>
              <w:bottom w:val="single" w:sz="4" w:space="0" w:color="000000"/>
              <w:right w:val="single" w:sz="4" w:space="0" w:color="000000"/>
            </w:tcBorders>
          </w:tcPr>
          <w:p w14:paraId="635A931B" w14:textId="4FB8F34D"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11</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22</w:t>
            </w:r>
            <w:r w:rsidR="00F53068">
              <w:rPr>
                <w:rFonts w:ascii="Times New Roman" w:hAnsi="Times New Roman" w:cs="Times New Roman"/>
                <w:color w:val="auto"/>
                <w:sz w:val="16"/>
                <w:szCs w:val="16"/>
                <w:lang w:val="en-GB"/>
              </w:rPr>
              <w:t>5</w:t>
            </w:r>
          </w:p>
        </w:tc>
      </w:tr>
      <w:tr w:rsidR="00B052FE" w:rsidRPr="00E20B89" w14:paraId="7D18A84C"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00588911"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Reporting bias </w:t>
            </w:r>
            <w:r w:rsidRPr="00E20B89">
              <w:rPr>
                <w:rFonts w:ascii="Times New Roman" w:hAnsi="Times New Roman" w:cs="Times New Roman"/>
                <w:sz w:val="16"/>
                <w:szCs w:val="16"/>
                <w:lang w:val="en-GB"/>
              </w:rPr>
              <w:lastRenderedPageBreak/>
              <w:t>assessment</w:t>
            </w:r>
          </w:p>
        </w:tc>
        <w:tc>
          <w:tcPr>
            <w:tcW w:w="567" w:type="dxa"/>
            <w:tcBorders>
              <w:top w:val="single" w:sz="4" w:space="0" w:color="000000"/>
              <w:left w:val="single" w:sz="4" w:space="0" w:color="000000"/>
              <w:bottom w:val="single" w:sz="4" w:space="0" w:color="000000"/>
              <w:right w:val="single" w:sz="4" w:space="0" w:color="000000"/>
            </w:tcBorders>
          </w:tcPr>
          <w:p w14:paraId="5F8F010E"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lastRenderedPageBreak/>
              <w:t>14</w:t>
            </w:r>
          </w:p>
        </w:tc>
        <w:tc>
          <w:tcPr>
            <w:tcW w:w="11057" w:type="dxa"/>
            <w:tcBorders>
              <w:top w:val="single" w:sz="4" w:space="0" w:color="000000"/>
              <w:left w:val="single" w:sz="4" w:space="0" w:color="000000"/>
              <w:bottom w:val="single" w:sz="4" w:space="0" w:color="000000"/>
              <w:right w:val="single" w:sz="4" w:space="0" w:color="000000"/>
            </w:tcBorders>
          </w:tcPr>
          <w:p w14:paraId="0C28528D"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any methods used to assess risk of bias due to missing results in a synthesis (arising from reporting biases).</w:t>
            </w:r>
          </w:p>
        </w:tc>
        <w:tc>
          <w:tcPr>
            <w:tcW w:w="1843" w:type="dxa"/>
            <w:tcBorders>
              <w:top w:val="single" w:sz="4" w:space="0" w:color="000000"/>
              <w:left w:val="single" w:sz="4" w:space="0" w:color="000000"/>
              <w:bottom w:val="single" w:sz="4" w:space="0" w:color="000000"/>
              <w:right w:val="single" w:sz="4" w:space="0" w:color="000000"/>
            </w:tcBorders>
          </w:tcPr>
          <w:p w14:paraId="01F3B2A2" w14:textId="77777777"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NA</w:t>
            </w:r>
          </w:p>
        </w:tc>
      </w:tr>
      <w:tr w:rsidR="00B052FE" w:rsidRPr="00E20B89" w14:paraId="3CA1CF10"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35FD5556"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Certainty assessment</w:t>
            </w:r>
          </w:p>
        </w:tc>
        <w:tc>
          <w:tcPr>
            <w:tcW w:w="567" w:type="dxa"/>
            <w:tcBorders>
              <w:top w:val="single" w:sz="4" w:space="0" w:color="000000"/>
              <w:left w:val="single" w:sz="4" w:space="0" w:color="000000"/>
              <w:bottom w:val="single" w:sz="4" w:space="0" w:color="000000"/>
              <w:right w:val="single" w:sz="4" w:space="0" w:color="000000"/>
            </w:tcBorders>
          </w:tcPr>
          <w:p w14:paraId="52BF9A09"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15</w:t>
            </w:r>
          </w:p>
        </w:tc>
        <w:tc>
          <w:tcPr>
            <w:tcW w:w="11057" w:type="dxa"/>
            <w:tcBorders>
              <w:top w:val="single" w:sz="4" w:space="0" w:color="000000"/>
              <w:left w:val="single" w:sz="4" w:space="0" w:color="000000"/>
              <w:bottom w:val="single" w:sz="4" w:space="0" w:color="000000"/>
              <w:right w:val="single" w:sz="4" w:space="0" w:color="000000"/>
            </w:tcBorders>
          </w:tcPr>
          <w:p w14:paraId="1B852449"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any methods used to assess certainty (or confidence) in the body of evidence for an outcome.</w:t>
            </w:r>
          </w:p>
        </w:tc>
        <w:tc>
          <w:tcPr>
            <w:tcW w:w="1843" w:type="dxa"/>
            <w:tcBorders>
              <w:top w:val="single" w:sz="4" w:space="0" w:color="000000"/>
              <w:left w:val="single" w:sz="4" w:space="0" w:color="000000"/>
              <w:bottom w:val="single" w:sz="4" w:space="0" w:color="000000"/>
              <w:right w:val="single" w:sz="4" w:space="0" w:color="000000"/>
            </w:tcBorders>
          </w:tcPr>
          <w:p w14:paraId="5DCDD644" w14:textId="055AB90D"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11</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2</w:t>
            </w:r>
            <w:r w:rsidR="00F53068">
              <w:rPr>
                <w:rFonts w:ascii="Times New Roman" w:hAnsi="Times New Roman" w:cs="Times New Roman"/>
                <w:color w:val="auto"/>
                <w:sz w:val="16"/>
                <w:szCs w:val="16"/>
                <w:lang w:val="en-GB"/>
              </w:rPr>
              <w:t>29</w:t>
            </w:r>
          </w:p>
        </w:tc>
      </w:tr>
      <w:tr w:rsidR="00B052FE" w:rsidRPr="00E20B89" w14:paraId="5782FFF4" w14:textId="77777777" w:rsidTr="00274B66">
        <w:trPr>
          <w:trHeight w:val="24"/>
        </w:trPr>
        <w:tc>
          <w:tcPr>
            <w:tcW w:w="1318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69162EB" w14:textId="77777777" w:rsidR="00B052FE" w:rsidRPr="00E20B89" w:rsidRDefault="00CB73A9">
            <w:pPr>
              <w:pStyle w:val="Default"/>
              <w:rPr>
                <w:rFonts w:ascii="Times New Roman" w:hAnsi="Times New Roman" w:cs="Times New Roman"/>
                <w:sz w:val="16"/>
                <w:szCs w:val="16"/>
                <w:lang w:val="en-GB"/>
              </w:rPr>
            </w:pPr>
            <w:r w:rsidRPr="00E20B89">
              <w:rPr>
                <w:rFonts w:ascii="Times New Roman" w:hAnsi="Times New Roman" w:cs="Times New Roman"/>
                <w:b/>
                <w:bCs/>
                <w:sz w:val="16"/>
                <w:szCs w:val="16"/>
                <w:lang w:val="en-GB"/>
              </w:rPr>
              <w:t xml:space="preserve">RESULTS </w:t>
            </w:r>
          </w:p>
        </w:tc>
        <w:tc>
          <w:tcPr>
            <w:tcW w:w="1843" w:type="dxa"/>
            <w:tcBorders>
              <w:top w:val="double" w:sz="4" w:space="0" w:color="000000"/>
              <w:left w:val="single" w:sz="4" w:space="0" w:color="000000"/>
              <w:bottom w:val="single" w:sz="4" w:space="0" w:color="000000"/>
              <w:right w:val="single" w:sz="4" w:space="0" w:color="000000"/>
            </w:tcBorders>
            <w:shd w:val="clear" w:color="auto" w:fill="FFFFCC"/>
          </w:tcPr>
          <w:p w14:paraId="328C9D80" w14:textId="77777777" w:rsidR="00B052FE" w:rsidRPr="00E20B89" w:rsidRDefault="00B052FE">
            <w:pPr>
              <w:pStyle w:val="Default"/>
              <w:jc w:val="center"/>
              <w:rPr>
                <w:rFonts w:ascii="Times New Roman" w:hAnsi="Times New Roman" w:cs="Times New Roman"/>
                <w:color w:val="auto"/>
                <w:sz w:val="16"/>
                <w:szCs w:val="16"/>
                <w:lang w:val="en-GB"/>
              </w:rPr>
            </w:pPr>
          </w:p>
        </w:tc>
      </w:tr>
      <w:tr w:rsidR="00B052FE" w:rsidRPr="00E20B89" w14:paraId="65E45B41" w14:textId="77777777" w:rsidTr="00274B66">
        <w:trPr>
          <w:trHeight w:val="48"/>
        </w:trPr>
        <w:tc>
          <w:tcPr>
            <w:tcW w:w="1560" w:type="dxa"/>
            <w:vMerge w:val="restart"/>
            <w:tcBorders>
              <w:top w:val="single" w:sz="4" w:space="0" w:color="000000"/>
              <w:left w:val="single" w:sz="4" w:space="0" w:color="000000"/>
              <w:right w:val="single" w:sz="4" w:space="0" w:color="000000"/>
            </w:tcBorders>
          </w:tcPr>
          <w:p w14:paraId="57A22648"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Study selection </w:t>
            </w:r>
          </w:p>
        </w:tc>
        <w:tc>
          <w:tcPr>
            <w:tcW w:w="567" w:type="dxa"/>
            <w:tcBorders>
              <w:top w:val="single" w:sz="4" w:space="0" w:color="000000"/>
              <w:left w:val="single" w:sz="4" w:space="0" w:color="000000"/>
              <w:bottom w:val="single" w:sz="4" w:space="0" w:color="000000"/>
              <w:right w:val="single" w:sz="4" w:space="0" w:color="000000"/>
            </w:tcBorders>
          </w:tcPr>
          <w:p w14:paraId="02A36E8D"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16a</w:t>
            </w:r>
          </w:p>
        </w:tc>
        <w:tc>
          <w:tcPr>
            <w:tcW w:w="11057" w:type="dxa"/>
            <w:tcBorders>
              <w:top w:val="single" w:sz="4" w:space="0" w:color="000000"/>
              <w:left w:val="single" w:sz="4" w:space="0" w:color="000000"/>
              <w:bottom w:val="single" w:sz="4" w:space="0" w:color="000000"/>
              <w:right w:val="single" w:sz="4" w:space="0" w:color="000000"/>
            </w:tcBorders>
          </w:tcPr>
          <w:p w14:paraId="52D4DB42"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the results of the search and selection process, from the number of records identified in the search to the number of studies included in the review, ideally using a flow diagram.</w:t>
            </w:r>
          </w:p>
        </w:tc>
        <w:tc>
          <w:tcPr>
            <w:tcW w:w="1843" w:type="dxa"/>
            <w:tcBorders>
              <w:top w:val="single" w:sz="4" w:space="0" w:color="000000"/>
              <w:left w:val="single" w:sz="4" w:space="0" w:color="000000"/>
              <w:bottom w:val="single" w:sz="4" w:space="0" w:color="000000"/>
              <w:right w:val="single" w:sz="4" w:space="0" w:color="000000"/>
            </w:tcBorders>
          </w:tcPr>
          <w:p w14:paraId="4AEC4A1F" w14:textId="0479E6AB"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11</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2</w:t>
            </w:r>
            <w:r w:rsidR="00F53068">
              <w:rPr>
                <w:rFonts w:ascii="Times New Roman" w:hAnsi="Times New Roman" w:cs="Times New Roman"/>
                <w:color w:val="auto"/>
                <w:sz w:val="16"/>
                <w:szCs w:val="16"/>
                <w:lang w:val="en-GB"/>
              </w:rPr>
              <w:t>53</w:t>
            </w:r>
          </w:p>
        </w:tc>
      </w:tr>
      <w:tr w:rsidR="00B052FE" w:rsidRPr="00E20B89" w14:paraId="739C8F72" w14:textId="77777777" w:rsidTr="00274B66">
        <w:trPr>
          <w:trHeight w:val="48"/>
        </w:trPr>
        <w:tc>
          <w:tcPr>
            <w:tcW w:w="1560" w:type="dxa"/>
            <w:vMerge/>
            <w:tcBorders>
              <w:left w:val="single" w:sz="4" w:space="0" w:color="000000"/>
              <w:bottom w:val="single" w:sz="4" w:space="0" w:color="000000"/>
              <w:right w:val="single" w:sz="4" w:space="0" w:color="000000"/>
            </w:tcBorders>
          </w:tcPr>
          <w:p w14:paraId="048DBE35"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4CC6B8D1"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16b</w:t>
            </w:r>
          </w:p>
        </w:tc>
        <w:tc>
          <w:tcPr>
            <w:tcW w:w="11057" w:type="dxa"/>
            <w:tcBorders>
              <w:top w:val="single" w:sz="4" w:space="0" w:color="000000"/>
              <w:left w:val="single" w:sz="4" w:space="0" w:color="000000"/>
              <w:bottom w:val="single" w:sz="4" w:space="0" w:color="000000"/>
              <w:right w:val="single" w:sz="4" w:space="0" w:color="000000"/>
            </w:tcBorders>
          </w:tcPr>
          <w:p w14:paraId="7EAD014A"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Cite studies that might appear to meet the inclusion criteria, but which were excluded, and explain why they were excluded.</w:t>
            </w:r>
          </w:p>
        </w:tc>
        <w:tc>
          <w:tcPr>
            <w:tcW w:w="1843" w:type="dxa"/>
            <w:tcBorders>
              <w:top w:val="single" w:sz="4" w:space="0" w:color="000000"/>
              <w:left w:val="single" w:sz="4" w:space="0" w:color="000000"/>
              <w:bottom w:val="single" w:sz="4" w:space="0" w:color="000000"/>
              <w:right w:val="single" w:sz="4" w:space="0" w:color="000000"/>
            </w:tcBorders>
          </w:tcPr>
          <w:p w14:paraId="4E176C24" w14:textId="77777777"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Figure 01</w:t>
            </w:r>
          </w:p>
        </w:tc>
      </w:tr>
      <w:tr w:rsidR="00B052FE" w:rsidRPr="00E20B89" w14:paraId="03B1B0AC" w14:textId="77777777" w:rsidTr="00274B66">
        <w:trPr>
          <w:trHeight w:val="103"/>
        </w:trPr>
        <w:tc>
          <w:tcPr>
            <w:tcW w:w="1560" w:type="dxa"/>
            <w:tcBorders>
              <w:top w:val="single" w:sz="4" w:space="0" w:color="000000"/>
              <w:left w:val="single" w:sz="4" w:space="0" w:color="000000"/>
              <w:bottom w:val="single" w:sz="4" w:space="0" w:color="000000"/>
              <w:right w:val="single" w:sz="4" w:space="0" w:color="000000"/>
            </w:tcBorders>
          </w:tcPr>
          <w:p w14:paraId="5837F79B"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Study characteristics </w:t>
            </w:r>
          </w:p>
        </w:tc>
        <w:tc>
          <w:tcPr>
            <w:tcW w:w="567" w:type="dxa"/>
            <w:tcBorders>
              <w:top w:val="single" w:sz="4" w:space="0" w:color="000000"/>
              <w:left w:val="single" w:sz="4" w:space="0" w:color="000000"/>
              <w:bottom w:val="single" w:sz="4" w:space="0" w:color="000000"/>
              <w:right w:val="single" w:sz="4" w:space="0" w:color="000000"/>
            </w:tcBorders>
          </w:tcPr>
          <w:p w14:paraId="7622E46D"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17</w:t>
            </w:r>
          </w:p>
        </w:tc>
        <w:tc>
          <w:tcPr>
            <w:tcW w:w="11057" w:type="dxa"/>
            <w:tcBorders>
              <w:top w:val="single" w:sz="4" w:space="0" w:color="000000"/>
              <w:left w:val="single" w:sz="4" w:space="0" w:color="000000"/>
              <w:bottom w:val="single" w:sz="4" w:space="0" w:color="000000"/>
              <w:right w:val="single" w:sz="4" w:space="0" w:color="000000"/>
            </w:tcBorders>
          </w:tcPr>
          <w:p w14:paraId="33A211C0"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Cite each included study and present its characteristics.</w:t>
            </w:r>
          </w:p>
        </w:tc>
        <w:tc>
          <w:tcPr>
            <w:tcW w:w="1843" w:type="dxa"/>
            <w:tcBorders>
              <w:top w:val="single" w:sz="4" w:space="0" w:color="000000"/>
              <w:left w:val="single" w:sz="4" w:space="0" w:color="000000"/>
              <w:bottom w:val="single" w:sz="4" w:space="0" w:color="000000"/>
              <w:right w:val="single" w:sz="4" w:space="0" w:color="000000"/>
            </w:tcBorders>
          </w:tcPr>
          <w:p w14:paraId="6B8FB8CE" w14:textId="372C7366" w:rsidR="00B052FE" w:rsidRPr="00E20B89" w:rsidRDefault="002208D1">
            <w:pPr>
              <w:pStyle w:val="Default"/>
              <w:spacing w:before="40" w:after="40"/>
              <w:rPr>
                <w:rFonts w:ascii="Times New Roman" w:hAnsi="Times New Roman" w:cs="Times New Roman"/>
                <w:color w:val="auto"/>
                <w:sz w:val="16"/>
                <w:szCs w:val="16"/>
                <w:lang w:val="en-GB"/>
              </w:rPr>
            </w:pPr>
            <w:r>
              <w:rPr>
                <w:rFonts w:ascii="Times New Roman" w:hAnsi="Times New Roman" w:cs="Times New Roman"/>
                <w:color w:val="auto"/>
                <w:sz w:val="16"/>
                <w:szCs w:val="16"/>
                <w:lang w:val="en-GB"/>
              </w:rPr>
              <w:t xml:space="preserve">Table 01, </w:t>
            </w:r>
            <w:r w:rsidRPr="00E20B89">
              <w:rPr>
                <w:rFonts w:ascii="Times New Roman" w:hAnsi="Times New Roman" w:cs="Times New Roman"/>
                <w:color w:val="auto"/>
                <w:sz w:val="16"/>
                <w:szCs w:val="16"/>
                <w:lang w:val="en-GB"/>
              </w:rPr>
              <w:t>Supp File</w:t>
            </w:r>
            <w:r>
              <w:rPr>
                <w:rFonts w:ascii="Times New Roman" w:hAnsi="Times New Roman" w:cs="Times New Roman"/>
                <w:color w:val="auto"/>
                <w:sz w:val="16"/>
                <w:szCs w:val="16"/>
                <w:lang w:val="en-GB"/>
              </w:rPr>
              <w:t xml:space="preserve"> Appendix II</w:t>
            </w:r>
          </w:p>
        </w:tc>
      </w:tr>
      <w:tr w:rsidR="00B052FE" w:rsidRPr="00E20B89" w14:paraId="416738F4"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52D37772"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Risk of bias in studies </w:t>
            </w:r>
          </w:p>
        </w:tc>
        <w:tc>
          <w:tcPr>
            <w:tcW w:w="567" w:type="dxa"/>
            <w:tcBorders>
              <w:top w:val="single" w:sz="4" w:space="0" w:color="000000"/>
              <w:left w:val="single" w:sz="4" w:space="0" w:color="000000"/>
              <w:bottom w:val="single" w:sz="4" w:space="0" w:color="000000"/>
              <w:right w:val="single" w:sz="4" w:space="0" w:color="000000"/>
            </w:tcBorders>
          </w:tcPr>
          <w:p w14:paraId="159A3CC3"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18</w:t>
            </w:r>
          </w:p>
        </w:tc>
        <w:tc>
          <w:tcPr>
            <w:tcW w:w="11057" w:type="dxa"/>
            <w:tcBorders>
              <w:top w:val="single" w:sz="4" w:space="0" w:color="000000"/>
              <w:left w:val="single" w:sz="4" w:space="0" w:color="000000"/>
              <w:bottom w:val="single" w:sz="4" w:space="0" w:color="000000"/>
              <w:right w:val="single" w:sz="4" w:space="0" w:color="000000"/>
            </w:tcBorders>
          </w:tcPr>
          <w:p w14:paraId="5919D157"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Present assessments of risk of bias for each included study.</w:t>
            </w:r>
          </w:p>
        </w:tc>
        <w:tc>
          <w:tcPr>
            <w:tcW w:w="1843" w:type="dxa"/>
            <w:tcBorders>
              <w:top w:val="single" w:sz="4" w:space="0" w:color="000000"/>
              <w:left w:val="single" w:sz="4" w:space="0" w:color="000000"/>
              <w:bottom w:val="single" w:sz="4" w:space="0" w:color="000000"/>
              <w:right w:val="single" w:sz="4" w:space="0" w:color="000000"/>
            </w:tcBorders>
          </w:tcPr>
          <w:p w14:paraId="4E80E1E7" w14:textId="0FA7B90F" w:rsidR="00B052FE" w:rsidRPr="00E20B89" w:rsidRDefault="002208D1">
            <w:pPr>
              <w:pStyle w:val="Default"/>
              <w:spacing w:before="40" w:after="40"/>
              <w:rPr>
                <w:rFonts w:ascii="Times New Roman" w:hAnsi="Times New Roman" w:cs="Times New Roman"/>
                <w:color w:val="auto"/>
                <w:sz w:val="16"/>
                <w:szCs w:val="16"/>
                <w:lang w:val="en-GB"/>
              </w:rPr>
            </w:pPr>
            <w:r w:rsidRPr="002208D1">
              <w:rPr>
                <w:rFonts w:ascii="Times New Roman" w:hAnsi="Times New Roman" w:cs="Times New Roman"/>
                <w:color w:val="auto"/>
                <w:sz w:val="16"/>
                <w:szCs w:val="16"/>
                <w:lang w:val="en-GB"/>
              </w:rPr>
              <w:t>Supp File Appendix II</w:t>
            </w:r>
          </w:p>
        </w:tc>
      </w:tr>
      <w:tr w:rsidR="00B052FE" w:rsidRPr="00E20B89" w14:paraId="28E0E75E"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3000C0E8"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Results of individual studies </w:t>
            </w:r>
          </w:p>
        </w:tc>
        <w:tc>
          <w:tcPr>
            <w:tcW w:w="567" w:type="dxa"/>
            <w:tcBorders>
              <w:top w:val="single" w:sz="4" w:space="0" w:color="000000"/>
              <w:left w:val="single" w:sz="4" w:space="0" w:color="000000"/>
              <w:bottom w:val="single" w:sz="4" w:space="0" w:color="000000"/>
              <w:right w:val="single" w:sz="4" w:space="0" w:color="000000"/>
            </w:tcBorders>
          </w:tcPr>
          <w:p w14:paraId="27F55D13"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19</w:t>
            </w:r>
          </w:p>
        </w:tc>
        <w:tc>
          <w:tcPr>
            <w:tcW w:w="11057" w:type="dxa"/>
            <w:tcBorders>
              <w:top w:val="single" w:sz="4" w:space="0" w:color="000000"/>
              <w:left w:val="single" w:sz="4" w:space="0" w:color="000000"/>
              <w:bottom w:val="single" w:sz="4" w:space="0" w:color="000000"/>
              <w:right w:val="single" w:sz="4" w:space="0" w:color="000000"/>
            </w:tcBorders>
          </w:tcPr>
          <w:p w14:paraId="0B005EBF"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For all outcomes, present, for each study: (a) summary statistics for each group (where appropriate) and (b) an effect </w:t>
            </w:r>
            <w:proofErr w:type="gramStart"/>
            <w:r w:rsidRPr="00E20B89">
              <w:rPr>
                <w:rFonts w:ascii="Times New Roman" w:hAnsi="Times New Roman" w:cs="Times New Roman"/>
                <w:sz w:val="16"/>
                <w:szCs w:val="16"/>
                <w:lang w:val="en-GB"/>
              </w:rPr>
              <w:t>estimate</w:t>
            </w:r>
            <w:proofErr w:type="gramEnd"/>
            <w:r w:rsidRPr="00E20B89">
              <w:rPr>
                <w:rFonts w:ascii="Times New Roman" w:hAnsi="Times New Roman" w:cs="Times New Roman"/>
                <w:sz w:val="16"/>
                <w:szCs w:val="16"/>
                <w:lang w:val="en-GB"/>
              </w:rPr>
              <w:t xml:space="preserve"> and its precision (e.g. confidence/credible interval), ideally using structured tables or plots.</w:t>
            </w:r>
          </w:p>
        </w:tc>
        <w:tc>
          <w:tcPr>
            <w:tcW w:w="1843" w:type="dxa"/>
            <w:tcBorders>
              <w:top w:val="single" w:sz="4" w:space="0" w:color="000000"/>
              <w:left w:val="single" w:sz="4" w:space="0" w:color="000000"/>
              <w:bottom w:val="single" w:sz="4" w:space="0" w:color="000000"/>
              <w:right w:val="single" w:sz="4" w:space="0" w:color="000000"/>
            </w:tcBorders>
          </w:tcPr>
          <w:p w14:paraId="283F8BBF" w14:textId="3F92CE2F"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Figure 02, 03,</w:t>
            </w:r>
            <w:r w:rsidR="00A1279A">
              <w:rPr>
                <w:rFonts w:ascii="Times New Roman" w:hAnsi="Times New Roman" w:cs="Times New Roman"/>
                <w:color w:val="auto"/>
                <w:sz w:val="16"/>
                <w:szCs w:val="16"/>
                <w:lang w:val="en-GB"/>
              </w:rPr>
              <w:t xml:space="preserve"> </w:t>
            </w:r>
            <w:r w:rsidRPr="00E20B89">
              <w:rPr>
                <w:rFonts w:ascii="Times New Roman" w:hAnsi="Times New Roman" w:cs="Times New Roman"/>
                <w:color w:val="auto"/>
                <w:sz w:val="16"/>
                <w:szCs w:val="16"/>
                <w:lang w:val="en-GB"/>
              </w:rPr>
              <w:t>04</w:t>
            </w:r>
            <w:r w:rsidR="00A1279A">
              <w:rPr>
                <w:rFonts w:ascii="Times New Roman" w:hAnsi="Times New Roman" w:cs="Times New Roman"/>
                <w:color w:val="auto"/>
                <w:sz w:val="16"/>
                <w:szCs w:val="16"/>
                <w:lang w:val="en-GB"/>
              </w:rPr>
              <w:t xml:space="preserve">, 05, 06, </w:t>
            </w:r>
            <w:r w:rsidR="00A1279A" w:rsidRPr="00A1279A">
              <w:rPr>
                <w:rFonts w:ascii="Times New Roman" w:hAnsi="Times New Roman" w:cs="Times New Roman"/>
                <w:color w:val="auto"/>
                <w:sz w:val="16"/>
                <w:szCs w:val="16"/>
                <w:lang w:val="en-GB"/>
              </w:rPr>
              <w:t>Supp File Appendix I</w:t>
            </w:r>
            <w:r w:rsidR="00266A13">
              <w:rPr>
                <w:rFonts w:ascii="Times New Roman" w:hAnsi="Times New Roman" w:cs="Times New Roman"/>
                <w:color w:val="auto"/>
                <w:sz w:val="16"/>
                <w:szCs w:val="16"/>
                <w:lang w:val="en-GB"/>
              </w:rPr>
              <w:t>V</w:t>
            </w:r>
          </w:p>
        </w:tc>
      </w:tr>
      <w:tr w:rsidR="00B052FE" w:rsidRPr="00E20B89" w14:paraId="3B7A6C9F" w14:textId="77777777" w:rsidTr="00274B66">
        <w:trPr>
          <w:trHeight w:val="48"/>
        </w:trPr>
        <w:tc>
          <w:tcPr>
            <w:tcW w:w="1560" w:type="dxa"/>
            <w:vMerge w:val="restart"/>
            <w:tcBorders>
              <w:top w:val="single" w:sz="4" w:space="0" w:color="000000"/>
              <w:left w:val="single" w:sz="4" w:space="0" w:color="000000"/>
              <w:right w:val="single" w:sz="4" w:space="0" w:color="000000"/>
            </w:tcBorders>
          </w:tcPr>
          <w:p w14:paraId="5718D7D7"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Results of syntheses</w:t>
            </w:r>
          </w:p>
        </w:tc>
        <w:tc>
          <w:tcPr>
            <w:tcW w:w="567" w:type="dxa"/>
            <w:tcBorders>
              <w:top w:val="single" w:sz="4" w:space="0" w:color="000000"/>
              <w:left w:val="single" w:sz="4" w:space="0" w:color="000000"/>
              <w:bottom w:val="single" w:sz="4" w:space="0" w:color="000000"/>
              <w:right w:val="single" w:sz="4" w:space="0" w:color="000000"/>
            </w:tcBorders>
          </w:tcPr>
          <w:p w14:paraId="6F1D3303"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20a</w:t>
            </w:r>
          </w:p>
        </w:tc>
        <w:tc>
          <w:tcPr>
            <w:tcW w:w="11057" w:type="dxa"/>
            <w:tcBorders>
              <w:top w:val="single" w:sz="4" w:space="0" w:color="000000"/>
              <w:left w:val="single" w:sz="4" w:space="0" w:color="000000"/>
              <w:bottom w:val="single" w:sz="4" w:space="0" w:color="000000"/>
              <w:right w:val="single" w:sz="4" w:space="0" w:color="000000"/>
            </w:tcBorders>
          </w:tcPr>
          <w:p w14:paraId="4E3AE71C"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For each synthesis, briefly summarise the characteristics and risk of bias among contributing studies.</w:t>
            </w:r>
          </w:p>
        </w:tc>
        <w:tc>
          <w:tcPr>
            <w:tcW w:w="1843" w:type="dxa"/>
            <w:tcBorders>
              <w:top w:val="single" w:sz="4" w:space="0" w:color="000000"/>
              <w:left w:val="single" w:sz="4" w:space="0" w:color="000000"/>
              <w:bottom w:val="single" w:sz="4" w:space="0" w:color="000000"/>
              <w:right w:val="single" w:sz="4" w:space="0" w:color="000000"/>
            </w:tcBorders>
          </w:tcPr>
          <w:p w14:paraId="76FEF1E7" w14:textId="5392D169" w:rsidR="00B052FE"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12</w:t>
            </w:r>
            <w:r w:rsidRPr="00E20B89">
              <w:rPr>
                <w:rFonts w:ascii="Times New Roman" w:hAnsi="Times New Roman" w:cs="Times New Roman"/>
                <w:color w:val="auto"/>
                <w:sz w:val="16"/>
                <w:szCs w:val="16"/>
                <w:lang w:val="en-GB"/>
              </w:rPr>
              <w:t xml:space="preserve">, Line </w:t>
            </w:r>
            <w:r w:rsidR="005A7B3A">
              <w:rPr>
                <w:rFonts w:ascii="Times New Roman" w:hAnsi="Times New Roman" w:cs="Times New Roman"/>
                <w:color w:val="auto"/>
                <w:sz w:val="16"/>
                <w:szCs w:val="16"/>
                <w:lang w:val="en-GB"/>
              </w:rPr>
              <w:t>267</w:t>
            </w:r>
            <w:r w:rsidR="00266A13">
              <w:rPr>
                <w:rFonts w:ascii="Times New Roman" w:hAnsi="Times New Roman" w:cs="Times New Roman"/>
                <w:color w:val="auto"/>
                <w:sz w:val="16"/>
                <w:szCs w:val="16"/>
                <w:lang w:val="en-GB"/>
              </w:rPr>
              <w:t>,</w:t>
            </w:r>
          </w:p>
          <w:p w14:paraId="44C1021A" w14:textId="42789830" w:rsidR="00266A13" w:rsidRPr="00E20B89" w:rsidRDefault="005A7B3A">
            <w:pPr>
              <w:pStyle w:val="Default"/>
              <w:spacing w:before="40" w:after="40"/>
              <w:rPr>
                <w:rFonts w:ascii="Times New Roman" w:hAnsi="Times New Roman" w:cs="Times New Roman"/>
                <w:color w:val="auto"/>
                <w:sz w:val="16"/>
                <w:szCs w:val="16"/>
                <w:lang w:val="en-GB"/>
              </w:rPr>
            </w:pPr>
            <w:r>
              <w:rPr>
                <w:rFonts w:ascii="Times New Roman" w:hAnsi="Times New Roman" w:cs="Times New Roman"/>
                <w:color w:val="auto"/>
                <w:sz w:val="16"/>
                <w:szCs w:val="16"/>
                <w:lang w:val="en-GB"/>
              </w:rPr>
              <w:t>Supp File Appendix II</w:t>
            </w:r>
          </w:p>
        </w:tc>
      </w:tr>
      <w:tr w:rsidR="00B052FE" w:rsidRPr="00E20B89" w14:paraId="0BEBAE67" w14:textId="77777777" w:rsidTr="00274B66">
        <w:trPr>
          <w:trHeight w:val="203"/>
        </w:trPr>
        <w:tc>
          <w:tcPr>
            <w:tcW w:w="1560" w:type="dxa"/>
            <w:vMerge/>
            <w:tcBorders>
              <w:left w:val="single" w:sz="4" w:space="0" w:color="000000"/>
              <w:right w:val="single" w:sz="4" w:space="0" w:color="000000"/>
            </w:tcBorders>
          </w:tcPr>
          <w:p w14:paraId="62A5ED0C"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1283C4AC"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20b</w:t>
            </w:r>
          </w:p>
        </w:tc>
        <w:tc>
          <w:tcPr>
            <w:tcW w:w="11057" w:type="dxa"/>
            <w:tcBorders>
              <w:top w:val="single" w:sz="4" w:space="0" w:color="000000"/>
              <w:left w:val="single" w:sz="4" w:space="0" w:color="000000"/>
              <w:bottom w:val="single" w:sz="4" w:space="0" w:color="000000"/>
              <w:right w:val="single" w:sz="4" w:space="0" w:color="000000"/>
            </w:tcBorders>
          </w:tcPr>
          <w:p w14:paraId="641CAFC2"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843" w:type="dxa"/>
            <w:tcBorders>
              <w:top w:val="single" w:sz="4" w:space="0" w:color="000000"/>
              <w:left w:val="single" w:sz="4" w:space="0" w:color="000000"/>
              <w:bottom w:val="single" w:sz="4" w:space="0" w:color="000000"/>
              <w:right w:val="single" w:sz="4" w:space="0" w:color="000000"/>
            </w:tcBorders>
          </w:tcPr>
          <w:p w14:paraId="3B8F84F0" w14:textId="27734A9F"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17</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83</w:t>
            </w:r>
          </w:p>
        </w:tc>
      </w:tr>
      <w:tr w:rsidR="00B052FE" w:rsidRPr="00E20B89" w14:paraId="42B7FCA1" w14:textId="77777777" w:rsidTr="00274B66">
        <w:trPr>
          <w:trHeight w:val="48"/>
        </w:trPr>
        <w:tc>
          <w:tcPr>
            <w:tcW w:w="1560" w:type="dxa"/>
            <w:vMerge/>
            <w:tcBorders>
              <w:left w:val="single" w:sz="4" w:space="0" w:color="000000"/>
              <w:right w:val="single" w:sz="4" w:space="0" w:color="000000"/>
            </w:tcBorders>
          </w:tcPr>
          <w:p w14:paraId="6B8E5645"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4E907F64"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20c</w:t>
            </w:r>
          </w:p>
        </w:tc>
        <w:tc>
          <w:tcPr>
            <w:tcW w:w="11057" w:type="dxa"/>
            <w:tcBorders>
              <w:top w:val="single" w:sz="4" w:space="0" w:color="000000"/>
              <w:left w:val="single" w:sz="4" w:space="0" w:color="000000"/>
              <w:bottom w:val="single" w:sz="4" w:space="0" w:color="000000"/>
              <w:right w:val="single" w:sz="4" w:space="0" w:color="000000"/>
            </w:tcBorders>
          </w:tcPr>
          <w:p w14:paraId="1873EF94"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Present results of all investigations of possible causes of heterogeneity among study results.</w:t>
            </w:r>
          </w:p>
        </w:tc>
        <w:tc>
          <w:tcPr>
            <w:tcW w:w="1843" w:type="dxa"/>
            <w:tcBorders>
              <w:top w:val="single" w:sz="4" w:space="0" w:color="000000"/>
              <w:left w:val="single" w:sz="4" w:space="0" w:color="000000"/>
              <w:bottom w:val="single" w:sz="4" w:space="0" w:color="000000"/>
              <w:right w:val="single" w:sz="4" w:space="0" w:color="000000"/>
            </w:tcBorders>
          </w:tcPr>
          <w:p w14:paraId="5650D38F" w14:textId="33ED53E8" w:rsidR="00B052FE"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5A7B3A">
              <w:rPr>
                <w:rFonts w:ascii="Times New Roman" w:hAnsi="Times New Roman" w:cs="Times New Roman"/>
                <w:color w:val="auto"/>
                <w:sz w:val="16"/>
                <w:szCs w:val="16"/>
                <w:lang w:val="en-GB"/>
              </w:rPr>
              <w:t>20</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3</w:t>
            </w:r>
            <w:r w:rsidR="005A7B3A">
              <w:rPr>
                <w:rFonts w:ascii="Times New Roman" w:hAnsi="Times New Roman" w:cs="Times New Roman"/>
                <w:color w:val="auto"/>
                <w:sz w:val="16"/>
                <w:szCs w:val="16"/>
                <w:lang w:val="en-GB"/>
              </w:rPr>
              <w:t>47</w:t>
            </w:r>
            <w:r w:rsidR="00266A13">
              <w:rPr>
                <w:rFonts w:ascii="Times New Roman" w:hAnsi="Times New Roman" w:cs="Times New Roman"/>
                <w:color w:val="auto"/>
                <w:sz w:val="16"/>
                <w:szCs w:val="16"/>
                <w:lang w:val="en-GB"/>
              </w:rPr>
              <w:t>,</w:t>
            </w:r>
          </w:p>
          <w:p w14:paraId="32BAC8D9" w14:textId="73723ED2" w:rsidR="00266A13" w:rsidRPr="00E20B89" w:rsidRDefault="00266A13">
            <w:pPr>
              <w:pStyle w:val="Default"/>
              <w:spacing w:before="40" w:after="40"/>
              <w:rPr>
                <w:rFonts w:ascii="Times New Roman" w:hAnsi="Times New Roman" w:cs="Times New Roman"/>
                <w:color w:val="auto"/>
                <w:sz w:val="16"/>
                <w:szCs w:val="16"/>
                <w:lang w:val="en-GB"/>
              </w:rPr>
            </w:pPr>
            <w:r>
              <w:rPr>
                <w:rFonts w:ascii="Times New Roman" w:hAnsi="Times New Roman" w:cs="Times New Roman"/>
                <w:color w:val="auto"/>
                <w:sz w:val="16"/>
                <w:szCs w:val="16"/>
                <w:lang w:val="en-GB"/>
              </w:rPr>
              <w:t xml:space="preserve">Pg </w:t>
            </w:r>
            <w:r w:rsidR="005A7B3A">
              <w:rPr>
                <w:rFonts w:ascii="Times New Roman" w:hAnsi="Times New Roman" w:cs="Times New Roman"/>
                <w:color w:val="auto"/>
                <w:sz w:val="16"/>
                <w:szCs w:val="16"/>
                <w:lang w:val="en-GB"/>
              </w:rPr>
              <w:t>22</w:t>
            </w:r>
            <w:r>
              <w:rPr>
                <w:rFonts w:ascii="Times New Roman" w:hAnsi="Times New Roman" w:cs="Times New Roman"/>
                <w:color w:val="auto"/>
                <w:sz w:val="16"/>
                <w:szCs w:val="16"/>
                <w:lang w:val="en-GB"/>
              </w:rPr>
              <w:t>, Line 37</w:t>
            </w:r>
            <w:r w:rsidR="005A7B3A">
              <w:rPr>
                <w:rFonts w:ascii="Times New Roman" w:hAnsi="Times New Roman" w:cs="Times New Roman"/>
                <w:color w:val="auto"/>
                <w:sz w:val="16"/>
                <w:szCs w:val="16"/>
                <w:lang w:val="en-GB"/>
              </w:rPr>
              <w:t>5</w:t>
            </w:r>
          </w:p>
        </w:tc>
      </w:tr>
      <w:tr w:rsidR="00B052FE" w:rsidRPr="00E20B89" w14:paraId="16016CC7" w14:textId="77777777" w:rsidTr="00274B66">
        <w:trPr>
          <w:trHeight w:val="48"/>
        </w:trPr>
        <w:tc>
          <w:tcPr>
            <w:tcW w:w="1560" w:type="dxa"/>
            <w:vMerge/>
            <w:tcBorders>
              <w:left w:val="single" w:sz="4" w:space="0" w:color="000000"/>
              <w:bottom w:val="single" w:sz="4" w:space="0" w:color="000000"/>
              <w:right w:val="single" w:sz="4" w:space="0" w:color="000000"/>
            </w:tcBorders>
          </w:tcPr>
          <w:p w14:paraId="2763977D"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32B75893"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20d</w:t>
            </w:r>
          </w:p>
        </w:tc>
        <w:tc>
          <w:tcPr>
            <w:tcW w:w="11057" w:type="dxa"/>
            <w:tcBorders>
              <w:top w:val="single" w:sz="4" w:space="0" w:color="000000"/>
              <w:left w:val="single" w:sz="4" w:space="0" w:color="000000"/>
              <w:bottom w:val="single" w:sz="4" w:space="0" w:color="000000"/>
              <w:right w:val="single" w:sz="4" w:space="0" w:color="000000"/>
            </w:tcBorders>
          </w:tcPr>
          <w:p w14:paraId="3ECDC1CA"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Present results of all sensitivity analyses conducted to assess the robustness of the synthesized results.</w:t>
            </w:r>
          </w:p>
        </w:tc>
        <w:tc>
          <w:tcPr>
            <w:tcW w:w="1843" w:type="dxa"/>
            <w:tcBorders>
              <w:top w:val="single" w:sz="4" w:space="0" w:color="000000"/>
              <w:left w:val="single" w:sz="4" w:space="0" w:color="000000"/>
              <w:bottom w:val="single" w:sz="4" w:space="0" w:color="000000"/>
              <w:right w:val="single" w:sz="4" w:space="0" w:color="000000"/>
            </w:tcBorders>
          </w:tcPr>
          <w:p w14:paraId="769039AC" w14:textId="66A7CDB1" w:rsidR="00B052FE" w:rsidRPr="00E20B89" w:rsidRDefault="00CB73A9">
            <w:pPr>
              <w:pStyle w:val="Default"/>
              <w:spacing w:before="40" w:after="40"/>
              <w:jc w:val="both"/>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5A7B3A">
              <w:rPr>
                <w:rFonts w:ascii="Times New Roman" w:hAnsi="Times New Roman" w:cs="Times New Roman"/>
                <w:color w:val="auto"/>
                <w:sz w:val="16"/>
                <w:szCs w:val="16"/>
                <w:lang w:val="en-GB"/>
              </w:rPr>
              <w:t>21</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3</w:t>
            </w:r>
            <w:r w:rsidR="005A7B3A">
              <w:rPr>
                <w:rFonts w:ascii="Times New Roman" w:hAnsi="Times New Roman" w:cs="Times New Roman"/>
                <w:color w:val="auto"/>
                <w:sz w:val="16"/>
                <w:szCs w:val="16"/>
                <w:lang w:val="en-GB"/>
              </w:rPr>
              <w:t>6</w:t>
            </w:r>
            <w:r w:rsidR="00266A13">
              <w:rPr>
                <w:rFonts w:ascii="Times New Roman" w:hAnsi="Times New Roman" w:cs="Times New Roman"/>
                <w:color w:val="auto"/>
                <w:sz w:val="16"/>
                <w:szCs w:val="16"/>
                <w:lang w:val="en-GB"/>
              </w:rPr>
              <w:t>7</w:t>
            </w:r>
          </w:p>
        </w:tc>
      </w:tr>
      <w:tr w:rsidR="00B052FE" w:rsidRPr="00E20B89" w14:paraId="4DB2B48F"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4FB6DA58"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Reporting biases</w:t>
            </w:r>
          </w:p>
        </w:tc>
        <w:tc>
          <w:tcPr>
            <w:tcW w:w="567" w:type="dxa"/>
            <w:tcBorders>
              <w:top w:val="single" w:sz="4" w:space="0" w:color="000000"/>
              <w:left w:val="single" w:sz="4" w:space="0" w:color="000000"/>
              <w:bottom w:val="single" w:sz="4" w:space="0" w:color="000000"/>
              <w:right w:val="single" w:sz="4" w:space="0" w:color="000000"/>
            </w:tcBorders>
          </w:tcPr>
          <w:p w14:paraId="34E349D2"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21</w:t>
            </w:r>
          </w:p>
        </w:tc>
        <w:tc>
          <w:tcPr>
            <w:tcW w:w="11057" w:type="dxa"/>
            <w:tcBorders>
              <w:top w:val="single" w:sz="4" w:space="0" w:color="000000"/>
              <w:left w:val="single" w:sz="4" w:space="0" w:color="000000"/>
              <w:bottom w:val="single" w:sz="4" w:space="0" w:color="000000"/>
              <w:right w:val="single" w:sz="4" w:space="0" w:color="000000"/>
            </w:tcBorders>
          </w:tcPr>
          <w:p w14:paraId="0E93CDB1"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Present assessments of risk of bias due to missing results (arising from reporting biases) for each synthesis assessed.</w:t>
            </w:r>
          </w:p>
        </w:tc>
        <w:tc>
          <w:tcPr>
            <w:tcW w:w="1843" w:type="dxa"/>
            <w:tcBorders>
              <w:top w:val="single" w:sz="4" w:space="0" w:color="000000"/>
              <w:left w:val="single" w:sz="4" w:space="0" w:color="000000"/>
              <w:bottom w:val="single" w:sz="4" w:space="0" w:color="000000"/>
              <w:right w:val="single" w:sz="4" w:space="0" w:color="000000"/>
            </w:tcBorders>
          </w:tcPr>
          <w:p w14:paraId="5746AEF4" w14:textId="77777777"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NA</w:t>
            </w:r>
          </w:p>
        </w:tc>
      </w:tr>
      <w:tr w:rsidR="00B052FE" w:rsidRPr="00E20B89" w14:paraId="133CE5CE"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5BC5BDB2"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Certainty of evidence </w:t>
            </w:r>
          </w:p>
        </w:tc>
        <w:tc>
          <w:tcPr>
            <w:tcW w:w="567" w:type="dxa"/>
            <w:tcBorders>
              <w:top w:val="single" w:sz="4" w:space="0" w:color="000000"/>
              <w:left w:val="single" w:sz="4" w:space="0" w:color="000000"/>
              <w:bottom w:val="single" w:sz="4" w:space="0" w:color="000000"/>
              <w:right w:val="single" w:sz="4" w:space="0" w:color="000000"/>
            </w:tcBorders>
          </w:tcPr>
          <w:p w14:paraId="4C0B3725"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22</w:t>
            </w:r>
          </w:p>
        </w:tc>
        <w:tc>
          <w:tcPr>
            <w:tcW w:w="11057" w:type="dxa"/>
            <w:tcBorders>
              <w:top w:val="single" w:sz="4" w:space="0" w:color="000000"/>
              <w:left w:val="single" w:sz="4" w:space="0" w:color="000000"/>
              <w:bottom w:val="single" w:sz="4" w:space="0" w:color="000000"/>
              <w:right w:val="single" w:sz="4" w:space="0" w:color="000000"/>
            </w:tcBorders>
          </w:tcPr>
          <w:p w14:paraId="654F6C58"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Present assessments of certainty (or confidence) in the body of evidence for each outcome assessed.</w:t>
            </w:r>
          </w:p>
        </w:tc>
        <w:tc>
          <w:tcPr>
            <w:tcW w:w="1843" w:type="dxa"/>
            <w:tcBorders>
              <w:top w:val="single" w:sz="4" w:space="0" w:color="000000"/>
              <w:left w:val="single" w:sz="4" w:space="0" w:color="000000"/>
              <w:bottom w:val="single" w:sz="4" w:space="0" w:color="000000"/>
              <w:right w:val="single" w:sz="4" w:space="0" w:color="000000"/>
            </w:tcBorders>
          </w:tcPr>
          <w:p w14:paraId="32FC4702" w14:textId="4E8AFFBA"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12</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72</w:t>
            </w:r>
          </w:p>
        </w:tc>
      </w:tr>
      <w:tr w:rsidR="00B052FE" w:rsidRPr="00E20B89" w14:paraId="33CD0B99" w14:textId="77777777" w:rsidTr="00274B66">
        <w:trPr>
          <w:trHeight w:val="24"/>
        </w:trPr>
        <w:tc>
          <w:tcPr>
            <w:tcW w:w="1318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2248CDA7" w14:textId="77777777" w:rsidR="00B052FE" w:rsidRPr="00E20B89" w:rsidRDefault="00CB73A9">
            <w:pPr>
              <w:pStyle w:val="Default"/>
              <w:rPr>
                <w:rFonts w:ascii="Times New Roman" w:hAnsi="Times New Roman" w:cs="Times New Roman"/>
                <w:sz w:val="16"/>
                <w:szCs w:val="16"/>
                <w:lang w:val="en-GB"/>
              </w:rPr>
            </w:pPr>
            <w:r w:rsidRPr="00E20B89">
              <w:rPr>
                <w:rFonts w:ascii="Times New Roman" w:hAnsi="Times New Roman" w:cs="Times New Roman"/>
                <w:b/>
                <w:bCs/>
                <w:sz w:val="16"/>
                <w:szCs w:val="16"/>
                <w:lang w:val="en-GB"/>
              </w:rPr>
              <w:t xml:space="preserve">DISCUSSION </w:t>
            </w:r>
          </w:p>
        </w:tc>
        <w:tc>
          <w:tcPr>
            <w:tcW w:w="1843" w:type="dxa"/>
            <w:tcBorders>
              <w:top w:val="double" w:sz="4" w:space="0" w:color="000000"/>
              <w:left w:val="single" w:sz="4" w:space="0" w:color="000000"/>
              <w:bottom w:val="single" w:sz="4" w:space="0" w:color="000000"/>
              <w:right w:val="single" w:sz="4" w:space="0" w:color="000000"/>
            </w:tcBorders>
            <w:shd w:val="clear" w:color="auto" w:fill="FFFFCC"/>
          </w:tcPr>
          <w:p w14:paraId="5E0653E3" w14:textId="77777777" w:rsidR="00B052FE" w:rsidRPr="00E20B89" w:rsidRDefault="00B052FE">
            <w:pPr>
              <w:pStyle w:val="Default"/>
              <w:jc w:val="center"/>
              <w:rPr>
                <w:rFonts w:ascii="Times New Roman" w:hAnsi="Times New Roman" w:cs="Times New Roman"/>
                <w:color w:val="auto"/>
                <w:sz w:val="16"/>
                <w:szCs w:val="16"/>
                <w:lang w:val="en-GB"/>
              </w:rPr>
            </w:pPr>
          </w:p>
        </w:tc>
      </w:tr>
      <w:tr w:rsidR="00B052FE" w:rsidRPr="00E20B89" w14:paraId="0CA11A5C" w14:textId="77777777" w:rsidTr="00274B66">
        <w:trPr>
          <w:trHeight w:val="48"/>
        </w:trPr>
        <w:tc>
          <w:tcPr>
            <w:tcW w:w="1560" w:type="dxa"/>
            <w:vMerge w:val="restart"/>
            <w:tcBorders>
              <w:top w:val="single" w:sz="4" w:space="0" w:color="000000"/>
              <w:left w:val="single" w:sz="4" w:space="0" w:color="000000"/>
              <w:right w:val="single" w:sz="4" w:space="0" w:color="000000"/>
            </w:tcBorders>
          </w:tcPr>
          <w:p w14:paraId="5C42C825"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 xml:space="preserve">Discussion </w:t>
            </w:r>
          </w:p>
        </w:tc>
        <w:tc>
          <w:tcPr>
            <w:tcW w:w="567" w:type="dxa"/>
            <w:tcBorders>
              <w:top w:val="single" w:sz="4" w:space="0" w:color="000000"/>
              <w:left w:val="single" w:sz="4" w:space="0" w:color="000000"/>
              <w:bottom w:val="single" w:sz="4" w:space="0" w:color="000000"/>
              <w:right w:val="single" w:sz="4" w:space="0" w:color="000000"/>
            </w:tcBorders>
          </w:tcPr>
          <w:p w14:paraId="09050BEF"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23a</w:t>
            </w:r>
          </w:p>
        </w:tc>
        <w:tc>
          <w:tcPr>
            <w:tcW w:w="11057" w:type="dxa"/>
            <w:tcBorders>
              <w:top w:val="single" w:sz="4" w:space="0" w:color="000000"/>
              <w:left w:val="single" w:sz="4" w:space="0" w:color="000000"/>
              <w:bottom w:val="single" w:sz="4" w:space="0" w:color="000000"/>
              <w:right w:val="single" w:sz="4" w:space="0" w:color="000000"/>
            </w:tcBorders>
          </w:tcPr>
          <w:p w14:paraId="21A79728"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Provide a general interpretation of the results in the context of other evidence.</w:t>
            </w:r>
          </w:p>
        </w:tc>
        <w:tc>
          <w:tcPr>
            <w:tcW w:w="1843" w:type="dxa"/>
            <w:tcBorders>
              <w:top w:val="single" w:sz="4" w:space="0" w:color="000000"/>
              <w:left w:val="single" w:sz="4" w:space="0" w:color="000000"/>
              <w:bottom w:val="single" w:sz="4" w:space="0" w:color="000000"/>
              <w:right w:val="single" w:sz="4" w:space="0" w:color="000000"/>
            </w:tcBorders>
          </w:tcPr>
          <w:p w14:paraId="355EB060" w14:textId="10ABA3D6"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4</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4</w:t>
            </w:r>
            <w:r w:rsidR="005A7B3A">
              <w:rPr>
                <w:rFonts w:ascii="Times New Roman" w:hAnsi="Times New Roman" w:cs="Times New Roman"/>
                <w:color w:val="auto"/>
                <w:sz w:val="16"/>
                <w:szCs w:val="16"/>
                <w:lang w:val="en-GB"/>
              </w:rPr>
              <w:t>27</w:t>
            </w:r>
          </w:p>
        </w:tc>
      </w:tr>
      <w:tr w:rsidR="00B052FE" w:rsidRPr="00E20B89" w14:paraId="7CECB657" w14:textId="77777777" w:rsidTr="00274B66">
        <w:trPr>
          <w:trHeight w:val="48"/>
        </w:trPr>
        <w:tc>
          <w:tcPr>
            <w:tcW w:w="1560" w:type="dxa"/>
            <w:vMerge/>
            <w:tcBorders>
              <w:left w:val="single" w:sz="4" w:space="0" w:color="000000"/>
              <w:right w:val="single" w:sz="4" w:space="0" w:color="000000"/>
            </w:tcBorders>
          </w:tcPr>
          <w:p w14:paraId="1B7CF9D7"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24896C59"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23b</w:t>
            </w:r>
          </w:p>
        </w:tc>
        <w:tc>
          <w:tcPr>
            <w:tcW w:w="11057" w:type="dxa"/>
            <w:tcBorders>
              <w:top w:val="single" w:sz="4" w:space="0" w:color="000000"/>
              <w:left w:val="single" w:sz="4" w:space="0" w:color="000000"/>
              <w:bottom w:val="single" w:sz="4" w:space="0" w:color="000000"/>
              <w:right w:val="single" w:sz="4" w:space="0" w:color="000000"/>
            </w:tcBorders>
          </w:tcPr>
          <w:p w14:paraId="470E517F"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Discuss any limitations of the evidence included in the review.</w:t>
            </w:r>
          </w:p>
        </w:tc>
        <w:tc>
          <w:tcPr>
            <w:tcW w:w="1843" w:type="dxa"/>
            <w:tcBorders>
              <w:top w:val="single" w:sz="4" w:space="0" w:color="000000"/>
              <w:left w:val="single" w:sz="4" w:space="0" w:color="000000"/>
              <w:bottom w:val="single" w:sz="4" w:space="0" w:color="000000"/>
              <w:right w:val="single" w:sz="4" w:space="0" w:color="000000"/>
            </w:tcBorders>
          </w:tcPr>
          <w:p w14:paraId="0B5953B3" w14:textId="091E5420"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7</w:t>
            </w:r>
            <w:r w:rsidRPr="00E20B89">
              <w:rPr>
                <w:rFonts w:ascii="Times New Roman" w:hAnsi="Times New Roman" w:cs="Times New Roman"/>
                <w:color w:val="auto"/>
                <w:sz w:val="16"/>
                <w:szCs w:val="16"/>
                <w:lang w:val="en-GB"/>
              </w:rPr>
              <w:t xml:space="preserve">, Line </w:t>
            </w:r>
            <w:r w:rsidR="005A7B3A">
              <w:rPr>
                <w:rFonts w:ascii="Times New Roman" w:hAnsi="Times New Roman" w:cs="Times New Roman"/>
                <w:color w:val="auto"/>
                <w:sz w:val="16"/>
                <w:szCs w:val="16"/>
                <w:lang w:val="en-GB"/>
              </w:rPr>
              <w:t>490</w:t>
            </w:r>
          </w:p>
        </w:tc>
      </w:tr>
      <w:tr w:rsidR="00B052FE" w:rsidRPr="00E20B89" w14:paraId="61B9E821" w14:textId="77777777" w:rsidTr="00274B66">
        <w:trPr>
          <w:trHeight w:val="48"/>
        </w:trPr>
        <w:tc>
          <w:tcPr>
            <w:tcW w:w="1560" w:type="dxa"/>
            <w:vMerge/>
            <w:tcBorders>
              <w:left w:val="single" w:sz="4" w:space="0" w:color="000000"/>
              <w:right w:val="single" w:sz="4" w:space="0" w:color="000000"/>
            </w:tcBorders>
          </w:tcPr>
          <w:p w14:paraId="201C3047"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auto"/>
              <w:right w:val="single" w:sz="4" w:space="0" w:color="000000"/>
            </w:tcBorders>
          </w:tcPr>
          <w:p w14:paraId="7474D341"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23c</w:t>
            </w:r>
          </w:p>
        </w:tc>
        <w:tc>
          <w:tcPr>
            <w:tcW w:w="11057" w:type="dxa"/>
            <w:tcBorders>
              <w:top w:val="single" w:sz="4" w:space="0" w:color="000000"/>
              <w:left w:val="single" w:sz="4" w:space="0" w:color="000000"/>
              <w:bottom w:val="single" w:sz="4" w:space="0" w:color="000000"/>
              <w:right w:val="single" w:sz="4" w:space="0" w:color="000000"/>
            </w:tcBorders>
          </w:tcPr>
          <w:p w14:paraId="40D95F0C"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Discuss any limitations of the review processes used.</w:t>
            </w:r>
          </w:p>
        </w:tc>
        <w:tc>
          <w:tcPr>
            <w:tcW w:w="1843" w:type="dxa"/>
            <w:tcBorders>
              <w:top w:val="single" w:sz="4" w:space="0" w:color="000000"/>
              <w:left w:val="single" w:sz="4" w:space="0" w:color="000000"/>
              <w:bottom w:val="single" w:sz="4" w:space="0" w:color="000000"/>
              <w:right w:val="single" w:sz="4" w:space="0" w:color="000000"/>
            </w:tcBorders>
          </w:tcPr>
          <w:p w14:paraId="6E2021B4" w14:textId="7ADEF8C1"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7</w:t>
            </w:r>
            <w:r w:rsidRPr="00E20B89">
              <w:rPr>
                <w:rFonts w:ascii="Times New Roman" w:hAnsi="Times New Roman" w:cs="Times New Roman"/>
                <w:color w:val="auto"/>
                <w:sz w:val="16"/>
                <w:szCs w:val="16"/>
                <w:lang w:val="en-GB"/>
              </w:rPr>
              <w:t xml:space="preserve">, Line </w:t>
            </w:r>
            <w:r w:rsidR="005A7B3A">
              <w:rPr>
                <w:rFonts w:ascii="Times New Roman" w:hAnsi="Times New Roman" w:cs="Times New Roman"/>
                <w:color w:val="auto"/>
                <w:sz w:val="16"/>
                <w:szCs w:val="16"/>
                <w:lang w:val="en-GB"/>
              </w:rPr>
              <w:t>501</w:t>
            </w:r>
          </w:p>
        </w:tc>
      </w:tr>
      <w:tr w:rsidR="00B052FE" w:rsidRPr="00E20B89" w14:paraId="13161D85" w14:textId="77777777" w:rsidTr="00274B66">
        <w:trPr>
          <w:trHeight w:val="48"/>
        </w:trPr>
        <w:tc>
          <w:tcPr>
            <w:tcW w:w="1560" w:type="dxa"/>
            <w:vMerge/>
            <w:tcBorders>
              <w:left w:val="single" w:sz="4" w:space="0" w:color="000000"/>
              <w:bottom w:val="single" w:sz="4" w:space="0" w:color="auto"/>
              <w:right w:val="single" w:sz="4" w:space="0" w:color="000000"/>
            </w:tcBorders>
          </w:tcPr>
          <w:p w14:paraId="340B3000"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auto"/>
              <w:left w:val="single" w:sz="4" w:space="0" w:color="000000"/>
              <w:bottom w:val="single" w:sz="4" w:space="0" w:color="auto"/>
              <w:right w:val="single" w:sz="4" w:space="0" w:color="auto"/>
            </w:tcBorders>
          </w:tcPr>
          <w:p w14:paraId="2C3D4D10"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23d</w:t>
            </w:r>
          </w:p>
        </w:tc>
        <w:tc>
          <w:tcPr>
            <w:tcW w:w="11057" w:type="dxa"/>
            <w:tcBorders>
              <w:top w:val="single" w:sz="4" w:space="0" w:color="000000"/>
              <w:left w:val="single" w:sz="4" w:space="0" w:color="auto"/>
              <w:bottom w:val="double" w:sz="4" w:space="0" w:color="000000"/>
              <w:right w:val="single" w:sz="4" w:space="0" w:color="000000"/>
            </w:tcBorders>
          </w:tcPr>
          <w:p w14:paraId="46C22937"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Discuss implications of the results for practice, policy, and future research.</w:t>
            </w:r>
          </w:p>
        </w:tc>
        <w:tc>
          <w:tcPr>
            <w:tcW w:w="1843" w:type="dxa"/>
            <w:tcBorders>
              <w:top w:val="single" w:sz="4" w:space="0" w:color="000000"/>
              <w:left w:val="single" w:sz="4" w:space="0" w:color="000000"/>
              <w:bottom w:val="double" w:sz="4" w:space="0" w:color="000000"/>
              <w:right w:val="single" w:sz="4" w:space="0" w:color="000000"/>
            </w:tcBorders>
          </w:tcPr>
          <w:p w14:paraId="21B40AFC" w14:textId="4F90143D"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8</w:t>
            </w:r>
            <w:r w:rsidRPr="00E20B89">
              <w:rPr>
                <w:rFonts w:ascii="Times New Roman" w:hAnsi="Times New Roman" w:cs="Times New Roman"/>
                <w:color w:val="auto"/>
                <w:sz w:val="16"/>
                <w:szCs w:val="16"/>
                <w:lang w:val="en-GB"/>
              </w:rPr>
              <w:t xml:space="preserve">, Line </w:t>
            </w:r>
            <w:r w:rsidR="005A7B3A">
              <w:rPr>
                <w:rFonts w:ascii="Times New Roman" w:hAnsi="Times New Roman" w:cs="Times New Roman"/>
                <w:color w:val="auto"/>
                <w:sz w:val="16"/>
                <w:szCs w:val="16"/>
                <w:lang w:val="en-GB"/>
              </w:rPr>
              <w:t>527</w:t>
            </w:r>
          </w:p>
        </w:tc>
      </w:tr>
      <w:tr w:rsidR="00B052FE" w:rsidRPr="00E20B89" w14:paraId="26FD34E3" w14:textId="77777777" w:rsidTr="00274B66">
        <w:trPr>
          <w:trHeight w:val="24"/>
        </w:trPr>
        <w:tc>
          <w:tcPr>
            <w:tcW w:w="13184"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2774517" w14:textId="77777777" w:rsidR="00B052FE" w:rsidRPr="00E20B89" w:rsidRDefault="00CB73A9">
            <w:pPr>
              <w:pStyle w:val="Default"/>
              <w:rPr>
                <w:rFonts w:ascii="Times New Roman" w:hAnsi="Times New Roman" w:cs="Times New Roman"/>
                <w:sz w:val="16"/>
                <w:szCs w:val="16"/>
                <w:lang w:val="en-GB"/>
              </w:rPr>
            </w:pPr>
            <w:r w:rsidRPr="00E20B89">
              <w:rPr>
                <w:rFonts w:ascii="Times New Roman" w:hAnsi="Times New Roman" w:cs="Times New Roman"/>
                <w:b/>
                <w:bCs/>
                <w:sz w:val="16"/>
                <w:szCs w:val="16"/>
                <w:lang w:val="en-GB"/>
              </w:rPr>
              <w:t>OTHER INFORMATION</w:t>
            </w:r>
          </w:p>
        </w:tc>
        <w:tc>
          <w:tcPr>
            <w:tcW w:w="1843" w:type="dxa"/>
            <w:tcBorders>
              <w:top w:val="double" w:sz="4" w:space="0" w:color="000000"/>
              <w:left w:val="single" w:sz="4" w:space="0" w:color="000000"/>
              <w:bottom w:val="single" w:sz="4" w:space="0" w:color="000000"/>
              <w:right w:val="single" w:sz="4" w:space="0" w:color="000000"/>
            </w:tcBorders>
            <w:shd w:val="clear" w:color="auto" w:fill="FFFFCC"/>
          </w:tcPr>
          <w:p w14:paraId="44A27206" w14:textId="77777777" w:rsidR="00B052FE" w:rsidRPr="00E20B89" w:rsidRDefault="00B052FE">
            <w:pPr>
              <w:pStyle w:val="Default"/>
              <w:jc w:val="center"/>
              <w:rPr>
                <w:rFonts w:ascii="Times New Roman" w:hAnsi="Times New Roman" w:cs="Times New Roman"/>
                <w:color w:val="auto"/>
                <w:sz w:val="16"/>
                <w:szCs w:val="16"/>
                <w:lang w:val="en-GB"/>
              </w:rPr>
            </w:pPr>
          </w:p>
        </w:tc>
      </w:tr>
      <w:tr w:rsidR="00B052FE" w:rsidRPr="00E20B89" w14:paraId="36E96D11" w14:textId="77777777" w:rsidTr="00274B66">
        <w:trPr>
          <w:trHeight w:val="48"/>
        </w:trPr>
        <w:tc>
          <w:tcPr>
            <w:tcW w:w="1560" w:type="dxa"/>
            <w:vMerge w:val="restart"/>
            <w:tcBorders>
              <w:top w:val="single" w:sz="4" w:space="0" w:color="000000"/>
              <w:left w:val="single" w:sz="4" w:space="0" w:color="000000"/>
              <w:right w:val="single" w:sz="4" w:space="0" w:color="000000"/>
            </w:tcBorders>
          </w:tcPr>
          <w:p w14:paraId="5AE2A0BC"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Registration and protocol</w:t>
            </w:r>
          </w:p>
        </w:tc>
        <w:tc>
          <w:tcPr>
            <w:tcW w:w="567" w:type="dxa"/>
            <w:tcBorders>
              <w:top w:val="single" w:sz="4" w:space="0" w:color="000000"/>
              <w:left w:val="single" w:sz="4" w:space="0" w:color="000000"/>
              <w:bottom w:val="single" w:sz="4" w:space="0" w:color="000000"/>
              <w:right w:val="single" w:sz="4" w:space="0" w:color="000000"/>
            </w:tcBorders>
          </w:tcPr>
          <w:p w14:paraId="433D35F2"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24a</w:t>
            </w:r>
          </w:p>
        </w:tc>
        <w:tc>
          <w:tcPr>
            <w:tcW w:w="11057" w:type="dxa"/>
            <w:tcBorders>
              <w:top w:val="single" w:sz="4" w:space="0" w:color="000000"/>
              <w:left w:val="single" w:sz="4" w:space="0" w:color="000000"/>
              <w:bottom w:val="single" w:sz="4" w:space="0" w:color="000000"/>
              <w:right w:val="single" w:sz="4" w:space="0" w:color="000000"/>
            </w:tcBorders>
          </w:tcPr>
          <w:p w14:paraId="1E4B631A"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Provide registration information for the review, including register name and registration number, or state that the review was not registered.</w:t>
            </w:r>
          </w:p>
        </w:tc>
        <w:tc>
          <w:tcPr>
            <w:tcW w:w="1843" w:type="dxa"/>
            <w:tcBorders>
              <w:top w:val="single" w:sz="4" w:space="0" w:color="000000"/>
              <w:left w:val="single" w:sz="4" w:space="0" w:color="000000"/>
              <w:bottom w:val="single" w:sz="4" w:space="0" w:color="000000"/>
              <w:right w:val="single" w:sz="4" w:space="0" w:color="000000"/>
            </w:tcBorders>
          </w:tcPr>
          <w:p w14:paraId="4D259C49" w14:textId="65655481"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7</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15</w:t>
            </w:r>
            <w:r w:rsidR="005A7B3A">
              <w:rPr>
                <w:rFonts w:ascii="Times New Roman" w:hAnsi="Times New Roman" w:cs="Times New Roman"/>
                <w:color w:val="auto"/>
                <w:sz w:val="16"/>
                <w:szCs w:val="16"/>
                <w:lang w:val="en-GB"/>
              </w:rPr>
              <w:t>5</w:t>
            </w:r>
          </w:p>
        </w:tc>
      </w:tr>
      <w:tr w:rsidR="00B052FE" w:rsidRPr="00E20B89" w14:paraId="6369BD6F" w14:textId="77777777" w:rsidTr="00274B66">
        <w:trPr>
          <w:trHeight w:val="57"/>
        </w:trPr>
        <w:tc>
          <w:tcPr>
            <w:tcW w:w="1560" w:type="dxa"/>
            <w:vMerge/>
            <w:tcBorders>
              <w:left w:val="single" w:sz="4" w:space="0" w:color="000000"/>
              <w:right w:val="single" w:sz="4" w:space="0" w:color="000000"/>
            </w:tcBorders>
          </w:tcPr>
          <w:p w14:paraId="340A0922"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000D1CAC"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24b</w:t>
            </w:r>
          </w:p>
        </w:tc>
        <w:tc>
          <w:tcPr>
            <w:tcW w:w="11057" w:type="dxa"/>
            <w:tcBorders>
              <w:top w:val="single" w:sz="4" w:space="0" w:color="000000"/>
              <w:left w:val="single" w:sz="4" w:space="0" w:color="000000"/>
              <w:bottom w:val="single" w:sz="4" w:space="0" w:color="000000"/>
              <w:right w:val="single" w:sz="4" w:space="0" w:color="000000"/>
            </w:tcBorders>
          </w:tcPr>
          <w:p w14:paraId="12119242"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Indicate where the review protocol can be accessed, or state that a protocol was not prepared.</w:t>
            </w:r>
          </w:p>
        </w:tc>
        <w:tc>
          <w:tcPr>
            <w:tcW w:w="1843" w:type="dxa"/>
            <w:tcBorders>
              <w:top w:val="single" w:sz="4" w:space="0" w:color="000000"/>
              <w:left w:val="single" w:sz="4" w:space="0" w:color="000000"/>
              <w:bottom w:val="single" w:sz="4" w:space="0" w:color="000000"/>
              <w:right w:val="single" w:sz="4" w:space="0" w:color="000000"/>
            </w:tcBorders>
          </w:tcPr>
          <w:p w14:paraId="4724A20E" w14:textId="7B67CBBA"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7</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15</w:t>
            </w:r>
            <w:r w:rsidR="005A7B3A">
              <w:rPr>
                <w:rFonts w:ascii="Times New Roman" w:hAnsi="Times New Roman" w:cs="Times New Roman"/>
                <w:color w:val="auto"/>
                <w:sz w:val="16"/>
                <w:szCs w:val="16"/>
                <w:lang w:val="en-GB"/>
              </w:rPr>
              <w:t>5</w:t>
            </w:r>
          </w:p>
        </w:tc>
      </w:tr>
      <w:tr w:rsidR="00B052FE" w:rsidRPr="00E20B89" w14:paraId="14A3F9AB" w14:textId="77777777" w:rsidTr="00274B66">
        <w:trPr>
          <w:trHeight w:val="48"/>
        </w:trPr>
        <w:tc>
          <w:tcPr>
            <w:tcW w:w="1560" w:type="dxa"/>
            <w:vMerge/>
            <w:tcBorders>
              <w:left w:val="single" w:sz="4" w:space="0" w:color="000000"/>
              <w:bottom w:val="single" w:sz="4" w:space="0" w:color="000000"/>
              <w:right w:val="single" w:sz="4" w:space="0" w:color="000000"/>
            </w:tcBorders>
          </w:tcPr>
          <w:p w14:paraId="6A95247D" w14:textId="77777777" w:rsidR="00B052FE" w:rsidRPr="00E20B89" w:rsidRDefault="00B052FE">
            <w:pPr>
              <w:pStyle w:val="Default"/>
              <w:spacing w:before="40" w:after="40"/>
              <w:rPr>
                <w:rFonts w:ascii="Times New Roman" w:hAnsi="Times New Roman" w:cs="Times New Roman"/>
                <w:sz w:val="16"/>
                <w:szCs w:val="16"/>
                <w:lang w:val="en-GB"/>
              </w:rPr>
            </w:pPr>
          </w:p>
        </w:tc>
        <w:tc>
          <w:tcPr>
            <w:tcW w:w="567" w:type="dxa"/>
            <w:tcBorders>
              <w:top w:val="single" w:sz="4" w:space="0" w:color="000000"/>
              <w:left w:val="single" w:sz="4" w:space="0" w:color="000000"/>
              <w:bottom w:val="single" w:sz="4" w:space="0" w:color="000000"/>
              <w:right w:val="single" w:sz="4" w:space="0" w:color="000000"/>
            </w:tcBorders>
          </w:tcPr>
          <w:p w14:paraId="76A5AF17"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24c</w:t>
            </w:r>
          </w:p>
        </w:tc>
        <w:tc>
          <w:tcPr>
            <w:tcW w:w="11057" w:type="dxa"/>
            <w:tcBorders>
              <w:top w:val="single" w:sz="4" w:space="0" w:color="000000"/>
              <w:left w:val="single" w:sz="4" w:space="0" w:color="000000"/>
              <w:bottom w:val="single" w:sz="4" w:space="0" w:color="000000"/>
              <w:right w:val="single" w:sz="4" w:space="0" w:color="000000"/>
            </w:tcBorders>
          </w:tcPr>
          <w:p w14:paraId="4D3B03D5"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and explain any amendments to information provided at registration or in the protocol.</w:t>
            </w:r>
          </w:p>
        </w:tc>
        <w:tc>
          <w:tcPr>
            <w:tcW w:w="1843" w:type="dxa"/>
            <w:tcBorders>
              <w:top w:val="single" w:sz="4" w:space="0" w:color="000000"/>
              <w:left w:val="single" w:sz="4" w:space="0" w:color="000000"/>
              <w:bottom w:val="single" w:sz="4" w:space="0" w:color="000000"/>
              <w:right w:val="single" w:sz="4" w:space="0" w:color="000000"/>
            </w:tcBorders>
          </w:tcPr>
          <w:p w14:paraId="6C0EF398" w14:textId="77777777"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NA</w:t>
            </w:r>
          </w:p>
        </w:tc>
      </w:tr>
      <w:tr w:rsidR="00B052FE" w:rsidRPr="00E20B89" w14:paraId="4064BC6D"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71ADDAE0"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Support</w:t>
            </w:r>
          </w:p>
        </w:tc>
        <w:tc>
          <w:tcPr>
            <w:tcW w:w="567" w:type="dxa"/>
            <w:tcBorders>
              <w:top w:val="single" w:sz="4" w:space="0" w:color="000000"/>
              <w:left w:val="single" w:sz="4" w:space="0" w:color="000000"/>
              <w:bottom w:val="single" w:sz="4" w:space="0" w:color="000000"/>
              <w:right w:val="single" w:sz="4" w:space="0" w:color="000000"/>
            </w:tcBorders>
          </w:tcPr>
          <w:p w14:paraId="35B2C7B3"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25</w:t>
            </w:r>
          </w:p>
        </w:tc>
        <w:tc>
          <w:tcPr>
            <w:tcW w:w="11057" w:type="dxa"/>
            <w:tcBorders>
              <w:top w:val="single" w:sz="4" w:space="0" w:color="000000"/>
              <w:left w:val="single" w:sz="4" w:space="0" w:color="000000"/>
              <w:bottom w:val="single" w:sz="4" w:space="0" w:color="000000"/>
              <w:right w:val="single" w:sz="4" w:space="0" w:color="000000"/>
            </w:tcBorders>
          </w:tcPr>
          <w:p w14:paraId="26A3EF7A"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Describe sources of financial or non-financial support for the review, and the role of the funders or sponsors in the review.</w:t>
            </w:r>
          </w:p>
        </w:tc>
        <w:tc>
          <w:tcPr>
            <w:tcW w:w="1843" w:type="dxa"/>
            <w:tcBorders>
              <w:top w:val="single" w:sz="4" w:space="0" w:color="000000"/>
              <w:left w:val="single" w:sz="4" w:space="0" w:color="000000"/>
              <w:bottom w:val="single" w:sz="4" w:space="0" w:color="000000"/>
              <w:right w:val="single" w:sz="4" w:space="0" w:color="000000"/>
            </w:tcBorders>
          </w:tcPr>
          <w:p w14:paraId="7A26DFCD" w14:textId="0158E7B0"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9</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5</w:t>
            </w:r>
            <w:r w:rsidR="005A7B3A">
              <w:rPr>
                <w:rFonts w:ascii="Times New Roman" w:hAnsi="Times New Roman" w:cs="Times New Roman"/>
                <w:color w:val="auto"/>
                <w:sz w:val="16"/>
                <w:szCs w:val="16"/>
                <w:lang w:val="en-GB"/>
              </w:rPr>
              <w:t>4</w:t>
            </w:r>
            <w:r w:rsidR="00266A13">
              <w:rPr>
                <w:rFonts w:ascii="Times New Roman" w:hAnsi="Times New Roman" w:cs="Times New Roman"/>
                <w:color w:val="auto"/>
                <w:sz w:val="16"/>
                <w:szCs w:val="16"/>
                <w:lang w:val="en-GB"/>
              </w:rPr>
              <w:t>6</w:t>
            </w:r>
          </w:p>
        </w:tc>
      </w:tr>
      <w:tr w:rsidR="00B052FE" w:rsidRPr="00E20B89" w14:paraId="4BA91478" w14:textId="77777777" w:rsidTr="00274B66">
        <w:trPr>
          <w:trHeight w:val="48"/>
        </w:trPr>
        <w:tc>
          <w:tcPr>
            <w:tcW w:w="1560" w:type="dxa"/>
            <w:tcBorders>
              <w:top w:val="single" w:sz="4" w:space="0" w:color="000000"/>
              <w:left w:val="single" w:sz="4" w:space="0" w:color="000000"/>
              <w:bottom w:val="single" w:sz="4" w:space="0" w:color="000000"/>
              <w:right w:val="single" w:sz="4" w:space="0" w:color="000000"/>
            </w:tcBorders>
          </w:tcPr>
          <w:p w14:paraId="739D6C4C"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Competing interests</w:t>
            </w:r>
          </w:p>
        </w:tc>
        <w:tc>
          <w:tcPr>
            <w:tcW w:w="567" w:type="dxa"/>
            <w:tcBorders>
              <w:top w:val="single" w:sz="4" w:space="0" w:color="000000"/>
              <w:left w:val="single" w:sz="4" w:space="0" w:color="000000"/>
              <w:bottom w:val="single" w:sz="4" w:space="0" w:color="000000"/>
              <w:right w:val="single" w:sz="4" w:space="0" w:color="000000"/>
            </w:tcBorders>
          </w:tcPr>
          <w:p w14:paraId="7950A37B"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26</w:t>
            </w:r>
          </w:p>
        </w:tc>
        <w:tc>
          <w:tcPr>
            <w:tcW w:w="11057" w:type="dxa"/>
            <w:tcBorders>
              <w:top w:val="single" w:sz="4" w:space="0" w:color="000000"/>
              <w:left w:val="single" w:sz="4" w:space="0" w:color="000000"/>
              <w:bottom w:val="single" w:sz="4" w:space="0" w:color="000000"/>
              <w:right w:val="single" w:sz="4" w:space="0" w:color="000000"/>
            </w:tcBorders>
          </w:tcPr>
          <w:p w14:paraId="259C99E6"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Declare any competing interests of review authors.</w:t>
            </w:r>
          </w:p>
        </w:tc>
        <w:tc>
          <w:tcPr>
            <w:tcW w:w="1843" w:type="dxa"/>
            <w:tcBorders>
              <w:top w:val="single" w:sz="4" w:space="0" w:color="000000"/>
              <w:left w:val="single" w:sz="4" w:space="0" w:color="000000"/>
              <w:bottom w:val="single" w:sz="4" w:space="0" w:color="000000"/>
              <w:right w:val="single" w:sz="4" w:space="0" w:color="000000"/>
            </w:tcBorders>
          </w:tcPr>
          <w:p w14:paraId="03C8DBE8" w14:textId="4F3C9CE5"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9</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5</w:t>
            </w:r>
            <w:r w:rsidR="005A7B3A">
              <w:rPr>
                <w:rFonts w:ascii="Times New Roman" w:hAnsi="Times New Roman" w:cs="Times New Roman"/>
                <w:color w:val="auto"/>
                <w:sz w:val="16"/>
                <w:szCs w:val="16"/>
                <w:lang w:val="en-GB"/>
              </w:rPr>
              <w:t>5</w:t>
            </w:r>
            <w:r w:rsidR="00266A13">
              <w:rPr>
                <w:rFonts w:ascii="Times New Roman" w:hAnsi="Times New Roman" w:cs="Times New Roman"/>
                <w:color w:val="auto"/>
                <w:sz w:val="16"/>
                <w:szCs w:val="16"/>
                <w:lang w:val="en-GB"/>
              </w:rPr>
              <w:t>0</w:t>
            </w:r>
          </w:p>
        </w:tc>
      </w:tr>
      <w:tr w:rsidR="00B052FE" w:rsidRPr="00E20B89" w14:paraId="24C3827D" w14:textId="77777777" w:rsidTr="00274B66">
        <w:trPr>
          <w:trHeight w:val="219"/>
        </w:trPr>
        <w:tc>
          <w:tcPr>
            <w:tcW w:w="1560" w:type="dxa"/>
            <w:tcBorders>
              <w:top w:val="single" w:sz="4" w:space="0" w:color="000000"/>
              <w:left w:val="single" w:sz="4" w:space="0" w:color="000000"/>
              <w:bottom w:val="double" w:sz="4" w:space="0" w:color="000000"/>
              <w:right w:val="single" w:sz="4" w:space="0" w:color="000000"/>
            </w:tcBorders>
          </w:tcPr>
          <w:p w14:paraId="30831A7C"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lastRenderedPageBreak/>
              <w:t>Availability of data, code and other materials</w:t>
            </w:r>
          </w:p>
        </w:tc>
        <w:tc>
          <w:tcPr>
            <w:tcW w:w="567" w:type="dxa"/>
            <w:tcBorders>
              <w:top w:val="single" w:sz="4" w:space="0" w:color="000000"/>
              <w:left w:val="single" w:sz="4" w:space="0" w:color="000000"/>
              <w:bottom w:val="double" w:sz="4" w:space="0" w:color="000000"/>
              <w:right w:val="single" w:sz="4" w:space="0" w:color="000000"/>
            </w:tcBorders>
          </w:tcPr>
          <w:p w14:paraId="309BC730" w14:textId="77777777" w:rsidR="00B052FE" w:rsidRPr="00E20B89" w:rsidRDefault="00CB73A9">
            <w:pPr>
              <w:pStyle w:val="Default"/>
              <w:spacing w:before="40" w:after="40"/>
              <w:jc w:val="right"/>
              <w:rPr>
                <w:rFonts w:ascii="Times New Roman" w:hAnsi="Times New Roman" w:cs="Times New Roman"/>
                <w:sz w:val="16"/>
                <w:szCs w:val="16"/>
                <w:lang w:val="en-GB"/>
              </w:rPr>
            </w:pPr>
            <w:r w:rsidRPr="00E20B89">
              <w:rPr>
                <w:rFonts w:ascii="Times New Roman" w:hAnsi="Times New Roman" w:cs="Times New Roman"/>
                <w:sz w:val="16"/>
                <w:szCs w:val="16"/>
                <w:lang w:val="en-GB"/>
              </w:rPr>
              <w:t>27</w:t>
            </w:r>
          </w:p>
        </w:tc>
        <w:tc>
          <w:tcPr>
            <w:tcW w:w="11057" w:type="dxa"/>
            <w:tcBorders>
              <w:top w:val="single" w:sz="4" w:space="0" w:color="000000"/>
              <w:left w:val="single" w:sz="4" w:space="0" w:color="000000"/>
              <w:bottom w:val="double" w:sz="4" w:space="0" w:color="000000"/>
              <w:right w:val="single" w:sz="4" w:space="0" w:color="000000"/>
            </w:tcBorders>
          </w:tcPr>
          <w:p w14:paraId="6335427E" w14:textId="77777777" w:rsidR="00B052FE" w:rsidRPr="00E20B89" w:rsidRDefault="00CB73A9">
            <w:pPr>
              <w:pStyle w:val="Default"/>
              <w:spacing w:before="40" w:after="40"/>
              <w:rPr>
                <w:rFonts w:ascii="Times New Roman" w:hAnsi="Times New Roman" w:cs="Times New Roman"/>
                <w:sz w:val="16"/>
                <w:szCs w:val="16"/>
                <w:lang w:val="en-GB"/>
              </w:rPr>
            </w:pPr>
            <w:r w:rsidRPr="00E20B89">
              <w:rPr>
                <w:rFonts w:ascii="Times New Roman" w:hAnsi="Times New Roman" w:cs="Times New Roman"/>
                <w:sz w:val="16"/>
                <w:szCs w:val="16"/>
                <w:lang w:val="en-GB"/>
              </w:rPr>
              <w:t>Report which of the following are publicly available and where they can be found: template data collection forms; data extracted from included studies; data used for all analyses; analytic code; any other materials used in the review.</w:t>
            </w:r>
          </w:p>
        </w:tc>
        <w:tc>
          <w:tcPr>
            <w:tcW w:w="1843" w:type="dxa"/>
            <w:tcBorders>
              <w:top w:val="single" w:sz="4" w:space="0" w:color="000000"/>
              <w:left w:val="single" w:sz="4" w:space="0" w:color="000000"/>
              <w:bottom w:val="double" w:sz="4" w:space="0" w:color="000000"/>
              <w:right w:val="single" w:sz="4" w:space="0" w:color="000000"/>
            </w:tcBorders>
          </w:tcPr>
          <w:p w14:paraId="0D44D59C" w14:textId="58743BA0" w:rsidR="00B052FE" w:rsidRPr="00E20B89" w:rsidRDefault="00CB73A9">
            <w:pPr>
              <w:pStyle w:val="Default"/>
              <w:spacing w:before="40" w:after="40"/>
              <w:rPr>
                <w:rFonts w:ascii="Times New Roman" w:hAnsi="Times New Roman" w:cs="Times New Roman"/>
                <w:color w:val="auto"/>
                <w:sz w:val="16"/>
                <w:szCs w:val="16"/>
                <w:lang w:val="en-GB"/>
              </w:rPr>
            </w:pPr>
            <w:r w:rsidRPr="00E20B89">
              <w:rPr>
                <w:rFonts w:ascii="Times New Roman" w:hAnsi="Times New Roman" w:cs="Times New Roman"/>
                <w:color w:val="auto"/>
                <w:sz w:val="16"/>
                <w:szCs w:val="16"/>
                <w:lang w:val="en-GB"/>
              </w:rPr>
              <w:t xml:space="preserve">Pg </w:t>
            </w:r>
            <w:r w:rsidR="00266A13">
              <w:rPr>
                <w:rFonts w:ascii="Times New Roman" w:hAnsi="Times New Roman" w:cs="Times New Roman"/>
                <w:color w:val="auto"/>
                <w:sz w:val="16"/>
                <w:szCs w:val="16"/>
                <w:lang w:val="en-GB"/>
              </w:rPr>
              <w:t>2</w:t>
            </w:r>
            <w:r w:rsidR="005A7B3A">
              <w:rPr>
                <w:rFonts w:ascii="Times New Roman" w:hAnsi="Times New Roman" w:cs="Times New Roman"/>
                <w:color w:val="auto"/>
                <w:sz w:val="16"/>
                <w:szCs w:val="16"/>
                <w:lang w:val="en-GB"/>
              </w:rPr>
              <w:t>9</w:t>
            </w:r>
            <w:r w:rsidRPr="00E20B89">
              <w:rPr>
                <w:rFonts w:ascii="Times New Roman" w:hAnsi="Times New Roman" w:cs="Times New Roman"/>
                <w:color w:val="auto"/>
                <w:sz w:val="16"/>
                <w:szCs w:val="16"/>
                <w:lang w:val="en-GB"/>
              </w:rPr>
              <w:t xml:space="preserve">, Line </w:t>
            </w:r>
            <w:r w:rsidR="00266A13">
              <w:rPr>
                <w:rFonts w:ascii="Times New Roman" w:hAnsi="Times New Roman" w:cs="Times New Roman"/>
                <w:color w:val="auto"/>
                <w:sz w:val="16"/>
                <w:szCs w:val="16"/>
                <w:lang w:val="en-GB"/>
              </w:rPr>
              <w:t>5</w:t>
            </w:r>
            <w:r w:rsidR="005A7B3A">
              <w:rPr>
                <w:rFonts w:ascii="Times New Roman" w:hAnsi="Times New Roman" w:cs="Times New Roman"/>
                <w:color w:val="auto"/>
                <w:sz w:val="16"/>
                <w:szCs w:val="16"/>
                <w:lang w:val="en-GB"/>
              </w:rPr>
              <w:t>4</w:t>
            </w:r>
            <w:r w:rsidR="00266A13">
              <w:rPr>
                <w:rFonts w:ascii="Times New Roman" w:hAnsi="Times New Roman" w:cs="Times New Roman"/>
                <w:color w:val="auto"/>
                <w:sz w:val="16"/>
                <w:szCs w:val="16"/>
                <w:lang w:val="en-GB"/>
              </w:rPr>
              <w:t>9</w:t>
            </w:r>
          </w:p>
        </w:tc>
      </w:tr>
    </w:tbl>
    <w:p w14:paraId="5318363F" w14:textId="77777777" w:rsidR="00B052FE" w:rsidRPr="00E20B89" w:rsidRDefault="00B052FE">
      <w:pPr>
        <w:spacing w:line="480" w:lineRule="auto"/>
        <w:jc w:val="both"/>
        <w:rPr>
          <w:b/>
          <w:bCs/>
          <w:sz w:val="20"/>
          <w:szCs w:val="20"/>
        </w:rPr>
        <w:sectPr w:rsidR="00B052FE" w:rsidRPr="00E20B89">
          <w:pgSz w:w="16838" w:h="11906" w:orient="landscape"/>
          <w:pgMar w:top="1440" w:right="1440" w:bottom="1440" w:left="1440" w:header="709" w:footer="709" w:gutter="0"/>
          <w:cols w:space="708"/>
          <w:docGrid w:linePitch="360"/>
        </w:sectPr>
      </w:pPr>
    </w:p>
    <w:p w14:paraId="62E5F982" w14:textId="77777777" w:rsidR="00B052FE" w:rsidRPr="00C13599" w:rsidRDefault="00CB73A9" w:rsidP="00C13599">
      <w:pPr>
        <w:pStyle w:val="NoSpacing"/>
        <w:jc w:val="both"/>
        <w:rPr>
          <w:rFonts w:ascii="Times New Roman" w:hAnsi="Times New Roman" w:cs="Times New Roman"/>
          <w:b/>
          <w:bCs/>
          <w:sz w:val="20"/>
          <w:szCs w:val="20"/>
          <w:lang w:val="en-GB"/>
        </w:rPr>
      </w:pPr>
      <w:r w:rsidRPr="00C13599">
        <w:rPr>
          <w:rFonts w:ascii="Times New Roman" w:hAnsi="Times New Roman" w:cs="Times New Roman"/>
          <w:b/>
          <w:bCs/>
          <w:sz w:val="20"/>
          <w:szCs w:val="20"/>
          <w:lang w:val="en-GB"/>
        </w:rPr>
        <w:lastRenderedPageBreak/>
        <w:t>References:</w:t>
      </w:r>
    </w:p>
    <w:p w14:paraId="2BA1DC46" w14:textId="77777777" w:rsidR="00B052FE" w:rsidRPr="00C13599" w:rsidRDefault="00B052FE" w:rsidP="00C13599">
      <w:pPr>
        <w:pStyle w:val="NoSpacing"/>
        <w:jc w:val="both"/>
        <w:rPr>
          <w:rFonts w:ascii="Times New Roman" w:hAnsi="Times New Roman" w:cs="Times New Roman"/>
          <w:sz w:val="20"/>
          <w:szCs w:val="20"/>
          <w:lang w:val="en-GB"/>
        </w:rPr>
      </w:pPr>
    </w:p>
    <w:p w14:paraId="5B66E63B" w14:textId="77777777" w:rsidR="00485C7C" w:rsidRDefault="00CB73A9" w:rsidP="00485C7C">
      <w:pPr>
        <w:pStyle w:val="Bibliography"/>
      </w:pPr>
      <w:r w:rsidRPr="00C13599">
        <w:rPr>
          <w:sz w:val="20"/>
          <w:szCs w:val="20"/>
        </w:rPr>
        <w:fldChar w:fldCharType="begin"/>
      </w:r>
      <w:r w:rsidR="00485C7C">
        <w:rPr>
          <w:sz w:val="20"/>
          <w:szCs w:val="20"/>
        </w:rPr>
        <w:instrText xml:space="preserve"> ADDIN ZOTERO_BIBL {"uncited":[],"omitted":[],"custom":[]} CSL_BIBLIOGRAPHY </w:instrText>
      </w:r>
      <w:r w:rsidRPr="00C13599">
        <w:rPr>
          <w:sz w:val="20"/>
          <w:szCs w:val="20"/>
        </w:rPr>
        <w:fldChar w:fldCharType="separate"/>
      </w:r>
      <w:r w:rsidR="00485C7C">
        <w:t>1</w:t>
      </w:r>
      <w:r w:rsidR="00485C7C">
        <w:tab/>
        <w:t xml:space="preserve">Isaac A, El Sakaty TM, Hussein SH, Rasmy HS. Angiopoietin-2 as a predictor of fibrosis regression in chronic hepatitis C virus patients after direct-acting antiviral drugs. </w:t>
      </w:r>
      <w:r w:rsidR="00485C7C">
        <w:rPr>
          <w:i/>
          <w:iCs/>
        </w:rPr>
        <w:t>Egypt J Intern Med</w:t>
      </w:r>
      <w:r w:rsidR="00485C7C">
        <w:t xml:space="preserve"> 2021; </w:t>
      </w:r>
      <w:r w:rsidR="00485C7C">
        <w:rPr>
          <w:b/>
          <w:bCs/>
        </w:rPr>
        <w:t>33</w:t>
      </w:r>
      <w:r w:rsidR="00485C7C">
        <w:t>: 53.</w:t>
      </w:r>
    </w:p>
    <w:p w14:paraId="159B4259" w14:textId="77777777" w:rsidR="00485C7C" w:rsidRDefault="00485C7C" w:rsidP="00485C7C">
      <w:pPr>
        <w:pStyle w:val="Bibliography"/>
      </w:pPr>
      <w:r>
        <w:t>2</w:t>
      </w:r>
      <w:r>
        <w:tab/>
        <w:t xml:space="preserve">Abdelmohsen E, Abotaleb AHB, El Zohne RA, Abdelwahab HM, Maghraby H. Assessment of Changes in Liver Fibrosis and Stiffness, Lipid Profile and Insulin Resistance in Patients with Chronic Hepatitis C Viral Infection Who Received Direct Acting Antiviral Therapy. </w:t>
      </w:r>
      <w:r>
        <w:rPr>
          <w:i/>
          <w:iCs/>
        </w:rPr>
        <w:t>The Egyptian Journal of Hospital Medicine</w:t>
      </w:r>
      <w:r>
        <w:t xml:space="preserve"> 2022; </w:t>
      </w:r>
      <w:r>
        <w:rPr>
          <w:b/>
          <w:bCs/>
        </w:rPr>
        <w:t>88</w:t>
      </w:r>
      <w:r>
        <w:t>: 3446–51.</w:t>
      </w:r>
    </w:p>
    <w:p w14:paraId="004D0CCE" w14:textId="77777777" w:rsidR="00485C7C" w:rsidRDefault="00485C7C" w:rsidP="00485C7C">
      <w:pPr>
        <w:pStyle w:val="Bibliography"/>
      </w:pPr>
      <w:r>
        <w:t>3</w:t>
      </w:r>
      <w:r>
        <w:tab/>
        <w:t xml:space="preserve">Garg G, Dixit VK, Shukla SK, </w:t>
      </w:r>
      <w:r>
        <w:rPr>
          <w:i/>
          <w:iCs/>
        </w:rPr>
        <w:t>et al.</w:t>
      </w:r>
      <w:r>
        <w:t xml:space="preserve"> Impact of Direct Acting Antiviral Drugs in Treatment Naïve HCV Cirrhosis on Fibrosis and Severity of Liver Disease: A Real Life Experience from a Tertiary Care Center of North India. </w:t>
      </w:r>
      <w:r>
        <w:rPr>
          <w:i/>
          <w:iCs/>
        </w:rPr>
        <w:t>Journal of Clinical and Experimental Hepatology</w:t>
      </w:r>
      <w:r>
        <w:t xml:space="preserve"> 2018; </w:t>
      </w:r>
      <w:r>
        <w:rPr>
          <w:b/>
          <w:bCs/>
        </w:rPr>
        <w:t>8</w:t>
      </w:r>
      <w:r>
        <w:t>: 241–9.</w:t>
      </w:r>
    </w:p>
    <w:p w14:paraId="26F0DE5B" w14:textId="77777777" w:rsidR="00485C7C" w:rsidRDefault="00485C7C" w:rsidP="00485C7C">
      <w:pPr>
        <w:pStyle w:val="Bibliography"/>
      </w:pPr>
      <w:r>
        <w:t>4</w:t>
      </w:r>
      <w:r>
        <w:tab/>
        <w:t xml:space="preserve">El-Raziky M, Khairy M, Fouad A, Salama A, Elsharkawy A, Tantawy O. Effect of Direct-Acting Agents on Fibrosis Regression in Chronic Hepatitis C Virus Patients’ Treatment Compared with Interferon-Containing Regimens. </w:t>
      </w:r>
      <w:r>
        <w:rPr>
          <w:i/>
          <w:iCs/>
        </w:rPr>
        <w:t>Journal of Interferon &amp; Cytokine Research</w:t>
      </w:r>
      <w:r>
        <w:t xml:space="preserve"> 2018; </w:t>
      </w:r>
      <w:r>
        <w:rPr>
          <w:b/>
          <w:bCs/>
        </w:rPr>
        <w:t>38</w:t>
      </w:r>
      <w:r>
        <w:t>: 129–36.</w:t>
      </w:r>
    </w:p>
    <w:p w14:paraId="018F0049" w14:textId="77777777" w:rsidR="00485C7C" w:rsidRDefault="00485C7C" w:rsidP="00485C7C">
      <w:pPr>
        <w:pStyle w:val="Bibliography"/>
      </w:pPr>
      <w:r>
        <w:t>5</w:t>
      </w:r>
      <w:r>
        <w:tab/>
        <w:t xml:space="preserve">Elkhayat M, Lehleh AE, Aboelkhair NT, Abozeid M, Shahin HA, Elabd NS. Role of Mac-2-binding protein glycosylation isomer in assessment of liver fibrosis in patients with chronic hepatitis C virus receiving direct-acting antiviral agents. </w:t>
      </w:r>
      <w:r>
        <w:rPr>
          <w:i/>
          <w:iCs/>
        </w:rPr>
        <w:t>Menoufia Medical Journal</w:t>
      </w:r>
      <w:r>
        <w:t xml:space="preserve"> 2023; </w:t>
      </w:r>
      <w:r>
        <w:rPr>
          <w:b/>
          <w:bCs/>
        </w:rPr>
        <w:t>36</w:t>
      </w:r>
      <w:r>
        <w:t>. DOI:10.59204/2314-6788.1095.</w:t>
      </w:r>
    </w:p>
    <w:p w14:paraId="660AAD5C" w14:textId="77777777" w:rsidR="00485C7C" w:rsidRDefault="00485C7C" w:rsidP="00485C7C">
      <w:pPr>
        <w:pStyle w:val="Bibliography"/>
      </w:pPr>
      <w:r>
        <w:t>6</w:t>
      </w:r>
      <w:r>
        <w:tab/>
        <w:t xml:space="preserve">Alaa Aboud Mohammed, Dina Attia, Basel Abdelmonem Ebeid, Mariam Boulous Ibrahim. Study of the effect of direct acting antivirals (DAAs) on fibrosis in chronic hepatitis C patients using transient elastography. </w:t>
      </w:r>
      <w:r>
        <w:rPr>
          <w:i/>
          <w:iCs/>
        </w:rPr>
        <w:t>World J Adv Res Rev</w:t>
      </w:r>
      <w:r>
        <w:t xml:space="preserve"> 2021; </w:t>
      </w:r>
      <w:r>
        <w:rPr>
          <w:b/>
          <w:bCs/>
        </w:rPr>
        <w:t>10</w:t>
      </w:r>
      <w:r>
        <w:t>: 135–45.</w:t>
      </w:r>
    </w:p>
    <w:p w14:paraId="42A98F25" w14:textId="77777777" w:rsidR="00485C7C" w:rsidRDefault="00485C7C" w:rsidP="00485C7C">
      <w:pPr>
        <w:pStyle w:val="Bibliography"/>
      </w:pPr>
      <w:r>
        <w:t>7</w:t>
      </w:r>
      <w:r>
        <w:tab/>
        <w:t xml:space="preserve">Anancheunsook P, Sriphoosanaphan S, Treeprasertsuk S, Komolmitr P, Thanapirom K. 98: POST-TREATMENT ASSESSMENT OF LIVER STIFFNESS PREDICTS LIVER-RELATED COMPLICATIONS AND HEPATOCELLULAR CARCINOMA DEVELOPMENT FOLLOWING VIRAL ERADICATION WITH DIRECT-ACTING ANTIVIRAL IN PATIENTS WITH HEPATITIS C VIRUS INFECTION. </w:t>
      </w:r>
      <w:r>
        <w:rPr>
          <w:i/>
          <w:iCs/>
        </w:rPr>
        <w:t>Gastroenterology</w:t>
      </w:r>
      <w:r>
        <w:t xml:space="preserve"> 2022; </w:t>
      </w:r>
      <w:r>
        <w:rPr>
          <w:b/>
          <w:bCs/>
        </w:rPr>
        <w:t>162</w:t>
      </w:r>
      <w:r>
        <w:t>: S.</w:t>
      </w:r>
    </w:p>
    <w:p w14:paraId="7DE552E2" w14:textId="77777777" w:rsidR="00485C7C" w:rsidRDefault="00485C7C" w:rsidP="00485C7C">
      <w:pPr>
        <w:pStyle w:val="Bibliography"/>
      </w:pPr>
      <w:r>
        <w:t>8</w:t>
      </w:r>
      <w:r>
        <w:tab/>
        <w:t>Malik MQ. Hepatitis C-related liver-fibrosis regression after direct-acting antiviral therapy. 2022; published online July 28. DOI:10.25949/20399262.v1.</w:t>
      </w:r>
    </w:p>
    <w:p w14:paraId="61A99D23" w14:textId="77777777" w:rsidR="00485C7C" w:rsidRDefault="00485C7C" w:rsidP="00485C7C">
      <w:pPr>
        <w:pStyle w:val="Bibliography"/>
      </w:pPr>
      <w:r>
        <w:t>9</w:t>
      </w:r>
      <w:r>
        <w:tab/>
        <w:t xml:space="preserve">Elfiki M, Farid M, Soliman A, Ibrahim B. The Effect of Direct Acting Antiviral Therapy for Hepatitis C- Virus Infected Egyptian Patients on Changes in the Parameters of Liver Fibrosis Progression. </w:t>
      </w:r>
      <w:r>
        <w:rPr>
          <w:i/>
          <w:iCs/>
        </w:rPr>
        <w:t>BESPS</w:t>
      </w:r>
      <w:r>
        <w:t xml:space="preserve"> 2021; </w:t>
      </w:r>
      <w:r>
        <w:rPr>
          <w:b/>
          <w:bCs/>
        </w:rPr>
        <w:t>41</w:t>
      </w:r>
      <w:r>
        <w:t>: 203–19.</w:t>
      </w:r>
    </w:p>
    <w:p w14:paraId="42FE3D6D" w14:textId="77777777" w:rsidR="00485C7C" w:rsidRDefault="00485C7C" w:rsidP="00485C7C">
      <w:pPr>
        <w:pStyle w:val="Bibliography"/>
      </w:pPr>
      <w:r>
        <w:t>10</w:t>
      </w:r>
      <w:r>
        <w:tab/>
        <w:t xml:space="preserve">Cespiati A, Petta S, Lombardi R, </w:t>
      </w:r>
      <w:r>
        <w:rPr>
          <w:i/>
          <w:iCs/>
        </w:rPr>
        <w:t>et al.</w:t>
      </w:r>
      <w:r>
        <w:t xml:space="preserve"> New onset steatosis but not persistent steatosis prevents hepatic fibrosis improvement after viral eradication by direct-acting antiviral therapy (DAAs) in patients with chronic hepatitis C: Evaluation by controlled attenuation parameter (CAP) and liver stiffness measurement LSM. </w:t>
      </w:r>
      <w:r>
        <w:rPr>
          <w:i/>
          <w:iCs/>
        </w:rPr>
        <w:t>Digestive and Liver Disease</w:t>
      </w:r>
      <w:r>
        <w:t xml:space="preserve"> 2021; </w:t>
      </w:r>
      <w:r>
        <w:rPr>
          <w:b/>
          <w:bCs/>
        </w:rPr>
        <w:t>53</w:t>
      </w:r>
      <w:r>
        <w:t>: S16.</w:t>
      </w:r>
    </w:p>
    <w:p w14:paraId="2E876626" w14:textId="77777777" w:rsidR="00485C7C" w:rsidRDefault="00485C7C" w:rsidP="00485C7C">
      <w:pPr>
        <w:pStyle w:val="Bibliography"/>
      </w:pPr>
      <w:r>
        <w:t>11</w:t>
      </w:r>
      <w:r>
        <w:tab/>
        <w:t xml:space="preserve">Lazar A, Sporea I, Lupusoru R, </w:t>
      </w:r>
      <w:r>
        <w:rPr>
          <w:i/>
          <w:iCs/>
        </w:rPr>
        <w:t>et al.</w:t>
      </w:r>
      <w:r>
        <w:t xml:space="preserve"> How many HCV cirrhotic patients go below cirrhotic cut-off values in transient elastography after direct acting agents treatment? </w:t>
      </w:r>
      <w:r>
        <w:rPr>
          <w:i/>
          <w:iCs/>
        </w:rPr>
        <w:t>Ultrasound in Medicine &amp; Biology</w:t>
      </w:r>
      <w:r>
        <w:t xml:space="preserve"> 2019; </w:t>
      </w:r>
      <w:r>
        <w:rPr>
          <w:b/>
          <w:bCs/>
        </w:rPr>
        <w:t>45</w:t>
      </w:r>
      <w:r>
        <w:t>: S118.</w:t>
      </w:r>
    </w:p>
    <w:p w14:paraId="1B669AB2" w14:textId="77777777" w:rsidR="00485C7C" w:rsidRDefault="00485C7C" w:rsidP="00485C7C">
      <w:pPr>
        <w:pStyle w:val="Bibliography"/>
      </w:pPr>
      <w:r>
        <w:t>12</w:t>
      </w:r>
      <w:r>
        <w:tab/>
        <w:t xml:space="preserve">Sporea I, Lupusoru R, Mare R, </w:t>
      </w:r>
      <w:r>
        <w:rPr>
          <w:i/>
          <w:iCs/>
        </w:rPr>
        <w:t>et al.</w:t>
      </w:r>
      <w:r>
        <w:t xml:space="preserve"> What Happened with Liver Stiffness Values Assessed by Means of Transient Elastography in Patients with HCV Liver Cirrhosis after DAA Treatment. </w:t>
      </w:r>
      <w:r>
        <w:rPr>
          <w:i/>
          <w:iCs/>
        </w:rPr>
        <w:t>Ultrasound in Medicine and Biology</w:t>
      </w:r>
      <w:r>
        <w:t xml:space="preserve"> 2017; </w:t>
      </w:r>
      <w:r>
        <w:rPr>
          <w:b/>
          <w:bCs/>
        </w:rPr>
        <w:t>43</w:t>
      </w:r>
      <w:r>
        <w:t>: S93–4.</w:t>
      </w:r>
    </w:p>
    <w:p w14:paraId="4A495ECD" w14:textId="77777777" w:rsidR="00485C7C" w:rsidRDefault="00485C7C" w:rsidP="00485C7C">
      <w:pPr>
        <w:pStyle w:val="Bibliography"/>
      </w:pPr>
      <w:r>
        <w:t>13</w:t>
      </w:r>
      <w:r>
        <w:tab/>
        <w:t xml:space="preserve">El-Garem H, Mohey M, Ghaith D, </w:t>
      </w:r>
      <w:r>
        <w:rPr>
          <w:i/>
          <w:iCs/>
        </w:rPr>
        <w:t>et al.</w:t>
      </w:r>
      <w:r>
        <w:t xml:space="preserve"> Liver stiffness reduction and serum fibrosis score improvement following sofosbuvir-based therapy of HCV/HIV co-infected patients. </w:t>
      </w:r>
      <w:r>
        <w:rPr>
          <w:i/>
          <w:iCs/>
        </w:rPr>
        <w:t>Journal of Advanced Research</w:t>
      </w:r>
      <w:r>
        <w:t xml:space="preserve"> 2019; </w:t>
      </w:r>
      <w:r>
        <w:rPr>
          <w:b/>
          <w:bCs/>
        </w:rPr>
        <w:t>16</w:t>
      </w:r>
      <w:r>
        <w:t>: 161.</w:t>
      </w:r>
    </w:p>
    <w:p w14:paraId="7BC6CAE4" w14:textId="77777777" w:rsidR="00485C7C" w:rsidRDefault="00485C7C" w:rsidP="00485C7C">
      <w:pPr>
        <w:pStyle w:val="Bibliography"/>
      </w:pPr>
      <w:r>
        <w:lastRenderedPageBreak/>
        <w:t>14</w:t>
      </w:r>
      <w:r>
        <w:tab/>
        <w:t xml:space="preserve">Laursen TL, Kazankov K, Sandahl TD, </w:t>
      </w:r>
      <w:r>
        <w:rPr>
          <w:i/>
          <w:iCs/>
        </w:rPr>
        <w:t>et al.</w:t>
      </w:r>
      <w:r>
        <w:t xml:space="preserve"> Effects of direct-acting antiviral treatment of chronic hepatitis C on macrophage activation, liver stiffness, metabolic liver function and portal hypertension in cirrhosis patients. </w:t>
      </w:r>
      <w:r>
        <w:rPr>
          <w:i/>
          <w:iCs/>
        </w:rPr>
        <w:t>Journal of Hepatology</w:t>
      </w:r>
      <w:r>
        <w:t xml:space="preserve"> 2018; </w:t>
      </w:r>
      <w:r>
        <w:rPr>
          <w:b/>
          <w:bCs/>
        </w:rPr>
        <w:t>68</w:t>
      </w:r>
      <w:r>
        <w:t>: S541.</w:t>
      </w:r>
    </w:p>
    <w:p w14:paraId="146286AA" w14:textId="77777777" w:rsidR="00485C7C" w:rsidRDefault="00485C7C" w:rsidP="00485C7C">
      <w:pPr>
        <w:pStyle w:val="Bibliography"/>
      </w:pPr>
      <w:r>
        <w:t>15</w:t>
      </w:r>
      <w:r>
        <w:tab/>
        <w:t xml:space="preserve">Attia D, Deterding K, Cornberg J, </w:t>
      </w:r>
      <w:r>
        <w:rPr>
          <w:i/>
          <w:iCs/>
        </w:rPr>
        <w:t>et al.</w:t>
      </w:r>
      <w:r>
        <w:t xml:space="preserve"> Different kinetics of liver stiffness using shear wave elastography in patients with chronic hepatitis C infection treated with interferon-free regimens. </w:t>
      </w:r>
      <w:r>
        <w:rPr>
          <w:i/>
          <w:iCs/>
        </w:rPr>
        <w:t>European Journal of Gastroenterology &amp; Hepatology</w:t>
      </w:r>
      <w:r>
        <w:t xml:space="preserve"> 2019; </w:t>
      </w:r>
      <w:r>
        <w:rPr>
          <w:b/>
          <w:bCs/>
        </w:rPr>
        <w:t>31</w:t>
      </w:r>
      <w:r>
        <w:t>: 67–74.</w:t>
      </w:r>
    </w:p>
    <w:p w14:paraId="22D4E8B9" w14:textId="77777777" w:rsidR="00485C7C" w:rsidRDefault="00485C7C" w:rsidP="00485C7C">
      <w:pPr>
        <w:pStyle w:val="Bibliography"/>
      </w:pPr>
      <w:r>
        <w:t>16</w:t>
      </w:r>
      <w:r>
        <w:tab/>
        <w:t xml:space="preserve">Gheorghe L, Iacob S, Curescu M, </w:t>
      </w:r>
      <w:r>
        <w:rPr>
          <w:i/>
          <w:iCs/>
        </w:rPr>
        <w:t>et al.</w:t>
      </w:r>
      <w:r>
        <w:t xml:space="preserve"> Real-Life Use of 3 Direct-Acting Antiviral Regimen in a Large Cohort of Patients with Genotype-1b HCV Compensated Cirrhosis. </w:t>
      </w:r>
      <w:r>
        <w:rPr>
          <w:i/>
          <w:iCs/>
        </w:rPr>
        <w:t>J Gastrointestin Liver Dis</w:t>
      </w:r>
      <w:r>
        <w:t xml:space="preserve"> 2017; </w:t>
      </w:r>
      <w:r>
        <w:rPr>
          <w:b/>
          <w:bCs/>
        </w:rPr>
        <w:t>26</w:t>
      </w:r>
      <w:r>
        <w:t>: 275–81.</w:t>
      </w:r>
    </w:p>
    <w:p w14:paraId="5CF0C730" w14:textId="77777777" w:rsidR="00485C7C" w:rsidRDefault="00485C7C" w:rsidP="00485C7C">
      <w:pPr>
        <w:pStyle w:val="Bibliography"/>
      </w:pPr>
      <w:r>
        <w:t>17</w:t>
      </w:r>
      <w:r>
        <w:tab/>
        <w:t xml:space="preserve">Hsieh Y-C, Lee K-C, Su C-W, </w:t>
      </w:r>
      <w:r>
        <w:rPr>
          <w:i/>
          <w:iCs/>
        </w:rPr>
        <w:t>et al.</w:t>
      </w:r>
      <w:r>
        <w:t xml:space="preserve"> Persistent liver inflammation in chronic hepatitis C patients with advanced fibrosis after direct-acting antivirals induced sustained virological response. </w:t>
      </w:r>
      <w:r>
        <w:rPr>
          <w:i/>
          <w:iCs/>
        </w:rPr>
        <w:t>Journal of the Chinese Medical Association</w:t>
      </w:r>
      <w:r>
        <w:t xml:space="preserve"> 2021; </w:t>
      </w:r>
      <w:r>
        <w:rPr>
          <w:b/>
          <w:bCs/>
        </w:rPr>
        <w:t>84</w:t>
      </w:r>
      <w:r>
        <w:t>: 472–7.</w:t>
      </w:r>
    </w:p>
    <w:p w14:paraId="1C166F4E" w14:textId="77777777" w:rsidR="00485C7C" w:rsidRDefault="00485C7C" w:rsidP="00485C7C">
      <w:pPr>
        <w:pStyle w:val="Bibliography"/>
      </w:pPr>
      <w:r>
        <w:t>18</w:t>
      </w:r>
      <w:r>
        <w:tab/>
        <w:t xml:space="preserve">Tag-Adeen M, Sabra A, Akazawa Y, Ohnita K, Nakao K. Impact of hepatitis C virus genotype-4 eradication following direct acting antivirals on liver stiffness measurement. </w:t>
      </w:r>
      <w:r>
        <w:rPr>
          <w:i/>
          <w:iCs/>
        </w:rPr>
        <w:t>HMER</w:t>
      </w:r>
      <w:r>
        <w:t xml:space="preserve"> 2017; </w:t>
      </w:r>
      <w:r>
        <w:rPr>
          <w:b/>
          <w:bCs/>
        </w:rPr>
        <w:t>Volume 9</w:t>
      </w:r>
      <w:r>
        <w:t>: 45–53.</w:t>
      </w:r>
    </w:p>
    <w:p w14:paraId="23B8C846" w14:textId="77777777" w:rsidR="00485C7C" w:rsidRDefault="00485C7C" w:rsidP="00485C7C">
      <w:pPr>
        <w:pStyle w:val="Bibliography"/>
      </w:pPr>
      <w:r>
        <w:t>19</w:t>
      </w:r>
      <w:r>
        <w:tab/>
        <w:t xml:space="preserve">Sung JC, Bosh C, Wyatt B, </w:t>
      </w:r>
      <w:r>
        <w:rPr>
          <w:i/>
          <w:iCs/>
        </w:rPr>
        <w:t>et al.</w:t>
      </w:r>
      <w:r>
        <w:t xml:space="preserve"> Hepatitis C cure improved patient‐reported outcomes in patients with and without liver fibrosis in a prospective study at a large urban medical center. </w:t>
      </w:r>
      <w:r>
        <w:rPr>
          <w:i/>
          <w:iCs/>
        </w:rPr>
        <w:t>Journal of Viral Hepatitis</w:t>
      </w:r>
      <w:r>
        <w:t xml:space="preserve"> 2020; </w:t>
      </w:r>
      <w:r>
        <w:rPr>
          <w:b/>
          <w:bCs/>
        </w:rPr>
        <w:t>27</w:t>
      </w:r>
      <w:r>
        <w:t>: 350–9.</w:t>
      </w:r>
    </w:p>
    <w:p w14:paraId="02E7DD1B" w14:textId="77777777" w:rsidR="00485C7C" w:rsidRDefault="00485C7C" w:rsidP="00485C7C">
      <w:pPr>
        <w:pStyle w:val="Bibliography"/>
      </w:pPr>
      <w:r>
        <w:t>20</w:t>
      </w:r>
      <w:r>
        <w:tab/>
        <w:t xml:space="preserve">Enomoto M, Ikura Y, Tamori A, </w:t>
      </w:r>
      <w:r>
        <w:rPr>
          <w:i/>
          <w:iCs/>
        </w:rPr>
        <w:t>et al.</w:t>
      </w:r>
      <w:r>
        <w:t xml:space="preserve"> Short-term histological evaluations after achieving a sustained virologic response to direct-acting antiviral treatment for chronic hepatitis C. </w:t>
      </w:r>
      <w:r>
        <w:rPr>
          <w:i/>
          <w:iCs/>
        </w:rPr>
        <w:t>UEG Journal</w:t>
      </w:r>
      <w:r>
        <w:t xml:space="preserve"> 2018; </w:t>
      </w:r>
      <w:r>
        <w:rPr>
          <w:b/>
          <w:bCs/>
        </w:rPr>
        <w:t>6</w:t>
      </w:r>
      <w:r>
        <w:t>: 1391–400.</w:t>
      </w:r>
    </w:p>
    <w:p w14:paraId="141A06B7" w14:textId="77777777" w:rsidR="00485C7C" w:rsidRDefault="00485C7C" w:rsidP="00485C7C">
      <w:pPr>
        <w:pStyle w:val="Bibliography"/>
      </w:pPr>
      <w:r>
        <w:t>21</w:t>
      </w:r>
      <w:r>
        <w:tab/>
        <w:t xml:space="preserve">Huang R, Rao H, Wei L. SAT-237-Histological improvement of hepatitis C virus patients after achieving sustained virological response with direct-acting antivirals. </w:t>
      </w:r>
      <w:r>
        <w:rPr>
          <w:i/>
          <w:iCs/>
        </w:rPr>
        <w:t>Journal of Hepatology</w:t>
      </w:r>
      <w:r>
        <w:t xml:space="preserve"> 2019; </w:t>
      </w:r>
      <w:r>
        <w:rPr>
          <w:b/>
          <w:bCs/>
        </w:rPr>
        <w:t>70</w:t>
      </w:r>
      <w:r>
        <w:t>: e735–6.</w:t>
      </w:r>
    </w:p>
    <w:p w14:paraId="45804CE9" w14:textId="77777777" w:rsidR="00485C7C" w:rsidRDefault="00485C7C" w:rsidP="00485C7C">
      <w:pPr>
        <w:pStyle w:val="Bibliography"/>
      </w:pPr>
      <w:r>
        <w:t>22</w:t>
      </w:r>
      <w:r>
        <w:tab/>
        <w:t xml:space="preserve">Zakareya T, Elhelbawy M, Elzohry H, Eltabbakh M, Deif M, Abbasy M. Long-Term Impact of Hepatitis C Virus Eradication on Liver Stiffness in Egyptian Patients. </w:t>
      </w:r>
      <w:r>
        <w:rPr>
          <w:i/>
          <w:iCs/>
        </w:rPr>
        <w:t>Canadian Journal of Gastroenterology and Hepatology</w:t>
      </w:r>
      <w:r>
        <w:t xml:space="preserve"> 2021; </w:t>
      </w:r>
      <w:r>
        <w:rPr>
          <w:b/>
          <w:bCs/>
        </w:rPr>
        <w:t>2021</w:t>
      </w:r>
      <w:r>
        <w:t>: 1–9.</w:t>
      </w:r>
    </w:p>
    <w:p w14:paraId="66135A7D" w14:textId="77777777" w:rsidR="00485C7C" w:rsidRDefault="00485C7C" w:rsidP="00485C7C">
      <w:pPr>
        <w:pStyle w:val="Bibliography"/>
      </w:pPr>
      <w:r>
        <w:t>23</w:t>
      </w:r>
      <w:r>
        <w:tab/>
        <w:t xml:space="preserve">Ferra-Murcia S, Collado-Romacho AR, Nievas-Soriano BJ, Reche-Lorite F, Parrón-Carreño T. Real-Life Early Anthropometric, Lipid and Liver Changes after Direct-Acting Antiviral Therapy in PLWHIV with HCV Co-Infection. </w:t>
      </w:r>
      <w:r>
        <w:rPr>
          <w:i/>
          <w:iCs/>
        </w:rPr>
        <w:t>JCM</w:t>
      </w:r>
      <w:r>
        <w:t xml:space="preserve"> 2022; </w:t>
      </w:r>
      <w:r>
        <w:rPr>
          <w:b/>
          <w:bCs/>
        </w:rPr>
        <w:t>11</w:t>
      </w:r>
      <w:r>
        <w:t>: 2639.</w:t>
      </w:r>
    </w:p>
    <w:p w14:paraId="0F835111" w14:textId="77777777" w:rsidR="00485C7C" w:rsidRDefault="00485C7C" w:rsidP="00485C7C">
      <w:pPr>
        <w:pStyle w:val="Bibliography"/>
      </w:pPr>
      <w:r>
        <w:t>24</w:t>
      </w:r>
      <w:r>
        <w:tab/>
        <w:t xml:space="preserve">Argalia G, Tarantino G, Ventura C, </w:t>
      </w:r>
      <w:r>
        <w:rPr>
          <w:i/>
          <w:iCs/>
        </w:rPr>
        <w:t>et al.</w:t>
      </w:r>
      <w:r>
        <w:t xml:space="preserve"> Shear wave elastography and transient elastography in HCV patients after direct-acting antivirals. </w:t>
      </w:r>
      <w:r>
        <w:rPr>
          <w:i/>
          <w:iCs/>
        </w:rPr>
        <w:t>Radiol med</w:t>
      </w:r>
      <w:r>
        <w:t xml:space="preserve"> 2021; </w:t>
      </w:r>
      <w:r>
        <w:rPr>
          <w:b/>
          <w:bCs/>
        </w:rPr>
        <w:t>126</w:t>
      </w:r>
      <w:r>
        <w:t>: 894–9.</w:t>
      </w:r>
    </w:p>
    <w:p w14:paraId="3BC9C2FB" w14:textId="77777777" w:rsidR="00485C7C" w:rsidRDefault="00485C7C" w:rsidP="00485C7C">
      <w:pPr>
        <w:pStyle w:val="Bibliography"/>
      </w:pPr>
      <w:r>
        <w:t>25</w:t>
      </w:r>
      <w:r>
        <w:tab/>
        <w:t xml:space="preserve">Taneja S, Duseja A, De A, </w:t>
      </w:r>
      <w:r>
        <w:rPr>
          <w:i/>
          <w:iCs/>
        </w:rPr>
        <w:t>et al.</w:t>
      </w:r>
      <w:r>
        <w:t xml:space="preserve"> Successful treatment of chronic hepatitis </w:t>
      </w:r>
      <w:r>
        <w:rPr>
          <w:smallCaps/>
        </w:rPr>
        <w:t>C</w:t>
      </w:r>
      <w:r>
        <w:t xml:space="preserve"> infection with directly acting antivirals in renal transplant recipients. </w:t>
      </w:r>
      <w:r>
        <w:rPr>
          <w:i/>
          <w:iCs/>
        </w:rPr>
        <w:t>Nephrology</w:t>
      </w:r>
      <w:r>
        <w:t xml:space="preserve"> 2018; </w:t>
      </w:r>
      <w:r>
        <w:rPr>
          <w:b/>
          <w:bCs/>
        </w:rPr>
        <w:t>23</w:t>
      </w:r>
      <w:r>
        <w:t>: 876–82.</w:t>
      </w:r>
    </w:p>
    <w:p w14:paraId="4649EDCD" w14:textId="77777777" w:rsidR="00485C7C" w:rsidRDefault="00485C7C" w:rsidP="00485C7C">
      <w:pPr>
        <w:pStyle w:val="Bibliography"/>
      </w:pPr>
      <w:r>
        <w:t>26</w:t>
      </w:r>
      <w:r>
        <w:tab/>
        <w:t xml:space="preserve">Rasmy HS, Elmalatawy MAE, ElKarmoty KZ, Abdelwarth EY, Isaac A. Serum retinol-binding protein 4 as a predictor of fibrosis regression and response to direct-acting antiviral drugs in chronic hepatitis C virus patients. </w:t>
      </w:r>
      <w:r>
        <w:rPr>
          <w:i/>
          <w:iCs/>
        </w:rPr>
        <w:t>Egypt Liver Journal</w:t>
      </w:r>
      <w:r>
        <w:t xml:space="preserve"> 2023; </w:t>
      </w:r>
      <w:r>
        <w:rPr>
          <w:b/>
          <w:bCs/>
        </w:rPr>
        <w:t>13</w:t>
      </w:r>
      <w:r>
        <w:t>: 16.</w:t>
      </w:r>
    </w:p>
    <w:p w14:paraId="1D34AA6A" w14:textId="77777777" w:rsidR="00485C7C" w:rsidRDefault="00485C7C" w:rsidP="00485C7C">
      <w:pPr>
        <w:pStyle w:val="Bibliography"/>
      </w:pPr>
      <w:r>
        <w:t>27</w:t>
      </w:r>
      <w:r>
        <w:tab/>
        <w:t xml:space="preserve">Yoo HW, Park JY, Kim SG, </w:t>
      </w:r>
      <w:r>
        <w:rPr>
          <w:i/>
          <w:iCs/>
        </w:rPr>
        <w:t>et al.</w:t>
      </w:r>
      <w:r>
        <w:t xml:space="preserve"> Regression of liver fibrosis and hepatocellular carcinoma development after HCV eradication with oral antiviral agents. </w:t>
      </w:r>
      <w:r>
        <w:rPr>
          <w:i/>
          <w:iCs/>
        </w:rPr>
        <w:t>Sci Rep</w:t>
      </w:r>
      <w:r>
        <w:t xml:space="preserve"> 2022; </w:t>
      </w:r>
      <w:r>
        <w:rPr>
          <w:b/>
          <w:bCs/>
        </w:rPr>
        <w:t>12</w:t>
      </w:r>
      <w:r>
        <w:t>: 193.</w:t>
      </w:r>
    </w:p>
    <w:p w14:paraId="087A6F4A" w14:textId="77777777" w:rsidR="00485C7C" w:rsidRDefault="00485C7C" w:rsidP="00485C7C">
      <w:pPr>
        <w:pStyle w:val="Bibliography"/>
      </w:pPr>
      <w:r>
        <w:t>28</w:t>
      </w:r>
      <w:r>
        <w:tab/>
        <w:t xml:space="preserve">Gadallah ANAA, Bahnasi AA, Abdelfattah W, Mousa D, Elsayaad MSM, Elbasyouni HAA. Effects of direct acting antiviral therapy on liver stiffness measured by using fibro scan in Egyptian patients with chronic hepatitis C. </w:t>
      </w:r>
      <w:r>
        <w:rPr>
          <w:i/>
          <w:iCs/>
        </w:rPr>
        <w:t>Med Glas (Zenica)</w:t>
      </w:r>
      <w:r>
        <w:t xml:space="preserve"> 2023; </w:t>
      </w:r>
      <w:r>
        <w:rPr>
          <w:b/>
          <w:bCs/>
        </w:rPr>
        <w:t>20</w:t>
      </w:r>
      <w:r>
        <w:t>: 188–95.</w:t>
      </w:r>
    </w:p>
    <w:p w14:paraId="5C0C27FF" w14:textId="77777777" w:rsidR="00485C7C" w:rsidRDefault="00485C7C" w:rsidP="00485C7C">
      <w:pPr>
        <w:pStyle w:val="Bibliography"/>
      </w:pPr>
      <w:r>
        <w:t>29</w:t>
      </w:r>
      <w:r>
        <w:tab/>
        <w:t xml:space="preserve">Nozaki A, Chuma M, Hara K, </w:t>
      </w:r>
      <w:r>
        <w:rPr>
          <w:i/>
          <w:iCs/>
        </w:rPr>
        <w:t>et al.</w:t>
      </w:r>
      <w:r>
        <w:t xml:space="preserve"> Sofosbuvir-based therapies associated with regression of liver fibrosis in patients with hepatitis C virus infection: A prospective observational study. </w:t>
      </w:r>
      <w:r>
        <w:rPr>
          <w:i/>
          <w:iCs/>
        </w:rPr>
        <w:t>Medicine</w:t>
      </w:r>
      <w:r>
        <w:t xml:space="preserve"> 2021; </w:t>
      </w:r>
      <w:r>
        <w:rPr>
          <w:b/>
          <w:bCs/>
        </w:rPr>
        <w:t>100</w:t>
      </w:r>
      <w:r>
        <w:t>: e25110.</w:t>
      </w:r>
    </w:p>
    <w:p w14:paraId="596751BA" w14:textId="77777777" w:rsidR="00485C7C" w:rsidRDefault="00485C7C" w:rsidP="00485C7C">
      <w:pPr>
        <w:pStyle w:val="Bibliography"/>
      </w:pPr>
      <w:r>
        <w:t>30</w:t>
      </w:r>
      <w:r>
        <w:tab/>
        <w:t xml:space="preserve">Chuaypen N, Chittmittrapap S, Avihingsanon A, </w:t>
      </w:r>
      <w:r>
        <w:rPr>
          <w:i/>
          <w:iCs/>
        </w:rPr>
        <w:t>et al.</w:t>
      </w:r>
      <w:r>
        <w:t xml:space="preserve"> Liver fibrosis improvement assessed by magnetic resonance elastography and Mac‐2‐binding protein glycosylation isomer in patients with hepatitis C virus infection receiving direct‐acting antivirals. </w:t>
      </w:r>
      <w:r>
        <w:rPr>
          <w:i/>
          <w:iCs/>
        </w:rPr>
        <w:t>Hepatology Research</w:t>
      </w:r>
      <w:r>
        <w:t xml:space="preserve"> 2021; </w:t>
      </w:r>
      <w:r>
        <w:rPr>
          <w:b/>
          <w:bCs/>
        </w:rPr>
        <w:t>51</w:t>
      </w:r>
      <w:r>
        <w:t>: 528–37.</w:t>
      </w:r>
    </w:p>
    <w:p w14:paraId="6BB74294" w14:textId="77777777" w:rsidR="00485C7C" w:rsidRDefault="00485C7C" w:rsidP="00485C7C">
      <w:pPr>
        <w:pStyle w:val="Bibliography"/>
      </w:pPr>
      <w:r>
        <w:lastRenderedPageBreak/>
        <w:t>31</w:t>
      </w:r>
      <w:r>
        <w:tab/>
        <w:t xml:space="preserve">Persico M, Rosato V, Aglitti A, </w:t>
      </w:r>
      <w:r>
        <w:rPr>
          <w:i/>
          <w:iCs/>
        </w:rPr>
        <w:t>et al.</w:t>
      </w:r>
      <w:r>
        <w:t xml:space="preserve"> Sustained Virological Response by Direct Antiviral Agents in HCV Leads to an Early and Significant Improvement of Liver Fibrosis. </w:t>
      </w:r>
      <w:r>
        <w:rPr>
          <w:i/>
          <w:iCs/>
        </w:rPr>
        <w:t>Antiviral Therapy</w:t>
      </w:r>
      <w:r>
        <w:t xml:space="preserve"> 2018; </w:t>
      </w:r>
      <w:r>
        <w:rPr>
          <w:b/>
          <w:bCs/>
        </w:rPr>
        <w:t>23</w:t>
      </w:r>
      <w:r>
        <w:t>: 129–38.</w:t>
      </w:r>
    </w:p>
    <w:p w14:paraId="70822B30" w14:textId="77777777" w:rsidR="00485C7C" w:rsidRDefault="00485C7C" w:rsidP="00485C7C">
      <w:pPr>
        <w:pStyle w:val="Bibliography"/>
      </w:pPr>
      <w:r>
        <w:t>32</w:t>
      </w:r>
      <w:r>
        <w:tab/>
        <w:t xml:space="preserve">Cavalletto L, Bertoli E, Mescoli C, </w:t>
      </w:r>
      <w:r>
        <w:rPr>
          <w:i/>
          <w:iCs/>
        </w:rPr>
        <w:t>et al.</w:t>
      </w:r>
      <w:r>
        <w:t xml:space="preserve"> Long-Term Risk of Hepatic and Extrahepatic-Related Events After Direct Antiviral Therapy for Chronic Hepatitis C: A Prospective Long-Term Study Cohort. </w:t>
      </w:r>
      <w:r>
        <w:rPr>
          <w:i/>
          <w:iCs/>
        </w:rPr>
        <w:t>Cancers</w:t>
      </w:r>
      <w:r>
        <w:t xml:space="preserve"> 2025; </w:t>
      </w:r>
      <w:r>
        <w:rPr>
          <w:b/>
          <w:bCs/>
        </w:rPr>
        <w:t>17</w:t>
      </w:r>
      <w:r>
        <w:t>. DOI:10.3390/cancers17091528.</w:t>
      </w:r>
    </w:p>
    <w:p w14:paraId="4CBFC15B" w14:textId="77777777" w:rsidR="00485C7C" w:rsidRDefault="00485C7C" w:rsidP="00485C7C">
      <w:pPr>
        <w:pStyle w:val="Bibliography"/>
      </w:pPr>
      <w:r>
        <w:t>33</w:t>
      </w:r>
      <w:r>
        <w:tab/>
        <w:t xml:space="preserve">Dashjamts G, Ganzorig A-E, Tsedendorj Y, </w:t>
      </w:r>
      <w:r>
        <w:rPr>
          <w:i/>
          <w:iCs/>
        </w:rPr>
        <w:t>et al.</w:t>
      </w:r>
      <w:r>
        <w:t xml:space="preserve"> Change in Estimated Glomerular Filtration Rate After Direct-Acting Antiviral Treatment in Chronic Hepatitis C Patients. </w:t>
      </w:r>
      <w:r>
        <w:rPr>
          <w:i/>
          <w:iCs/>
        </w:rPr>
        <w:t>Diseases</w:t>
      </w:r>
      <w:r>
        <w:t xml:space="preserve"> 2025; </w:t>
      </w:r>
      <w:r>
        <w:rPr>
          <w:b/>
          <w:bCs/>
        </w:rPr>
        <w:t>13</w:t>
      </w:r>
      <w:r>
        <w:t>. DOI:10.3390/diseases13020026.</w:t>
      </w:r>
    </w:p>
    <w:p w14:paraId="73698FB4" w14:textId="77777777" w:rsidR="00485C7C" w:rsidRDefault="00485C7C" w:rsidP="00485C7C">
      <w:pPr>
        <w:pStyle w:val="Bibliography"/>
      </w:pPr>
      <w:r>
        <w:t>34</w:t>
      </w:r>
      <w:r>
        <w:tab/>
        <w:t xml:space="preserve">Huiban L, Stanciu C, Muzica CM, </w:t>
      </w:r>
      <w:r>
        <w:rPr>
          <w:i/>
          <w:iCs/>
        </w:rPr>
        <w:t>et al.</w:t>
      </w:r>
      <w:r>
        <w:t xml:space="preserve"> Impact of Treatment with Direct Antivirals on Coagulation Parameters in Patients with Hepatitis C Virus-Related Liver Cirrhosis and Sustained Virological Response. </w:t>
      </w:r>
      <w:r>
        <w:rPr>
          <w:i/>
          <w:iCs/>
        </w:rPr>
        <w:t>Medicina</w:t>
      </w:r>
      <w:r>
        <w:t xml:space="preserve"> 2024; </w:t>
      </w:r>
      <w:r>
        <w:rPr>
          <w:b/>
          <w:bCs/>
        </w:rPr>
        <w:t>60</w:t>
      </w:r>
      <w:r>
        <w:t>. DOI:10.3390/medicina60091539.</w:t>
      </w:r>
    </w:p>
    <w:p w14:paraId="33BAEFD1" w14:textId="77777777" w:rsidR="00485C7C" w:rsidRDefault="00485C7C" w:rsidP="00485C7C">
      <w:pPr>
        <w:pStyle w:val="Bibliography"/>
      </w:pPr>
      <w:r>
        <w:t>35</w:t>
      </w:r>
      <w:r>
        <w:tab/>
        <w:t xml:space="preserve">Lee YR, Woo HY, Kweon YO, </w:t>
      </w:r>
      <w:r>
        <w:rPr>
          <w:i/>
          <w:iCs/>
        </w:rPr>
        <w:t>et al.</w:t>
      </w:r>
      <w:r>
        <w:t xml:space="preserve"> Liver Stiffness Measurements After Oral Antivirals Effectively Predict the Risk of HCC in Patients With Chronic Hepatitis C. </w:t>
      </w:r>
      <w:r>
        <w:rPr>
          <w:i/>
          <w:iCs/>
        </w:rPr>
        <w:t>J Gastroenterol Hepatol</w:t>
      </w:r>
      <w:r>
        <w:t xml:space="preserve"> 2025; </w:t>
      </w:r>
      <w:r>
        <w:rPr>
          <w:b/>
          <w:bCs/>
        </w:rPr>
        <w:t>40</w:t>
      </w:r>
      <w:r>
        <w:t>: 2568–79.</w:t>
      </w:r>
    </w:p>
    <w:p w14:paraId="258EEF7B" w14:textId="77777777" w:rsidR="00485C7C" w:rsidRDefault="00485C7C" w:rsidP="00485C7C">
      <w:pPr>
        <w:pStyle w:val="Bibliography"/>
      </w:pPr>
      <w:r>
        <w:t>36</w:t>
      </w:r>
      <w:r>
        <w:tab/>
        <w:t xml:space="preserve">Tao X-M, Zeng M-H, Zhao Y-F, Han J-X, Mi Y-Q, Xu L. Direct-acting antivirals failed to reduce the incidence of hepatocellular carcinoma occurrence in hepatitis C virus associated cirrhosis: A real-world study. </w:t>
      </w:r>
      <w:r>
        <w:rPr>
          <w:i/>
          <w:iCs/>
        </w:rPr>
        <w:t>World Journal of Hepatology</w:t>
      </w:r>
      <w:r>
        <w:t xml:space="preserve"> 2024; </w:t>
      </w:r>
      <w:r>
        <w:rPr>
          <w:b/>
          <w:bCs/>
        </w:rPr>
        <w:t>16</w:t>
      </w:r>
      <w:r>
        <w:t>: 41–53.</w:t>
      </w:r>
    </w:p>
    <w:p w14:paraId="77861141" w14:textId="77777777" w:rsidR="00485C7C" w:rsidRDefault="00485C7C" w:rsidP="00485C7C">
      <w:pPr>
        <w:pStyle w:val="Bibliography"/>
      </w:pPr>
      <w:r>
        <w:t>37</w:t>
      </w:r>
      <w:r>
        <w:tab/>
        <w:t xml:space="preserve">Ou G, Ko HH, Wong A, Feizi J, Ramji A. Sustained Virological Response at 12 Weeks Following Direct-Acting Antiviral for Hepatitis C Infection is Associated with Reduction in Transient Elastography Scores. </w:t>
      </w:r>
      <w:r>
        <w:rPr>
          <w:i/>
          <w:iCs/>
        </w:rPr>
        <w:t>Gastroenterology</w:t>
      </w:r>
      <w:r>
        <w:t xml:space="preserve"> 2017; </w:t>
      </w:r>
      <w:r>
        <w:rPr>
          <w:b/>
          <w:bCs/>
        </w:rPr>
        <w:t>152</w:t>
      </w:r>
      <w:r>
        <w:t>: S1093.</w:t>
      </w:r>
    </w:p>
    <w:p w14:paraId="6D50E711" w14:textId="77777777" w:rsidR="00485C7C" w:rsidRDefault="00485C7C" w:rsidP="00485C7C">
      <w:pPr>
        <w:pStyle w:val="Bibliography"/>
      </w:pPr>
      <w:r>
        <w:t>38</w:t>
      </w:r>
      <w:r>
        <w:tab/>
        <w:t xml:space="preserve">Abdelsameea E, Alsebaey A, Abdel-Samiee M, Abdel-Razek W, Salama M, Waked I. Direct acting antivirals are associated with more liver stiffness regression than pegylated interferon therapy in chronic hepatitis C patients. </w:t>
      </w:r>
      <w:r>
        <w:rPr>
          <w:i/>
          <w:iCs/>
        </w:rPr>
        <w:t>Expert Review of Anti-infective Therapy</w:t>
      </w:r>
      <w:r>
        <w:t xml:space="preserve"> 2021; </w:t>
      </w:r>
      <w:r>
        <w:rPr>
          <w:b/>
          <w:bCs/>
        </w:rPr>
        <w:t>19</w:t>
      </w:r>
      <w:r>
        <w:t>: 1053–9.</w:t>
      </w:r>
    </w:p>
    <w:p w14:paraId="53BD6C23" w14:textId="77777777" w:rsidR="00485C7C" w:rsidRDefault="00485C7C" w:rsidP="00485C7C">
      <w:pPr>
        <w:pStyle w:val="Bibliography"/>
      </w:pPr>
      <w:r>
        <w:t>39</w:t>
      </w:r>
      <w:r>
        <w:tab/>
        <w:t xml:space="preserve">Sriphoosanaphan S, Thanapirom K, Suksawatamnuay S, </w:t>
      </w:r>
      <w:r>
        <w:rPr>
          <w:i/>
          <w:iCs/>
        </w:rPr>
        <w:t>et al.</w:t>
      </w:r>
      <w:r>
        <w:t xml:space="preserve"> Changes in hepatic fibrosis and vitamin D levels after viral hepatitis C eradication using direct-acting antiviral therapy. </w:t>
      </w:r>
      <w:r>
        <w:rPr>
          <w:i/>
          <w:iCs/>
        </w:rPr>
        <w:t>BMC Gastroenterol</w:t>
      </w:r>
      <w:r>
        <w:t xml:space="preserve"> 2020; </w:t>
      </w:r>
      <w:r>
        <w:rPr>
          <w:b/>
          <w:bCs/>
        </w:rPr>
        <w:t>20</w:t>
      </w:r>
      <w:r>
        <w:t>: 346.</w:t>
      </w:r>
    </w:p>
    <w:p w14:paraId="24EA6963" w14:textId="77777777" w:rsidR="00485C7C" w:rsidRDefault="00485C7C" w:rsidP="00485C7C">
      <w:pPr>
        <w:pStyle w:val="Bibliography"/>
      </w:pPr>
      <w:r>
        <w:t>40</w:t>
      </w:r>
      <w:r>
        <w:tab/>
        <w:t xml:space="preserve">Nada A, Ata L, Amer A, Elabd N. Impact of long-term eradication of chronic Hepatitis C infection using the direct-acting antiviral treatment on liver fibrosis parameters in Egyptian patients. </w:t>
      </w:r>
      <w:r>
        <w:rPr>
          <w:i/>
          <w:iCs/>
        </w:rPr>
        <w:t>Medical Journal of Viral Hepatitis</w:t>
      </w:r>
      <w:r>
        <w:t xml:space="preserve"> 2022; </w:t>
      </w:r>
      <w:r>
        <w:rPr>
          <w:b/>
          <w:bCs/>
        </w:rPr>
        <w:t>7.1</w:t>
      </w:r>
      <w:r>
        <w:t>: 21–32.</w:t>
      </w:r>
    </w:p>
    <w:p w14:paraId="4FD9B94E" w14:textId="77777777" w:rsidR="00485C7C" w:rsidRDefault="00485C7C" w:rsidP="00485C7C">
      <w:pPr>
        <w:pStyle w:val="Bibliography"/>
      </w:pPr>
      <w:r>
        <w:t>41</w:t>
      </w:r>
      <w:r>
        <w:tab/>
        <w:t xml:space="preserve">Losurdo G, Iannone A, Contaldo A, </w:t>
      </w:r>
      <w:r>
        <w:rPr>
          <w:i/>
          <w:iCs/>
        </w:rPr>
        <w:t>et al.</w:t>
      </w:r>
      <w:r>
        <w:t xml:space="preserve"> Trends of Liver Stiffness in Inflammatory Bowel Disease with Chronic Hepatitis C. </w:t>
      </w:r>
      <w:r>
        <w:rPr>
          <w:i/>
          <w:iCs/>
        </w:rPr>
        <w:t>Diagnostics</w:t>
      </w:r>
      <w:r>
        <w:t xml:space="preserve"> 2020; </w:t>
      </w:r>
      <w:r>
        <w:rPr>
          <w:b/>
          <w:bCs/>
        </w:rPr>
        <w:t>10</w:t>
      </w:r>
      <w:r>
        <w:t>: 1037.</w:t>
      </w:r>
    </w:p>
    <w:p w14:paraId="6EA6C3F8" w14:textId="77777777" w:rsidR="00485C7C" w:rsidRDefault="00485C7C" w:rsidP="00485C7C">
      <w:pPr>
        <w:pStyle w:val="Bibliography"/>
      </w:pPr>
      <w:r>
        <w:t>42</w:t>
      </w:r>
      <w:r>
        <w:tab/>
        <w:t xml:space="preserve">Noureddin M, Wong MM, Todo T, Lu SC, Sanyal AJ, Mena EA. Fatty liver in hepatitis C patients post-sustained virological response with direct-acting antivirals. </w:t>
      </w:r>
      <w:r>
        <w:rPr>
          <w:i/>
          <w:iCs/>
        </w:rPr>
        <w:t>WJG</w:t>
      </w:r>
      <w:r>
        <w:t xml:space="preserve"> 2018; </w:t>
      </w:r>
      <w:r>
        <w:rPr>
          <w:b/>
          <w:bCs/>
        </w:rPr>
        <w:t>24</w:t>
      </w:r>
      <w:r>
        <w:t>: 1269–77.</w:t>
      </w:r>
    </w:p>
    <w:p w14:paraId="0EB8EABF" w14:textId="77777777" w:rsidR="00485C7C" w:rsidRDefault="00485C7C" w:rsidP="00485C7C">
      <w:pPr>
        <w:pStyle w:val="Bibliography"/>
      </w:pPr>
      <w:r>
        <w:t>43</w:t>
      </w:r>
      <w:r>
        <w:tab/>
        <w:t xml:space="preserve">Mogahed EA, El-Karaksy H, Abdullatif H, </w:t>
      </w:r>
      <w:r>
        <w:rPr>
          <w:i/>
          <w:iCs/>
        </w:rPr>
        <w:t>et al.</w:t>
      </w:r>
      <w:r>
        <w:t xml:space="preserve"> Improvement in Liver Stiffness in Pediatric Patients with Hepatitis C Virus after Treatment with Direct Acting Antivirals. </w:t>
      </w:r>
      <w:r>
        <w:rPr>
          <w:i/>
          <w:iCs/>
        </w:rPr>
        <w:t>The Journal of Pediatrics</w:t>
      </w:r>
      <w:r>
        <w:t xml:space="preserve"> 2021; </w:t>
      </w:r>
      <w:r>
        <w:rPr>
          <w:b/>
          <w:bCs/>
        </w:rPr>
        <w:t>233</w:t>
      </w:r>
      <w:r>
        <w:t>: 126–31.</w:t>
      </w:r>
    </w:p>
    <w:p w14:paraId="6712595B" w14:textId="77777777" w:rsidR="00485C7C" w:rsidRDefault="00485C7C" w:rsidP="00485C7C">
      <w:pPr>
        <w:pStyle w:val="Bibliography"/>
      </w:pPr>
      <w:r>
        <w:t>44</w:t>
      </w:r>
      <w:r>
        <w:tab/>
        <w:t xml:space="preserve">Alswat K, Al-Sohaibani F, Khathlan A, </w:t>
      </w:r>
      <w:r>
        <w:rPr>
          <w:i/>
          <w:iCs/>
        </w:rPr>
        <w:t>et al.</w:t>
      </w:r>
      <w:r>
        <w:t xml:space="preserve"> Hepatic fibrosis changes in patients with chronic hepatitis C infection who respond to direct-acting antivirals. </w:t>
      </w:r>
      <w:r>
        <w:rPr>
          <w:i/>
          <w:iCs/>
        </w:rPr>
        <w:t>Ann Saudi Med</w:t>
      </w:r>
      <w:r>
        <w:t xml:space="preserve"> 2022; </w:t>
      </w:r>
      <w:r>
        <w:rPr>
          <w:b/>
          <w:bCs/>
        </w:rPr>
        <w:t>42</w:t>
      </w:r>
      <w:r>
        <w:t>: 89–95.</w:t>
      </w:r>
    </w:p>
    <w:p w14:paraId="45FAEC33" w14:textId="77777777" w:rsidR="00485C7C" w:rsidRDefault="00485C7C" w:rsidP="00485C7C">
      <w:pPr>
        <w:pStyle w:val="Bibliography"/>
      </w:pPr>
      <w:r>
        <w:t>45</w:t>
      </w:r>
      <w:r>
        <w:tab/>
        <w:t xml:space="preserve">Abdelkader NAA, Ahmed OA, Sherief AF, Kandil DM, Gado MS, Al Balakosy AM. Evaluation of long-term changes of aspartate—platelet ratio index, FIB4, and liver stiffness in chronic hepatitis C patients successfully treated by direct-acting antivirals. </w:t>
      </w:r>
      <w:r>
        <w:rPr>
          <w:i/>
          <w:iCs/>
        </w:rPr>
        <w:t>Egyptian Liver Journal</w:t>
      </w:r>
      <w:r>
        <w:t xml:space="preserve"> 2021; </w:t>
      </w:r>
      <w:r>
        <w:rPr>
          <w:b/>
          <w:bCs/>
        </w:rPr>
        <w:t>11</w:t>
      </w:r>
      <w:r>
        <w:t>: 71.</w:t>
      </w:r>
    </w:p>
    <w:p w14:paraId="464428D5" w14:textId="77777777" w:rsidR="00485C7C" w:rsidRDefault="00485C7C" w:rsidP="00485C7C">
      <w:pPr>
        <w:pStyle w:val="Bibliography"/>
      </w:pPr>
      <w:r>
        <w:t>46</w:t>
      </w:r>
      <w:r>
        <w:tab/>
        <w:t xml:space="preserve">Stasi C, Sadalla S, Carradori E, </w:t>
      </w:r>
      <w:r>
        <w:rPr>
          <w:i/>
          <w:iCs/>
        </w:rPr>
        <w:t>et al.</w:t>
      </w:r>
      <w:r>
        <w:t xml:space="preserve"> Longitudinal evaluation of liver stiffness and outcomes in patients with chronic hepatitis C before and after short- and long-term IFN-free antiviral treatment. </w:t>
      </w:r>
      <w:r>
        <w:rPr>
          <w:i/>
          <w:iCs/>
        </w:rPr>
        <w:t>Current Medical Research and Opinion</w:t>
      </w:r>
      <w:r>
        <w:t xml:space="preserve"> 2020; </w:t>
      </w:r>
      <w:r>
        <w:rPr>
          <w:b/>
          <w:bCs/>
        </w:rPr>
        <w:t>36</w:t>
      </w:r>
      <w:r>
        <w:t>: 245–9.</w:t>
      </w:r>
    </w:p>
    <w:p w14:paraId="3FDF5815" w14:textId="77777777" w:rsidR="00485C7C" w:rsidRDefault="00485C7C" w:rsidP="00485C7C">
      <w:pPr>
        <w:pStyle w:val="Bibliography"/>
      </w:pPr>
      <w:r>
        <w:lastRenderedPageBreak/>
        <w:t>47</w:t>
      </w:r>
      <w:r>
        <w:tab/>
        <w:t xml:space="preserve">Fathalla Khattab A, Ammar I, Mohamed Massoud A. ASSESSMENT OF LIVER FIBROSIS BEFORE AND AFTER DIRECT ACTING ANTIVIRAL THERAPY IN COMPENSATED HCV RELATED LIVER DISEASE. </w:t>
      </w:r>
      <w:r>
        <w:rPr>
          <w:i/>
          <w:iCs/>
        </w:rPr>
        <w:t>Al-Azhar Medical Journal</w:t>
      </w:r>
      <w:r>
        <w:t xml:space="preserve"> 2021; </w:t>
      </w:r>
      <w:r>
        <w:rPr>
          <w:b/>
          <w:bCs/>
        </w:rPr>
        <w:t>50</w:t>
      </w:r>
      <w:r>
        <w:t>: 2931–40.</w:t>
      </w:r>
    </w:p>
    <w:p w14:paraId="7642FC43" w14:textId="77777777" w:rsidR="00485C7C" w:rsidRDefault="00485C7C" w:rsidP="00485C7C">
      <w:pPr>
        <w:pStyle w:val="Bibliography"/>
      </w:pPr>
      <w:r>
        <w:t>48</w:t>
      </w:r>
      <w:r>
        <w:tab/>
        <w:t xml:space="preserve">Hassanin TM, Ibraheem H, Makhlouf M, Mahmoud W, El-Ameen N, Kamal E. Non-invasive Evaluation of Liver Fibrosis Changes in Patients with Chronic </w:t>
      </w:r>
      <w:r>
        <w:rPr>
          <w:rFonts w:hint="cs"/>
          <w:cs/>
        </w:rPr>
        <w:t>‎</w:t>
      </w:r>
      <w:r>
        <w:t xml:space="preserve">Hepatitis C after Directly Acting Antiviral Drugs. </w:t>
      </w:r>
      <w:r>
        <w:rPr>
          <w:i/>
          <w:iCs/>
        </w:rPr>
        <w:t>Afro-Egyptian Journal of Infectious and Endemic Diseases</w:t>
      </w:r>
      <w:r>
        <w:t xml:space="preserve"> 2022; </w:t>
      </w:r>
      <w:r>
        <w:rPr>
          <w:b/>
          <w:bCs/>
        </w:rPr>
        <w:t>12</w:t>
      </w:r>
      <w:r>
        <w:t>: 92–8.</w:t>
      </w:r>
    </w:p>
    <w:p w14:paraId="02D47FFE" w14:textId="77777777" w:rsidR="00485C7C" w:rsidRDefault="00485C7C" w:rsidP="00485C7C">
      <w:pPr>
        <w:pStyle w:val="Bibliography"/>
      </w:pPr>
      <w:r>
        <w:t>49</w:t>
      </w:r>
      <w:r>
        <w:tab/>
        <w:t xml:space="preserve">Peschel G, Grimm J, Buechler C, </w:t>
      </w:r>
      <w:r>
        <w:rPr>
          <w:i/>
          <w:iCs/>
        </w:rPr>
        <w:t>et al.</w:t>
      </w:r>
      <w:r>
        <w:t xml:space="preserve"> Liver stiffness assessed by shear-wave elastography declines in parallel with immunoregulatory proteins in patients with chronic HCV infection during DAA therapy. </w:t>
      </w:r>
      <w:r>
        <w:rPr>
          <w:i/>
          <w:iCs/>
        </w:rPr>
        <w:t>CH</w:t>
      </w:r>
      <w:r>
        <w:t xml:space="preserve"> 2021; </w:t>
      </w:r>
      <w:r>
        <w:rPr>
          <w:b/>
          <w:bCs/>
        </w:rPr>
        <w:t>79</w:t>
      </w:r>
      <w:r>
        <w:t>: 541–55.</w:t>
      </w:r>
    </w:p>
    <w:p w14:paraId="2D3EEB3F" w14:textId="77777777" w:rsidR="00485C7C" w:rsidRDefault="00485C7C" w:rsidP="00485C7C">
      <w:pPr>
        <w:pStyle w:val="Bibliography"/>
      </w:pPr>
      <w:r>
        <w:t>50</w:t>
      </w:r>
      <w:r>
        <w:tab/>
        <w:t xml:space="preserve">Nicoletti A, Ainora ME, Cintoni M, </w:t>
      </w:r>
      <w:r>
        <w:rPr>
          <w:i/>
          <w:iCs/>
        </w:rPr>
        <w:t>et al.</w:t>
      </w:r>
      <w:r>
        <w:t xml:space="preserve"> Dynamics of liver stiffness predicts complications in patients with HCV related cirrhosis treated with direct-acting antivirals. </w:t>
      </w:r>
      <w:r>
        <w:rPr>
          <w:i/>
          <w:iCs/>
        </w:rPr>
        <w:t>Digestive and Liver Disease</w:t>
      </w:r>
      <w:r>
        <w:t xml:space="preserve"> 2023; </w:t>
      </w:r>
      <w:r>
        <w:rPr>
          <w:b/>
          <w:bCs/>
        </w:rPr>
        <w:t>55</w:t>
      </w:r>
      <w:r>
        <w:t>: 1472–9.</w:t>
      </w:r>
    </w:p>
    <w:p w14:paraId="61D39DAA" w14:textId="77777777" w:rsidR="00485C7C" w:rsidRDefault="00485C7C" w:rsidP="00485C7C">
      <w:pPr>
        <w:pStyle w:val="Bibliography"/>
      </w:pPr>
      <w:r>
        <w:t>51</w:t>
      </w:r>
      <w:r>
        <w:tab/>
        <w:t xml:space="preserve">Al-Khattib A, El-Nakeeb A, Musa NI, Dous KBA, Aly H. Noninvasive assessment of hepatic fibrosis regression in hepatitis C virus-infected patients treated with sofosbuvir-based therapy. </w:t>
      </w:r>
      <w:r>
        <w:rPr>
          <w:i/>
          <w:iCs/>
        </w:rPr>
        <w:t>Egypt J Intern Med</w:t>
      </w:r>
      <w:r>
        <w:t xml:space="preserve"> 2019; </w:t>
      </w:r>
      <w:r>
        <w:rPr>
          <w:b/>
          <w:bCs/>
        </w:rPr>
        <w:t>31</w:t>
      </w:r>
      <w:r>
        <w:t>: 556–62.</w:t>
      </w:r>
    </w:p>
    <w:p w14:paraId="0E546212" w14:textId="77777777" w:rsidR="00485C7C" w:rsidRDefault="00485C7C" w:rsidP="00485C7C">
      <w:pPr>
        <w:pStyle w:val="Bibliography"/>
      </w:pPr>
      <w:r>
        <w:t>52</w:t>
      </w:r>
      <w:r>
        <w:tab/>
        <w:t xml:space="preserve">Makhlouf NA, Abdelmalek MO, Ibrahim ME, Abu-Faddan NH, Kheila AE, Mahmoud AA. Ledipasvir/Sofosbuvir in Adolescents With Chronic Hepatitis C Genotype 4 With and Without Hematological Disorders: Virological Efficacy and Impact on Liver Stiffness. </w:t>
      </w:r>
      <w:r>
        <w:rPr>
          <w:i/>
          <w:iCs/>
        </w:rPr>
        <w:t>Journal of the Pediatric Infectious Diseases Society</w:t>
      </w:r>
      <w:r>
        <w:t xml:space="preserve"> 2021; </w:t>
      </w:r>
      <w:r>
        <w:rPr>
          <w:b/>
          <w:bCs/>
        </w:rPr>
        <w:t>10</w:t>
      </w:r>
      <w:r>
        <w:t>: 7–13.</w:t>
      </w:r>
    </w:p>
    <w:p w14:paraId="564301D0" w14:textId="77777777" w:rsidR="00485C7C" w:rsidRDefault="00485C7C" w:rsidP="00485C7C">
      <w:pPr>
        <w:pStyle w:val="Bibliography"/>
      </w:pPr>
      <w:r>
        <w:t>53</w:t>
      </w:r>
      <w:r>
        <w:tab/>
        <w:t xml:space="preserve">Hassan WA, Kamel SI, Mahmoud IAN, Makhlouf N, Moubark M, Hassany SM. Assessment of hepatic fibrosis, portal hemodynamic changes, and disease severity in patients with HCV-related liver cirrhosis after sustained virologic response to direct-acting antiviral drugs (DAAs). </w:t>
      </w:r>
      <w:r>
        <w:rPr>
          <w:i/>
          <w:iCs/>
        </w:rPr>
        <w:t>Egypt Liver Journal</w:t>
      </w:r>
      <w:r>
        <w:t xml:space="preserve"> 2023; </w:t>
      </w:r>
      <w:r>
        <w:rPr>
          <w:b/>
          <w:bCs/>
        </w:rPr>
        <w:t>13</w:t>
      </w:r>
      <w:r>
        <w:t>: 49.</w:t>
      </w:r>
    </w:p>
    <w:p w14:paraId="63A96805" w14:textId="77777777" w:rsidR="00485C7C" w:rsidRDefault="00485C7C" w:rsidP="00485C7C">
      <w:pPr>
        <w:pStyle w:val="Bibliography"/>
      </w:pPr>
      <w:r>
        <w:t>54</w:t>
      </w:r>
      <w:r>
        <w:tab/>
        <w:t xml:space="preserve">Barbosa WF, Andrade VG, Braz AMM, </w:t>
      </w:r>
      <w:r>
        <w:rPr>
          <w:i/>
          <w:iCs/>
        </w:rPr>
        <w:t>et al.</w:t>
      </w:r>
      <w:r>
        <w:t xml:space="preserve"> Cirrhosis regression after SVR with indirect methods of fibrosis analysis: How far is it real? </w:t>
      </w:r>
      <w:r>
        <w:rPr>
          <w:i/>
          <w:iCs/>
        </w:rPr>
        <w:t>Clin Exp Med</w:t>
      </w:r>
      <w:r>
        <w:t xml:space="preserve"> 2022; </w:t>
      </w:r>
      <w:r>
        <w:rPr>
          <w:b/>
          <w:bCs/>
        </w:rPr>
        <w:t>22</w:t>
      </w:r>
      <w:r>
        <w:t>: 269–75.</w:t>
      </w:r>
    </w:p>
    <w:p w14:paraId="75087163" w14:textId="77777777" w:rsidR="00485C7C" w:rsidRDefault="00485C7C" w:rsidP="00485C7C">
      <w:pPr>
        <w:pStyle w:val="Bibliography"/>
      </w:pPr>
      <w:r>
        <w:t>55</w:t>
      </w:r>
      <w:r>
        <w:tab/>
        <w:t xml:space="preserve">Gyotoku Y, Shirahashi R, Suda T, Tamano M. Role of liver stiffness measurements in patients who develop hepatocellular carcinoma after clearance of the hepatitis C virus. </w:t>
      </w:r>
      <w:r>
        <w:rPr>
          <w:i/>
          <w:iCs/>
        </w:rPr>
        <w:t>J Med Ultrasonics</w:t>
      </w:r>
      <w:r>
        <w:t xml:space="preserve"> 2022; </w:t>
      </w:r>
      <w:r>
        <w:rPr>
          <w:b/>
          <w:bCs/>
        </w:rPr>
        <w:t>49</w:t>
      </w:r>
      <w:r>
        <w:t>: 253–9.</w:t>
      </w:r>
    </w:p>
    <w:p w14:paraId="5FF2E08B" w14:textId="77777777" w:rsidR="00485C7C" w:rsidRDefault="00485C7C" w:rsidP="00485C7C">
      <w:pPr>
        <w:pStyle w:val="Bibliography"/>
      </w:pPr>
      <w:r>
        <w:t>56</w:t>
      </w:r>
      <w:r>
        <w:tab/>
        <w:t xml:space="preserve">Kohla MAS, Fayoumi AE, Akl M, </w:t>
      </w:r>
      <w:r>
        <w:rPr>
          <w:i/>
          <w:iCs/>
        </w:rPr>
        <w:t>et al.</w:t>
      </w:r>
      <w:r>
        <w:t xml:space="preserve"> Early fibrosis regression by shear wave elastography after successful direct-acting anti-HCV therapy. </w:t>
      </w:r>
      <w:r>
        <w:rPr>
          <w:i/>
          <w:iCs/>
        </w:rPr>
        <w:t>Clin Exp Med</w:t>
      </w:r>
      <w:r>
        <w:t xml:space="preserve"> 2020; </w:t>
      </w:r>
      <w:r>
        <w:rPr>
          <w:b/>
          <w:bCs/>
        </w:rPr>
        <w:t>20</w:t>
      </w:r>
      <w:r>
        <w:t>: 143–8.</w:t>
      </w:r>
    </w:p>
    <w:p w14:paraId="039D1ED3" w14:textId="77777777" w:rsidR="00485C7C" w:rsidRDefault="00485C7C" w:rsidP="00485C7C">
      <w:pPr>
        <w:pStyle w:val="Bibliography"/>
      </w:pPr>
      <w:r>
        <w:t>57</w:t>
      </w:r>
      <w:r>
        <w:tab/>
        <w:t xml:space="preserve">Inglot M, Pozowski P, Misiak P, </w:t>
      </w:r>
      <w:r>
        <w:rPr>
          <w:i/>
          <w:iCs/>
        </w:rPr>
        <w:t>et al.</w:t>
      </w:r>
      <w:r>
        <w:t xml:space="preserve"> Evaluation of liver fibrosis in HCV-infected patients using two-dimensional shear-wave elastography (2D-SWE) before and after antiviral treatment. </w:t>
      </w:r>
      <w:r>
        <w:rPr>
          <w:i/>
          <w:iCs/>
        </w:rPr>
        <w:t>J Ultrason</w:t>
      </w:r>
      <w:r>
        <w:t xml:space="preserve"> 2024; </w:t>
      </w:r>
      <w:r>
        <w:rPr>
          <w:b/>
          <w:bCs/>
        </w:rPr>
        <w:t>24</w:t>
      </w:r>
      <w:r>
        <w:t>: 1–10.</w:t>
      </w:r>
    </w:p>
    <w:p w14:paraId="3DB42E76" w14:textId="77777777" w:rsidR="00485C7C" w:rsidRDefault="00485C7C" w:rsidP="00485C7C">
      <w:pPr>
        <w:pStyle w:val="Bibliography"/>
      </w:pPr>
      <w:r>
        <w:t>58</w:t>
      </w:r>
      <w:r>
        <w:tab/>
        <w:t xml:space="preserve">Sangineto M, Luglio CV, Mastrofilippo T, </w:t>
      </w:r>
      <w:r>
        <w:rPr>
          <w:i/>
          <w:iCs/>
        </w:rPr>
        <w:t>et al.</w:t>
      </w:r>
      <w:r>
        <w:t xml:space="preserve"> Analysis of hepatic stiffness after viral eradication in a population with chronic hepatitis C treated with DAAs. </w:t>
      </w:r>
      <w:r>
        <w:rPr>
          <w:i/>
          <w:iCs/>
        </w:rPr>
        <w:t>Medicina Clínica</w:t>
      </w:r>
      <w:r>
        <w:t xml:space="preserve"> 2021; </w:t>
      </w:r>
      <w:r>
        <w:rPr>
          <w:b/>
          <w:bCs/>
        </w:rPr>
        <w:t>156</w:t>
      </w:r>
      <w:r>
        <w:t>: 317–23.</w:t>
      </w:r>
    </w:p>
    <w:p w14:paraId="44674C58" w14:textId="77777777" w:rsidR="00485C7C" w:rsidRDefault="00485C7C" w:rsidP="00485C7C">
      <w:pPr>
        <w:pStyle w:val="Bibliography"/>
      </w:pPr>
      <w:r>
        <w:t>59</w:t>
      </w:r>
      <w:r>
        <w:tab/>
        <w:t xml:space="preserve">Putra J, Schiano TD, Fiel MI. Histological assessment of the liver explant in transplanted hepatitis C virus patients achieving sustained virological response with direct-acting antiviral agents. </w:t>
      </w:r>
      <w:r>
        <w:rPr>
          <w:i/>
          <w:iCs/>
        </w:rPr>
        <w:t>Histopathology</w:t>
      </w:r>
      <w:r>
        <w:t xml:space="preserve"> 2018; </w:t>
      </w:r>
      <w:r>
        <w:rPr>
          <w:b/>
          <w:bCs/>
        </w:rPr>
        <w:t>72</w:t>
      </w:r>
      <w:r>
        <w:t>: 990–6.</w:t>
      </w:r>
    </w:p>
    <w:p w14:paraId="49E89FE3" w14:textId="77777777" w:rsidR="00485C7C" w:rsidRDefault="00485C7C" w:rsidP="00485C7C">
      <w:pPr>
        <w:pStyle w:val="Bibliography"/>
      </w:pPr>
      <w:r>
        <w:t>60</w:t>
      </w:r>
      <w:r>
        <w:tab/>
        <w:t xml:space="preserve">Teegen EM, Dürr M, Maurer MM, </w:t>
      </w:r>
      <w:r>
        <w:rPr>
          <w:i/>
          <w:iCs/>
        </w:rPr>
        <w:t>et al.</w:t>
      </w:r>
      <w:r>
        <w:t xml:space="preserve"> Evaluation of histological dynamics, kidney function and diabetes in liver transplant patients after antiviral treatment with direct-acting antivirals: Therapy of HCV-recurrence. </w:t>
      </w:r>
      <w:r>
        <w:rPr>
          <w:i/>
          <w:iCs/>
        </w:rPr>
        <w:t>Transplant Infectious Disease</w:t>
      </w:r>
      <w:r>
        <w:t xml:space="preserve"> 2019; </w:t>
      </w:r>
      <w:r>
        <w:rPr>
          <w:b/>
          <w:bCs/>
        </w:rPr>
        <w:t>21</w:t>
      </w:r>
      <w:r>
        <w:t>: e13020.</w:t>
      </w:r>
    </w:p>
    <w:p w14:paraId="7C4AB216" w14:textId="77777777" w:rsidR="00485C7C" w:rsidRDefault="00485C7C" w:rsidP="00485C7C">
      <w:pPr>
        <w:pStyle w:val="Bibliography"/>
      </w:pPr>
      <w:r>
        <w:t>61</w:t>
      </w:r>
      <w:r>
        <w:tab/>
        <w:t xml:space="preserve">Wang Y, Rao H, Chi X, </w:t>
      </w:r>
      <w:r>
        <w:rPr>
          <w:i/>
          <w:iCs/>
        </w:rPr>
        <w:t>et al.</w:t>
      </w:r>
      <w:r>
        <w:t xml:space="preserve"> Detection of residual HCV-RNA in patients who have achieved sustained virological response is associated with persistent histological abnormality. </w:t>
      </w:r>
      <w:r>
        <w:rPr>
          <w:i/>
          <w:iCs/>
        </w:rPr>
        <w:t>EBioMedicine</w:t>
      </w:r>
      <w:r>
        <w:t xml:space="preserve"> 2019; </w:t>
      </w:r>
      <w:r>
        <w:rPr>
          <w:b/>
          <w:bCs/>
        </w:rPr>
        <w:t>46</w:t>
      </w:r>
      <w:r>
        <w:t>: 227–35.</w:t>
      </w:r>
    </w:p>
    <w:p w14:paraId="589EE20A" w14:textId="77777777" w:rsidR="00485C7C" w:rsidRDefault="00485C7C" w:rsidP="00485C7C">
      <w:pPr>
        <w:pStyle w:val="Bibliography"/>
      </w:pPr>
      <w:r>
        <w:t>62</w:t>
      </w:r>
      <w:r>
        <w:tab/>
        <w:t xml:space="preserve">Cheng C-H, Chu C-Y, Chen H-L, </w:t>
      </w:r>
      <w:r>
        <w:rPr>
          <w:i/>
          <w:iCs/>
        </w:rPr>
        <w:t>et al.</w:t>
      </w:r>
      <w:r>
        <w:t xml:space="preserve"> Direct-acting antiviral therapy of chronic hepatitis C improves liver fibrosis, assessed by histological examination and laboratory markers. </w:t>
      </w:r>
      <w:r>
        <w:rPr>
          <w:i/>
          <w:iCs/>
        </w:rPr>
        <w:t>J Formos Med Assoc</w:t>
      </w:r>
      <w:r>
        <w:t xml:space="preserve"> 2021; </w:t>
      </w:r>
      <w:r>
        <w:rPr>
          <w:b/>
          <w:bCs/>
        </w:rPr>
        <w:t>120</w:t>
      </w:r>
      <w:r>
        <w:t>: 1259–68.</w:t>
      </w:r>
    </w:p>
    <w:p w14:paraId="625270C6" w14:textId="77777777" w:rsidR="00485C7C" w:rsidRDefault="00485C7C" w:rsidP="00485C7C">
      <w:pPr>
        <w:pStyle w:val="Bibliography"/>
      </w:pPr>
      <w:r>
        <w:lastRenderedPageBreak/>
        <w:t>63</w:t>
      </w:r>
      <w:r>
        <w:tab/>
        <w:t xml:space="preserve">Saldarriaga OA, Dye B, Pham J, </w:t>
      </w:r>
      <w:r>
        <w:rPr>
          <w:i/>
          <w:iCs/>
        </w:rPr>
        <w:t>et al.</w:t>
      </w:r>
      <w:r>
        <w:t xml:space="preserve"> Comparison of liver biopsies before and after direct-acting antiviral therapy for hepatitis C and correlation with clinical outcome. </w:t>
      </w:r>
      <w:r>
        <w:rPr>
          <w:i/>
          <w:iCs/>
        </w:rPr>
        <w:t>Sci Rep</w:t>
      </w:r>
      <w:r>
        <w:t xml:space="preserve"> 2021; </w:t>
      </w:r>
      <w:r>
        <w:rPr>
          <w:b/>
          <w:bCs/>
        </w:rPr>
        <w:t>11</w:t>
      </w:r>
      <w:r>
        <w:t>: 14506.</w:t>
      </w:r>
    </w:p>
    <w:p w14:paraId="0FBD3F4A" w14:textId="77777777" w:rsidR="00485C7C" w:rsidRDefault="00485C7C" w:rsidP="00485C7C">
      <w:pPr>
        <w:pStyle w:val="Bibliography"/>
      </w:pPr>
      <w:r>
        <w:t>64</w:t>
      </w:r>
      <w:r>
        <w:tab/>
        <w:t xml:space="preserve">Li X-H, Huang R, Yang M, </w:t>
      </w:r>
      <w:r>
        <w:rPr>
          <w:i/>
          <w:iCs/>
        </w:rPr>
        <w:t>et al.</w:t>
      </w:r>
      <w:r>
        <w:t xml:space="preserve"> Gadolinium-ethoxybenzyl-diethylenetriamine penta-acetic acid-enhanced magnetic resonance imaging for evaluating fibrosis regression in chronic hepatitis C patients after direct-acting antiviral. </w:t>
      </w:r>
      <w:r>
        <w:rPr>
          <w:i/>
          <w:iCs/>
        </w:rPr>
        <w:t>World J Gastroenterol</w:t>
      </w:r>
      <w:r>
        <w:t xml:space="preserve"> 2022; </w:t>
      </w:r>
      <w:r>
        <w:rPr>
          <w:b/>
          <w:bCs/>
        </w:rPr>
        <w:t>28</w:t>
      </w:r>
      <w:r>
        <w:t>: 2214–26.</w:t>
      </w:r>
    </w:p>
    <w:p w14:paraId="6A31A7D0" w14:textId="77777777" w:rsidR="00485C7C" w:rsidRDefault="00485C7C" w:rsidP="00485C7C">
      <w:pPr>
        <w:pStyle w:val="Bibliography"/>
      </w:pPr>
      <w:r>
        <w:t>65</w:t>
      </w:r>
      <w:r>
        <w:tab/>
        <w:t xml:space="preserve">Coilly A, Sebagh M, Fougerou-Leurent C, </w:t>
      </w:r>
      <w:r>
        <w:rPr>
          <w:i/>
          <w:iCs/>
        </w:rPr>
        <w:t>et al.</w:t>
      </w:r>
      <w:r>
        <w:t xml:space="preserve"> HCV eradication does not protect from fibrosis progression in patients with fibrosing cholestatic hepatitis after liver transplantation. </w:t>
      </w:r>
      <w:r>
        <w:rPr>
          <w:i/>
          <w:iCs/>
        </w:rPr>
        <w:t>Clinics and Research in Hepatology and Gastroenterology</w:t>
      </w:r>
      <w:r>
        <w:t xml:space="preserve"> 2022; </w:t>
      </w:r>
      <w:r>
        <w:rPr>
          <w:b/>
          <w:bCs/>
        </w:rPr>
        <w:t>46</w:t>
      </w:r>
      <w:r>
        <w:t>: 102024.</w:t>
      </w:r>
    </w:p>
    <w:p w14:paraId="0DFFBDAB" w14:textId="77777777" w:rsidR="00485C7C" w:rsidRDefault="00485C7C" w:rsidP="00485C7C">
      <w:pPr>
        <w:pStyle w:val="Bibliography"/>
      </w:pPr>
      <w:r>
        <w:t>66</w:t>
      </w:r>
      <w:r>
        <w:tab/>
        <w:t xml:space="preserve">Hsieh M-H, Kao T-Y, Hsieh T-H, </w:t>
      </w:r>
      <w:r>
        <w:rPr>
          <w:i/>
          <w:iCs/>
        </w:rPr>
        <w:t>et al.</w:t>
      </w:r>
      <w:r>
        <w:t xml:space="preserve"> Predictors of liver fibrosis changes assessed by paired liver biopsies in chronic hepatitis C patients treated with direct-acting antivirals. </w:t>
      </w:r>
      <w:r>
        <w:rPr>
          <w:i/>
          <w:iCs/>
        </w:rPr>
        <w:t>Journal of Microbiology, Immunology and Infection</w:t>
      </w:r>
      <w:r>
        <w:t xml:space="preserve"> 2024; </w:t>
      </w:r>
      <w:r>
        <w:rPr>
          <w:b/>
          <w:bCs/>
        </w:rPr>
        <w:t>57</w:t>
      </w:r>
      <w:r>
        <w:t>: 840–53.</w:t>
      </w:r>
    </w:p>
    <w:p w14:paraId="271BFA33" w14:textId="77777777" w:rsidR="00485C7C" w:rsidRDefault="00485C7C" w:rsidP="00485C7C">
      <w:pPr>
        <w:pStyle w:val="Bibliography"/>
      </w:pPr>
      <w:r>
        <w:t>67</w:t>
      </w:r>
      <w:r>
        <w:tab/>
        <w:t xml:space="preserve">Huang R, Rao H, Yang M, </w:t>
      </w:r>
      <w:r>
        <w:rPr>
          <w:i/>
          <w:iCs/>
        </w:rPr>
        <w:t>et al.</w:t>
      </w:r>
      <w:r>
        <w:t xml:space="preserve"> Noninvasive Measurements Predict Liver Fibrosis Well in Hepatitis C Virus Patients After Direct-Acting Antiviral Therapy. </w:t>
      </w:r>
      <w:r>
        <w:rPr>
          <w:i/>
          <w:iCs/>
        </w:rPr>
        <w:t>Dig Dis Sci</w:t>
      </w:r>
      <w:r>
        <w:t xml:space="preserve"> 2020; </w:t>
      </w:r>
      <w:r>
        <w:rPr>
          <w:b/>
          <w:bCs/>
        </w:rPr>
        <w:t>65</w:t>
      </w:r>
      <w:r>
        <w:t>: 1491–500.</w:t>
      </w:r>
    </w:p>
    <w:p w14:paraId="1C331C87" w14:textId="6BA1AC2C" w:rsidR="00B052FE" w:rsidRDefault="00CB73A9" w:rsidP="00C13599">
      <w:pPr>
        <w:pStyle w:val="Bibliography1"/>
        <w:jc w:val="both"/>
        <w:rPr>
          <w:rFonts w:ascii="Calibri" w:hAnsi="Calibri" w:cs="Calibri"/>
        </w:rPr>
      </w:pPr>
      <w:r w:rsidRPr="00C13599">
        <w:rPr>
          <w:sz w:val="20"/>
          <w:szCs w:val="20"/>
        </w:rPr>
        <w:fldChar w:fldCharType="end"/>
      </w:r>
    </w:p>
    <w:sectPr w:rsidR="00B052F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F7CC8" w14:textId="77777777" w:rsidR="000C5135" w:rsidRDefault="000C5135">
      <w:r>
        <w:separator/>
      </w:r>
    </w:p>
  </w:endnote>
  <w:endnote w:type="continuationSeparator" w:id="0">
    <w:p w14:paraId="5044DD09" w14:textId="77777777" w:rsidR="000C5135" w:rsidRDefault="000C5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rial MT">
    <w:altName w:val="Arial"/>
    <w:charset w:val="01"/>
    <w:family w:val="swiss"/>
    <w:pitch w:val="default"/>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875896"/>
    </w:sdtPr>
    <w:sdtContent>
      <w:p w14:paraId="1C11207B" w14:textId="77777777" w:rsidR="00B052FE" w:rsidRDefault="00CB73A9">
        <w:pPr>
          <w:pStyle w:val="Footer"/>
          <w:jc w:val="right"/>
        </w:pPr>
        <w:r>
          <w:fldChar w:fldCharType="begin"/>
        </w:r>
        <w:r>
          <w:instrText xml:space="preserve"> PAGE   \* MERGEFORMAT </w:instrText>
        </w:r>
        <w:r>
          <w:fldChar w:fldCharType="separate"/>
        </w:r>
        <w:r>
          <w:t>2</w:t>
        </w:r>
        <w:r>
          <w:fldChar w:fldCharType="end"/>
        </w:r>
      </w:p>
    </w:sdtContent>
  </w:sdt>
  <w:p w14:paraId="5817D32B" w14:textId="77777777" w:rsidR="00B052FE" w:rsidRDefault="00B052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2B305" w14:textId="77777777" w:rsidR="000C5135" w:rsidRDefault="000C5135">
      <w:r>
        <w:separator/>
      </w:r>
    </w:p>
  </w:footnote>
  <w:footnote w:type="continuationSeparator" w:id="0">
    <w:p w14:paraId="583908DD" w14:textId="77777777" w:rsidR="000C5135" w:rsidRDefault="000C5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337D3"/>
    <w:multiLevelType w:val="multilevel"/>
    <w:tmpl w:val="BCFA53FA"/>
    <w:lvl w:ilvl="0">
      <w:start w:val="1"/>
      <w:numFmt w:val="decimal"/>
      <w:lvlText w:val="%1)"/>
      <w:lvlJc w:val="left"/>
      <w:pPr>
        <w:ind w:left="720" w:hanging="360"/>
      </w:pPr>
      <w:rPr>
        <w:rFonts w:hint="default"/>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A07BA5"/>
    <w:multiLevelType w:val="hybridMultilevel"/>
    <w:tmpl w:val="C7940606"/>
    <w:lvl w:ilvl="0" w:tplc="21F64440">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E5E0D88"/>
    <w:multiLevelType w:val="multilevel"/>
    <w:tmpl w:val="2E5E0D8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DC04256"/>
    <w:multiLevelType w:val="hybridMultilevel"/>
    <w:tmpl w:val="730047E2"/>
    <w:lvl w:ilvl="0" w:tplc="0C24081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E2C6362"/>
    <w:multiLevelType w:val="hybridMultilevel"/>
    <w:tmpl w:val="B8F41926"/>
    <w:lvl w:ilvl="0" w:tplc="2C5C362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5B325B85"/>
    <w:multiLevelType w:val="multilevel"/>
    <w:tmpl w:val="5B325B8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84D7864"/>
    <w:multiLevelType w:val="multilevel"/>
    <w:tmpl w:val="CCF092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8DA1FE9"/>
    <w:multiLevelType w:val="hybridMultilevel"/>
    <w:tmpl w:val="DA3E19BA"/>
    <w:lvl w:ilvl="0" w:tplc="821615E8">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7ACE0FD8"/>
    <w:multiLevelType w:val="multilevel"/>
    <w:tmpl w:val="63A2DD10"/>
    <w:lvl w:ilvl="0">
      <w:start w:val="1"/>
      <w:numFmt w:val="decimal"/>
      <w:lvlText w:val="%1)"/>
      <w:lvlJc w:val="left"/>
      <w:pPr>
        <w:ind w:left="720" w:hanging="360"/>
      </w:pPr>
      <w:rPr>
        <w:rFonts w:hint="default"/>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76248979">
    <w:abstractNumId w:val="5"/>
  </w:num>
  <w:num w:numId="2" w16cid:durableId="870454958">
    <w:abstractNumId w:val="2"/>
  </w:num>
  <w:num w:numId="3" w16cid:durableId="974792702">
    <w:abstractNumId w:val="8"/>
  </w:num>
  <w:num w:numId="4" w16cid:durableId="1496140079">
    <w:abstractNumId w:val="6"/>
  </w:num>
  <w:num w:numId="5" w16cid:durableId="1214006534">
    <w:abstractNumId w:val="0"/>
  </w:num>
  <w:num w:numId="6" w16cid:durableId="17440030">
    <w:abstractNumId w:val="7"/>
  </w:num>
  <w:num w:numId="7" w16cid:durableId="1298300753">
    <w:abstractNumId w:val="4"/>
  </w:num>
  <w:num w:numId="8" w16cid:durableId="392388353">
    <w:abstractNumId w:val="3"/>
  </w:num>
  <w:num w:numId="9" w16cid:durableId="161169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A91"/>
    <w:rsid w:val="00000ED4"/>
    <w:rsid w:val="00006455"/>
    <w:rsid w:val="00036696"/>
    <w:rsid w:val="0004265A"/>
    <w:rsid w:val="00045D2B"/>
    <w:rsid w:val="000529ED"/>
    <w:rsid w:val="00065054"/>
    <w:rsid w:val="00091C7E"/>
    <w:rsid w:val="00096263"/>
    <w:rsid w:val="0009703C"/>
    <w:rsid w:val="000C5135"/>
    <w:rsid w:val="000D340B"/>
    <w:rsid w:val="000D368D"/>
    <w:rsid w:val="000D75D8"/>
    <w:rsid w:val="000E66B2"/>
    <w:rsid w:val="00105E0D"/>
    <w:rsid w:val="00107C03"/>
    <w:rsid w:val="00116234"/>
    <w:rsid w:val="0012039D"/>
    <w:rsid w:val="0013016D"/>
    <w:rsid w:val="00131373"/>
    <w:rsid w:val="001351DE"/>
    <w:rsid w:val="00136268"/>
    <w:rsid w:val="001458EE"/>
    <w:rsid w:val="0014673F"/>
    <w:rsid w:val="00167AE6"/>
    <w:rsid w:val="00170CC0"/>
    <w:rsid w:val="00175ADB"/>
    <w:rsid w:val="00186A9A"/>
    <w:rsid w:val="001B1A50"/>
    <w:rsid w:val="001D21A6"/>
    <w:rsid w:val="001E02D7"/>
    <w:rsid w:val="001E194F"/>
    <w:rsid w:val="001E59BD"/>
    <w:rsid w:val="001E74A7"/>
    <w:rsid w:val="001F71F2"/>
    <w:rsid w:val="0020490E"/>
    <w:rsid w:val="00205B51"/>
    <w:rsid w:val="002208D1"/>
    <w:rsid w:val="00234610"/>
    <w:rsid w:val="002437EE"/>
    <w:rsid w:val="00266A13"/>
    <w:rsid w:val="00267A71"/>
    <w:rsid w:val="00274B66"/>
    <w:rsid w:val="002C3549"/>
    <w:rsid w:val="002D1CF8"/>
    <w:rsid w:val="002E012D"/>
    <w:rsid w:val="0030090C"/>
    <w:rsid w:val="00306752"/>
    <w:rsid w:val="0030706A"/>
    <w:rsid w:val="00310A1B"/>
    <w:rsid w:val="00310C4C"/>
    <w:rsid w:val="003350B6"/>
    <w:rsid w:val="003401E2"/>
    <w:rsid w:val="003457BA"/>
    <w:rsid w:val="00355BE2"/>
    <w:rsid w:val="0037123E"/>
    <w:rsid w:val="003758D4"/>
    <w:rsid w:val="00381C4D"/>
    <w:rsid w:val="00390598"/>
    <w:rsid w:val="00394818"/>
    <w:rsid w:val="003A6BE2"/>
    <w:rsid w:val="003B2A91"/>
    <w:rsid w:val="003B69BD"/>
    <w:rsid w:val="003B7EE3"/>
    <w:rsid w:val="003C0133"/>
    <w:rsid w:val="003C3417"/>
    <w:rsid w:val="003C726B"/>
    <w:rsid w:val="003D1233"/>
    <w:rsid w:val="003D5079"/>
    <w:rsid w:val="003E5F70"/>
    <w:rsid w:val="003F19D9"/>
    <w:rsid w:val="00403B6E"/>
    <w:rsid w:val="00410789"/>
    <w:rsid w:val="004133D6"/>
    <w:rsid w:val="004265F1"/>
    <w:rsid w:val="004341DA"/>
    <w:rsid w:val="004543CA"/>
    <w:rsid w:val="00462BB2"/>
    <w:rsid w:val="00485C7C"/>
    <w:rsid w:val="00490B09"/>
    <w:rsid w:val="004964E6"/>
    <w:rsid w:val="00497297"/>
    <w:rsid w:val="004B18E4"/>
    <w:rsid w:val="004B2768"/>
    <w:rsid w:val="004C198F"/>
    <w:rsid w:val="004C48F9"/>
    <w:rsid w:val="004D6E5E"/>
    <w:rsid w:val="00503733"/>
    <w:rsid w:val="005163BD"/>
    <w:rsid w:val="005234E5"/>
    <w:rsid w:val="00525026"/>
    <w:rsid w:val="00570FB6"/>
    <w:rsid w:val="0057689A"/>
    <w:rsid w:val="00581696"/>
    <w:rsid w:val="00590982"/>
    <w:rsid w:val="005A7B31"/>
    <w:rsid w:val="005A7B3A"/>
    <w:rsid w:val="005B4228"/>
    <w:rsid w:val="005B6C31"/>
    <w:rsid w:val="005E051F"/>
    <w:rsid w:val="006070A4"/>
    <w:rsid w:val="00617B89"/>
    <w:rsid w:val="00627214"/>
    <w:rsid w:val="006360EA"/>
    <w:rsid w:val="00656E67"/>
    <w:rsid w:val="00683502"/>
    <w:rsid w:val="006C21BE"/>
    <w:rsid w:val="006D3AF2"/>
    <w:rsid w:val="006E79BA"/>
    <w:rsid w:val="0070476B"/>
    <w:rsid w:val="00714CA3"/>
    <w:rsid w:val="00743437"/>
    <w:rsid w:val="00752678"/>
    <w:rsid w:val="00754576"/>
    <w:rsid w:val="00760208"/>
    <w:rsid w:val="00773508"/>
    <w:rsid w:val="00781724"/>
    <w:rsid w:val="00785D75"/>
    <w:rsid w:val="00786404"/>
    <w:rsid w:val="00791E52"/>
    <w:rsid w:val="007927B1"/>
    <w:rsid w:val="007927E1"/>
    <w:rsid w:val="007B6172"/>
    <w:rsid w:val="007C0024"/>
    <w:rsid w:val="007C5462"/>
    <w:rsid w:val="007F015E"/>
    <w:rsid w:val="00800303"/>
    <w:rsid w:val="00811C04"/>
    <w:rsid w:val="008142B9"/>
    <w:rsid w:val="00815CCE"/>
    <w:rsid w:val="00820ABE"/>
    <w:rsid w:val="008253F5"/>
    <w:rsid w:val="00834A33"/>
    <w:rsid w:val="00837613"/>
    <w:rsid w:val="00844B98"/>
    <w:rsid w:val="0086257A"/>
    <w:rsid w:val="00875C26"/>
    <w:rsid w:val="00887BA3"/>
    <w:rsid w:val="008B054E"/>
    <w:rsid w:val="008B082A"/>
    <w:rsid w:val="008B70F8"/>
    <w:rsid w:val="008C3755"/>
    <w:rsid w:val="008D39C3"/>
    <w:rsid w:val="008D3E79"/>
    <w:rsid w:val="008E4838"/>
    <w:rsid w:val="008E5395"/>
    <w:rsid w:val="00930AB3"/>
    <w:rsid w:val="009334E2"/>
    <w:rsid w:val="00935DDE"/>
    <w:rsid w:val="00940C67"/>
    <w:rsid w:val="00942137"/>
    <w:rsid w:val="00942287"/>
    <w:rsid w:val="00942991"/>
    <w:rsid w:val="00946687"/>
    <w:rsid w:val="00947AC8"/>
    <w:rsid w:val="009746C7"/>
    <w:rsid w:val="00991347"/>
    <w:rsid w:val="0099156D"/>
    <w:rsid w:val="009B17EA"/>
    <w:rsid w:val="009D6B69"/>
    <w:rsid w:val="009E344C"/>
    <w:rsid w:val="00A1279A"/>
    <w:rsid w:val="00A364D6"/>
    <w:rsid w:val="00A4516F"/>
    <w:rsid w:val="00A57E40"/>
    <w:rsid w:val="00A619F0"/>
    <w:rsid w:val="00A66BBA"/>
    <w:rsid w:val="00A76B6D"/>
    <w:rsid w:val="00A77103"/>
    <w:rsid w:val="00A8198A"/>
    <w:rsid w:val="00A85322"/>
    <w:rsid w:val="00A92CA2"/>
    <w:rsid w:val="00AA52DF"/>
    <w:rsid w:val="00AA7D9A"/>
    <w:rsid w:val="00AC2F27"/>
    <w:rsid w:val="00AC4402"/>
    <w:rsid w:val="00AD7F66"/>
    <w:rsid w:val="00AF31A6"/>
    <w:rsid w:val="00AF6DCF"/>
    <w:rsid w:val="00AF701B"/>
    <w:rsid w:val="00B00E43"/>
    <w:rsid w:val="00B052FE"/>
    <w:rsid w:val="00B06905"/>
    <w:rsid w:val="00B12809"/>
    <w:rsid w:val="00B201A4"/>
    <w:rsid w:val="00B56B1A"/>
    <w:rsid w:val="00B6046E"/>
    <w:rsid w:val="00B85F3A"/>
    <w:rsid w:val="00BA483A"/>
    <w:rsid w:val="00BC55D9"/>
    <w:rsid w:val="00BD1356"/>
    <w:rsid w:val="00BD5A0E"/>
    <w:rsid w:val="00BE325E"/>
    <w:rsid w:val="00BF4CDB"/>
    <w:rsid w:val="00C03A7C"/>
    <w:rsid w:val="00C13109"/>
    <w:rsid w:val="00C13599"/>
    <w:rsid w:val="00C33C26"/>
    <w:rsid w:val="00C54733"/>
    <w:rsid w:val="00C574E9"/>
    <w:rsid w:val="00C662C2"/>
    <w:rsid w:val="00C71280"/>
    <w:rsid w:val="00C75D67"/>
    <w:rsid w:val="00C87882"/>
    <w:rsid w:val="00C92F76"/>
    <w:rsid w:val="00CB73A9"/>
    <w:rsid w:val="00CD08D4"/>
    <w:rsid w:val="00CD5CE4"/>
    <w:rsid w:val="00CE04A4"/>
    <w:rsid w:val="00CE5FA7"/>
    <w:rsid w:val="00CE6807"/>
    <w:rsid w:val="00CF12CD"/>
    <w:rsid w:val="00CF40DB"/>
    <w:rsid w:val="00D04767"/>
    <w:rsid w:val="00D1732D"/>
    <w:rsid w:val="00D3098E"/>
    <w:rsid w:val="00D47750"/>
    <w:rsid w:val="00D53776"/>
    <w:rsid w:val="00D73069"/>
    <w:rsid w:val="00D749B5"/>
    <w:rsid w:val="00D85D11"/>
    <w:rsid w:val="00D876DD"/>
    <w:rsid w:val="00DA37D6"/>
    <w:rsid w:val="00DC0183"/>
    <w:rsid w:val="00DD12C8"/>
    <w:rsid w:val="00DD2986"/>
    <w:rsid w:val="00DD324E"/>
    <w:rsid w:val="00DD4F63"/>
    <w:rsid w:val="00DE3AAF"/>
    <w:rsid w:val="00DE3B9E"/>
    <w:rsid w:val="00DE4480"/>
    <w:rsid w:val="00DE6EF4"/>
    <w:rsid w:val="00DF2D12"/>
    <w:rsid w:val="00E20B89"/>
    <w:rsid w:val="00E376B9"/>
    <w:rsid w:val="00E40DF2"/>
    <w:rsid w:val="00E4391F"/>
    <w:rsid w:val="00E55507"/>
    <w:rsid w:val="00E6640F"/>
    <w:rsid w:val="00E840D7"/>
    <w:rsid w:val="00E907CF"/>
    <w:rsid w:val="00EA5A8D"/>
    <w:rsid w:val="00ED03F2"/>
    <w:rsid w:val="00F030BF"/>
    <w:rsid w:val="00F06E02"/>
    <w:rsid w:val="00F06EA0"/>
    <w:rsid w:val="00F076C5"/>
    <w:rsid w:val="00F07C2C"/>
    <w:rsid w:val="00F26C30"/>
    <w:rsid w:val="00F53068"/>
    <w:rsid w:val="00F72FC0"/>
    <w:rsid w:val="00F73BBC"/>
    <w:rsid w:val="00F74392"/>
    <w:rsid w:val="00F75BC0"/>
    <w:rsid w:val="00F82A17"/>
    <w:rsid w:val="00F93919"/>
    <w:rsid w:val="00F96658"/>
    <w:rsid w:val="00FA0C74"/>
    <w:rsid w:val="00FA43FE"/>
    <w:rsid w:val="00FB68B8"/>
    <w:rsid w:val="00FC3092"/>
    <w:rsid w:val="00FC45C0"/>
    <w:rsid w:val="00FC5826"/>
    <w:rsid w:val="00FF1213"/>
    <w:rsid w:val="00FF1779"/>
    <w:rsid w:val="00FF77B6"/>
    <w:rsid w:val="7DEDB2B3"/>
    <w:rsid w:val="7EBF34FA"/>
    <w:rsid w:val="93AB5F4C"/>
  </w:rsids>
  <m:mathPr>
    <m:mathFont m:val="Cambria Math"/>
    <m:brkBin m:val="before"/>
    <m:brkBinSub m:val="--"/>
    <m:smallFrac m:val="0"/>
    <m:dispDef/>
    <m:lMargin m:val="0"/>
    <m:rMargin m:val="0"/>
    <m:defJc m:val="centerGroup"/>
    <m:wrapIndent m:val="1440"/>
    <m:intLim m:val="subSup"/>
    <m:naryLim m:val="undOvr"/>
  </m:mathPr>
  <w:themeFontLang w:val="en-IN"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D174A02"/>
  <w15:docId w15:val="{D3AC0BB7-72C3-4800-A9FB-9AE3F9894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I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1BE"/>
    <w:rPr>
      <w:rFonts w:ascii="Times New Roman" w:eastAsia="Times New Roman" w:hAnsi="Times New Roman" w:cs="Times New Roman"/>
      <w:sz w:val="24"/>
      <w:szCs w:val="24"/>
    </w:rPr>
  </w:style>
  <w:style w:type="paragraph" w:styleId="Heading4">
    <w:name w:val="heading 4"/>
    <w:basedOn w:val="Normal"/>
    <w:link w:val="Heading4Char"/>
    <w:uiPriority w:val="9"/>
    <w:qFormat/>
    <w:pPr>
      <w:spacing w:before="100" w:beforeAutospacing="1" w:after="100" w:afterAutospacing="1"/>
      <w:outlineLvl w:val="3"/>
    </w:pPr>
    <w:rPr>
      <w:rFonts w:eastAsiaTheme="minorEastAsia"/>
      <w:b/>
      <w:bCs/>
      <w:lang w:eastAsia="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513"/>
        <w:tab w:val="right" w:pos="9026"/>
      </w:tabs>
    </w:pPr>
  </w:style>
  <w:style w:type="paragraph" w:styleId="Header">
    <w:name w:val="header"/>
    <w:basedOn w:val="Normal"/>
    <w:link w:val="HeaderChar"/>
    <w:uiPriority w:val="99"/>
    <w:unhideWhenUsed/>
    <w:pPr>
      <w:tabs>
        <w:tab w:val="center" w:pos="4513"/>
        <w:tab w:val="right" w:pos="9026"/>
      </w:tabs>
    </w:pPr>
  </w:style>
  <w:style w:type="paragraph" w:styleId="NormalWeb">
    <w:name w:val="Normal (Web)"/>
    <w:basedOn w:val="Normal"/>
    <w:uiPriority w:val="99"/>
    <w:unhideWhenUsed/>
    <w:pPr>
      <w:spacing w:before="100" w:beforeAutospacing="1" w:after="100" w:afterAutospacing="1"/>
    </w:pPr>
    <w:rPr>
      <w:lang w:eastAsia="en-IN"/>
    </w:rPr>
  </w:style>
  <w:style w:type="table" w:styleId="TableGrid">
    <w:name w:val="Table Grid"/>
    <w:basedOn w:val="TableNormal"/>
    <w:uiPriority w:val="39"/>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Pr>
      <w:sz w:val="22"/>
      <w:szCs w:val="22"/>
      <w:lang w:val="en-US" w:eastAsia="en-US"/>
    </w:rPr>
  </w:style>
  <w:style w:type="paragraph" w:customStyle="1" w:styleId="TableParagraph">
    <w:name w:val="Table Paragraph"/>
    <w:basedOn w:val="Normal"/>
    <w:uiPriority w:val="1"/>
    <w:qFormat/>
    <w:pPr>
      <w:widowControl w:val="0"/>
      <w:autoSpaceDE w:val="0"/>
      <w:autoSpaceDN w:val="0"/>
      <w:spacing w:before="38"/>
    </w:pPr>
    <w:rPr>
      <w:rFonts w:ascii="Arial MT" w:eastAsia="Arial MT" w:hAnsi="Arial MT" w:cs="Arial MT"/>
    </w:rPr>
  </w:style>
  <w:style w:type="paragraph" w:customStyle="1" w:styleId="Default">
    <w:name w:val="Defaul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Bibliography1">
    <w:name w:val="Bibliography1"/>
    <w:basedOn w:val="Normal"/>
    <w:next w:val="Normal"/>
    <w:uiPriority w:val="37"/>
    <w:unhideWhenUsed/>
    <w:pPr>
      <w:tabs>
        <w:tab w:val="left" w:pos="264"/>
      </w:tabs>
      <w:spacing w:after="240"/>
      <w:ind w:left="264" w:hanging="264"/>
    </w:pPr>
  </w:style>
  <w:style w:type="character" w:customStyle="1" w:styleId="HeaderChar">
    <w:name w:val="Header Char"/>
    <w:basedOn w:val="DefaultParagraphFont"/>
    <w:link w:val="Header"/>
    <w:uiPriority w:val="99"/>
    <w:rPr>
      <w:kern w:val="0"/>
      <w:lang w:val="en-GB"/>
      <w14:ligatures w14:val="none"/>
    </w:rPr>
  </w:style>
  <w:style w:type="character" w:customStyle="1" w:styleId="FooterChar">
    <w:name w:val="Footer Char"/>
    <w:basedOn w:val="DefaultParagraphFont"/>
    <w:link w:val="Footer"/>
    <w:uiPriority w:val="99"/>
    <w:rPr>
      <w:kern w:val="0"/>
      <w:lang w:val="en-GB"/>
      <w14:ligatures w14:val="none"/>
    </w:rPr>
  </w:style>
  <w:style w:type="character" w:customStyle="1" w:styleId="Heading4Char">
    <w:name w:val="Heading 4 Char"/>
    <w:basedOn w:val="DefaultParagraphFont"/>
    <w:link w:val="Heading4"/>
    <w:uiPriority w:val="9"/>
    <w:rPr>
      <w:rFonts w:ascii="Times New Roman" w:eastAsiaTheme="minorEastAsia" w:hAnsi="Times New Roman" w:cs="Times New Roman"/>
      <w:b/>
      <w:bCs/>
      <w:kern w:val="0"/>
      <w:sz w:val="24"/>
      <w:szCs w:val="24"/>
      <w:lang w:eastAsia="en-IN"/>
    </w:rPr>
  </w:style>
  <w:style w:type="paragraph" w:customStyle="1" w:styleId="sof-title">
    <w:name w:val="sof-title"/>
    <w:basedOn w:val="Normal"/>
    <w:pPr>
      <w:spacing w:before="100" w:beforeAutospacing="1" w:after="100" w:afterAutospacing="1"/>
    </w:pPr>
    <w:rPr>
      <w:rFonts w:eastAsiaTheme="minorEastAsia"/>
      <w:lang w:eastAsia="en-IN"/>
      <w14:ligatures w14:val="standardContextual"/>
    </w:rPr>
  </w:style>
  <w:style w:type="character" w:customStyle="1" w:styleId="label">
    <w:name w:val="label"/>
    <w:basedOn w:val="DefaultParagraphFont"/>
  </w:style>
  <w:style w:type="character" w:customStyle="1" w:styleId="cell-value">
    <w:name w:val="cell-value"/>
    <w:basedOn w:val="DefaultParagraphFont"/>
  </w:style>
  <w:style w:type="character" w:customStyle="1" w:styleId="quality-sign">
    <w:name w:val="quality-sign"/>
    <w:basedOn w:val="DefaultParagraphFont"/>
  </w:style>
  <w:style w:type="character" w:customStyle="1" w:styleId="quality-text">
    <w:name w:val="quality-text"/>
    <w:basedOn w:val="DefaultParagraphFont"/>
  </w:style>
  <w:style w:type="character" w:customStyle="1" w:styleId="comma">
    <w:name w:val="comma"/>
    <w:basedOn w:val="DefaultParagraphFont"/>
  </w:style>
  <w:style w:type="character" w:customStyle="1" w:styleId="cell">
    <w:name w:val="cell"/>
    <w:basedOn w:val="DefaultParagraphFont"/>
  </w:style>
  <w:style w:type="character" w:customStyle="1" w:styleId="block">
    <w:name w:val="block"/>
    <w:basedOn w:val="DefaultParagraphFont"/>
  </w:style>
  <w:style w:type="paragraph" w:customStyle="1" w:styleId="Revision1">
    <w:name w:val="Revision1"/>
    <w:hidden/>
    <w:uiPriority w:val="99"/>
    <w:semiHidden/>
    <w:rPr>
      <w:sz w:val="22"/>
      <w:szCs w:val="22"/>
      <w:lang w:val="en-GB" w:eastAsia="en-US"/>
    </w:rPr>
  </w:style>
  <w:style w:type="paragraph" w:styleId="ListParagraph">
    <w:name w:val="List Paragraph"/>
    <w:basedOn w:val="Normal"/>
    <w:uiPriority w:val="34"/>
    <w:qFormat/>
    <w:pPr>
      <w:ind w:left="720"/>
      <w:contextualSpacing/>
    </w:pPr>
  </w:style>
  <w:style w:type="paragraph" w:styleId="Bibliography">
    <w:name w:val="Bibliography"/>
    <w:basedOn w:val="Normal"/>
    <w:next w:val="Normal"/>
    <w:uiPriority w:val="37"/>
    <w:unhideWhenUsed/>
    <w:rsid w:val="00131373"/>
  </w:style>
  <w:style w:type="paragraph" w:styleId="Revision">
    <w:name w:val="Revision"/>
    <w:hidden/>
    <w:uiPriority w:val="99"/>
    <w:unhideWhenUsed/>
    <w:rsid w:val="00C13109"/>
    <w:rPr>
      <w:rFonts w:ascii="Times New Roman" w:eastAsia="Times New Roman" w:hAnsi="Times New Roman" w:cs="Times New Roman"/>
      <w:sz w:val="24"/>
      <w:szCs w:val="24"/>
    </w:rPr>
  </w:style>
  <w:style w:type="character" w:styleId="PlaceholderText">
    <w:name w:val="Placeholder Text"/>
    <w:basedOn w:val="DefaultParagraphFont"/>
    <w:uiPriority w:val="99"/>
    <w:unhideWhenUsed/>
    <w:rsid w:val="005B6C31"/>
    <w:rPr>
      <w:color w:val="666666"/>
    </w:rPr>
  </w:style>
  <w:style w:type="character" w:styleId="Strong">
    <w:name w:val="Strong"/>
    <w:basedOn w:val="DefaultParagraphFont"/>
    <w:uiPriority w:val="22"/>
    <w:qFormat/>
    <w:rsid w:val="006C21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C275BE56-132A-F04E-AC1F-0247738F4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39076</Words>
  <Characters>222737</Characters>
  <Application>Microsoft Office Word</Application>
  <DocSecurity>0</DocSecurity>
  <Lines>1856</Lines>
  <Paragraphs>522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Shreyasi Athalye</dc:creator>
  <cp:keywords/>
  <dc:description/>
  <cp:lastModifiedBy>Shreyasi Athalye</cp:lastModifiedBy>
  <cp:revision>2</cp:revision>
  <dcterms:created xsi:type="dcterms:W3CDTF">2026-08-24T10:21:00Z</dcterms:created>
  <dcterms:modified xsi:type="dcterms:W3CDTF">2026-08-24T10:21:00Z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id="OaY9A3OX"/&gt;&lt;style id="http://www.zotero.org/styles/the-lancet" hasBibliography="1" bibliographyStyleHasBeenSet="1"/&gt;&lt;prefs&gt;&lt;pref name="fieldType" value="Field"/&gt;&lt;pref name="dontAskDelayCitationUpd</vt:lpwstr>
  </property>
  <property fmtid="{D5CDD505-2E9C-101B-9397-08002B2CF9AE}" pid="3" name="GrammarlyDocumentId">
    <vt:lpwstr>ce03408ef314061b846e40abfc498c2b865b43e7d9c9240a3ea754b9567d7507</vt:lpwstr>
  </property>
  <property fmtid="{D5CDD505-2E9C-101B-9397-08002B2CF9AE}" pid="4" name="KSOProductBuildVer">
    <vt:lpwstr>1033-12.1.21937.21937</vt:lpwstr>
  </property>
  <property fmtid="{D5CDD505-2E9C-101B-9397-08002B2CF9AE}" pid="5" name="ICV">
    <vt:lpwstr>533A681305ABB8AD9EE0A268AD89DB9D_42</vt:lpwstr>
  </property>
  <property fmtid="{D5CDD505-2E9C-101B-9397-08002B2CF9AE}" pid="6" name="ZOTERO_PREF_2">
    <vt:lpwstr>ates" value="true"/&gt;&lt;/prefs&gt;&lt;/data&gt;</vt:lpwstr>
  </property>
</Properties>
</file>