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FB4EC" w14:textId="77777777" w:rsidR="00F50F59" w:rsidRDefault="00F50F59" w:rsidP="00F50F59">
      <w:pPr>
        <w:keepNext/>
        <w:keepLines/>
        <w:spacing w:after="100"/>
      </w:pPr>
      <w:r>
        <w:rPr>
          <w:b/>
          <w:color w:val="000000"/>
          <w:sz w:val="22"/>
        </w:rPr>
        <w:t>Supplementary Table S1 | Clinicopathological characteristics by CEMIP group</w:t>
      </w:r>
    </w:p>
    <w:p w14:paraId="7B9C8F6F" w14:textId="77777777" w:rsidR="00F50F59" w:rsidRDefault="00F50F59" w:rsidP="00F50F59">
      <w:pPr>
        <w:keepNext/>
        <w:spacing w:after="100"/>
      </w:pPr>
      <w:r>
        <w:rPr>
          <w:i/>
          <w:color w:val="555555"/>
          <w:sz w:val="17"/>
        </w:rPr>
        <w:t>Data are median (interquartile range), Kaplan-Meier median (95% CI), or n (%).</w:t>
      </w:r>
    </w:p>
    <w:tbl>
      <w:tblPr>
        <w:tblW w:w="8940" w:type="dxa"/>
        <w:jc w:val="center"/>
        <w:tblLayout w:type="fixed"/>
        <w:tblLook w:val="04A0" w:firstRow="1" w:lastRow="0" w:firstColumn="1" w:lastColumn="0" w:noHBand="0" w:noVBand="1"/>
      </w:tblPr>
      <w:tblGrid>
        <w:gridCol w:w="3840"/>
        <w:gridCol w:w="1380"/>
        <w:gridCol w:w="1380"/>
        <w:gridCol w:w="1380"/>
        <w:gridCol w:w="960"/>
      </w:tblGrid>
      <w:tr w:rsidR="00F50F59" w14:paraId="10C31095" w14:textId="77777777" w:rsidTr="00F73CAB">
        <w:trPr>
          <w:tblHeader/>
          <w:jc w:val="center"/>
        </w:trPr>
        <w:tc>
          <w:tcPr>
            <w:tcW w:w="384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40377D06" w14:textId="77777777" w:rsidR="00F50F59" w:rsidRDefault="00F50F59" w:rsidP="00F73CAB">
            <w:pPr>
              <w:keepLines/>
              <w:jc w:val="center"/>
            </w:pPr>
            <w:r>
              <w:rPr>
                <w:b/>
                <w:color w:val="000000"/>
                <w:sz w:val="16"/>
              </w:rPr>
              <w:t>Characteristic</w:t>
            </w:r>
          </w:p>
        </w:tc>
        <w:tc>
          <w:tcPr>
            <w:tcW w:w="138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2BC43802" w14:textId="77777777" w:rsidR="00F50F59" w:rsidRDefault="00F50F59" w:rsidP="00F73CAB">
            <w:pPr>
              <w:keepLines/>
              <w:jc w:val="center"/>
            </w:pPr>
            <w:r>
              <w:rPr>
                <w:b/>
                <w:color w:val="000000"/>
                <w:sz w:val="16"/>
              </w:rPr>
              <w:t>Overall</w:t>
            </w:r>
            <w:r>
              <w:rPr>
                <w:b/>
                <w:color w:val="000000"/>
                <w:sz w:val="16"/>
              </w:rPr>
              <w:br/>
              <w:t>(n=71)</w:t>
            </w:r>
          </w:p>
        </w:tc>
        <w:tc>
          <w:tcPr>
            <w:tcW w:w="138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21A55CA0" w14:textId="77777777" w:rsidR="00F50F59" w:rsidRDefault="00F50F59" w:rsidP="00F73CAB">
            <w:pPr>
              <w:keepLines/>
              <w:jc w:val="center"/>
            </w:pPr>
            <w:r>
              <w:rPr>
                <w:b/>
                <w:color w:val="000000"/>
                <w:sz w:val="16"/>
              </w:rPr>
              <w:t>CEMIP low</w:t>
            </w:r>
            <w:r>
              <w:rPr>
                <w:b/>
                <w:color w:val="000000"/>
                <w:sz w:val="16"/>
              </w:rPr>
              <w:br/>
              <w:t>(n=19)</w:t>
            </w:r>
          </w:p>
        </w:tc>
        <w:tc>
          <w:tcPr>
            <w:tcW w:w="138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5FDF2CEE" w14:textId="77777777" w:rsidR="00F50F59" w:rsidRDefault="00F50F59" w:rsidP="00F73CAB">
            <w:pPr>
              <w:keepLines/>
              <w:jc w:val="center"/>
            </w:pPr>
            <w:r>
              <w:rPr>
                <w:b/>
                <w:color w:val="000000"/>
                <w:sz w:val="16"/>
              </w:rPr>
              <w:t>CEMIP high</w:t>
            </w:r>
            <w:r>
              <w:rPr>
                <w:b/>
                <w:color w:val="000000"/>
                <w:sz w:val="16"/>
              </w:rPr>
              <w:br/>
              <w:t>(n=52)</w:t>
            </w:r>
          </w:p>
        </w:tc>
        <w:tc>
          <w:tcPr>
            <w:tcW w:w="96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0FCB9941" w14:textId="77777777" w:rsidR="00F50F59" w:rsidRDefault="00F50F59" w:rsidP="00F73CAB">
            <w:pPr>
              <w:keepLines/>
              <w:jc w:val="center"/>
            </w:pPr>
            <w:r>
              <w:rPr>
                <w:b/>
                <w:color w:val="000000"/>
                <w:sz w:val="16"/>
              </w:rPr>
              <w:t>P value</w:t>
            </w:r>
          </w:p>
        </w:tc>
      </w:tr>
      <w:tr w:rsidR="00F50F59" w14:paraId="112045FD" w14:textId="77777777" w:rsidTr="00F73CAB">
        <w:trPr>
          <w:jc w:val="center"/>
        </w:trPr>
        <w:tc>
          <w:tcPr>
            <w:tcW w:w="3840" w:type="dxa"/>
            <w:tcBorders>
              <w:left w:val="nil"/>
              <w:right w:val="nil"/>
            </w:tcBorders>
            <w:vAlign w:val="center"/>
          </w:tcPr>
          <w:p w14:paraId="265FDFEC" w14:textId="77777777" w:rsidR="00F50F59" w:rsidRDefault="00F50F59" w:rsidP="00F73CAB">
            <w:pPr>
              <w:keepLines/>
            </w:pPr>
            <w:r>
              <w:rPr>
                <w:color w:val="000000"/>
                <w:sz w:val="17"/>
              </w:rPr>
              <w:t>Age, years</w:t>
            </w:r>
          </w:p>
        </w:tc>
        <w:tc>
          <w:tcPr>
            <w:tcW w:w="1380" w:type="dxa"/>
            <w:tcBorders>
              <w:left w:val="nil"/>
              <w:right w:val="nil"/>
            </w:tcBorders>
            <w:vAlign w:val="center"/>
          </w:tcPr>
          <w:p w14:paraId="471E38A0" w14:textId="77777777" w:rsidR="00F50F59" w:rsidRDefault="00F50F59" w:rsidP="00F73CAB">
            <w:pPr>
              <w:keepLines/>
              <w:jc w:val="center"/>
            </w:pPr>
            <w:r>
              <w:rPr>
                <w:color w:val="000000"/>
                <w:sz w:val="17"/>
              </w:rPr>
              <w:t>59.0 (53.0-64.5)</w:t>
            </w:r>
          </w:p>
        </w:tc>
        <w:tc>
          <w:tcPr>
            <w:tcW w:w="1380" w:type="dxa"/>
            <w:tcBorders>
              <w:left w:val="nil"/>
              <w:right w:val="nil"/>
            </w:tcBorders>
            <w:vAlign w:val="center"/>
          </w:tcPr>
          <w:p w14:paraId="6D6F2E6F" w14:textId="77777777" w:rsidR="00F50F59" w:rsidRDefault="00F50F59" w:rsidP="00F73CAB">
            <w:pPr>
              <w:keepLines/>
              <w:jc w:val="center"/>
            </w:pPr>
            <w:r>
              <w:rPr>
                <w:color w:val="000000"/>
                <w:sz w:val="17"/>
              </w:rPr>
              <w:t>59.0 (54.0-62.0)</w:t>
            </w:r>
          </w:p>
        </w:tc>
        <w:tc>
          <w:tcPr>
            <w:tcW w:w="1380" w:type="dxa"/>
            <w:tcBorders>
              <w:left w:val="nil"/>
              <w:right w:val="nil"/>
            </w:tcBorders>
            <w:vAlign w:val="center"/>
          </w:tcPr>
          <w:p w14:paraId="5D555022" w14:textId="77777777" w:rsidR="00F50F59" w:rsidRDefault="00F50F59" w:rsidP="00F73CAB">
            <w:pPr>
              <w:keepLines/>
              <w:jc w:val="center"/>
            </w:pPr>
            <w:r>
              <w:rPr>
                <w:color w:val="000000"/>
                <w:sz w:val="17"/>
              </w:rPr>
              <w:t>58.5 (53.0-65.0)</w:t>
            </w:r>
          </w:p>
        </w:tc>
        <w:tc>
          <w:tcPr>
            <w:tcW w:w="960" w:type="dxa"/>
            <w:tcBorders>
              <w:left w:val="nil"/>
              <w:right w:val="nil"/>
            </w:tcBorders>
            <w:vAlign w:val="center"/>
          </w:tcPr>
          <w:p w14:paraId="2CF01347" w14:textId="77777777" w:rsidR="00F50F59" w:rsidRDefault="00F50F59" w:rsidP="00F73CAB">
            <w:pPr>
              <w:keepLines/>
              <w:jc w:val="center"/>
            </w:pPr>
            <w:r>
              <w:rPr>
                <w:color w:val="000000"/>
                <w:sz w:val="17"/>
              </w:rPr>
              <w:t>0.775</w:t>
            </w:r>
          </w:p>
        </w:tc>
      </w:tr>
      <w:tr w:rsidR="00F50F59" w14:paraId="65C37CE4" w14:textId="77777777" w:rsidTr="00F73CAB">
        <w:trPr>
          <w:jc w:val="center"/>
        </w:trPr>
        <w:tc>
          <w:tcPr>
            <w:tcW w:w="3840" w:type="dxa"/>
            <w:tcBorders>
              <w:left w:val="nil"/>
              <w:right w:val="nil"/>
            </w:tcBorders>
            <w:vAlign w:val="center"/>
          </w:tcPr>
          <w:p w14:paraId="1E29C16C" w14:textId="77777777" w:rsidR="00F50F59" w:rsidRDefault="00F50F59" w:rsidP="00F73CAB">
            <w:pPr>
              <w:keepLines/>
            </w:pPr>
            <w:r>
              <w:rPr>
                <w:b/>
                <w:color w:val="000000"/>
                <w:sz w:val="17"/>
              </w:rPr>
              <w:t>Sex</w:t>
            </w:r>
          </w:p>
        </w:tc>
        <w:tc>
          <w:tcPr>
            <w:tcW w:w="1380" w:type="dxa"/>
            <w:tcBorders>
              <w:left w:val="nil"/>
              <w:right w:val="nil"/>
            </w:tcBorders>
            <w:vAlign w:val="center"/>
          </w:tcPr>
          <w:p w14:paraId="42EDFCCA" w14:textId="77777777" w:rsidR="00F50F59" w:rsidRDefault="00F50F59" w:rsidP="00F73CAB">
            <w:pPr>
              <w:keepLines/>
              <w:jc w:val="center"/>
            </w:pPr>
          </w:p>
        </w:tc>
        <w:tc>
          <w:tcPr>
            <w:tcW w:w="1380" w:type="dxa"/>
            <w:tcBorders>
              <w:left w:val="nil"/>
              <w:right w:val="nil"/>
            </w:tcBorders>
            <w:vAlign w:val="center"/>
          </w:tcPr>
          <w:p w14:paraId="3F079FD5" w14:textId="77777777" w:rsidR="00F50F59" w:rsidRDefault="00F50F59" w:rsidP="00F73CAB">
            <w:pPr>
              <w:keepLines/>
              <w:jc w:val="center"/>
            </w:pPr>
          </w:p>
        </w:tc>
        <w:tc>
          <w:tcPr>
            <w:tcW w:w="1380" w:type="dxa"/>
            <w:tcBorders>
              <w:left w:val="nil"/>
              <w:right w:val="nil"/>
            </w:tcBorders>
            <w:vAlign w:val="center"/>
          </w:tcPr>
          <w:p w14:paraId="228B8F0A" w14:textId="77777777" w:rsidR="00F50F59" w:rsidRDefault="00F50F59" w:rsidP="00F73CAB">
            <w:pPr>
              <w:keepLines/>
              <w:jc w:val="center"/>
            </w:pPr>
          </w:p>
        </w:tc>
        <w:tc>
          <w:tcPr>
            <w:tcW w:w="960" w:type="dxa"/>
            <w:tcBorders>
              <w:left w:val="nil"/>
              <w:right w:val="nil"/>
            </w:tcBorders>
            <w:vAlign w:val="center"/>
          </w:tcPr>
          <w:p w14:paraId="5EFB323F" w14:textId="77777777" w:rsidR="00F50F59" w:rsidRDefault="00F50F59" w:rsidP="00F73CAB">
            <w:pPr>
              <w:keepLines/>
              <w:jc w:val="center"/>
            </w:pPr>
            <w:r>
              <w:rPr>
                <w:b/>
                <w:color w:val="000000"/>
                <w:sz w:val="17"/>
              </w:rPr>
              <w:t>0.104</w:t>
            </w:r>
          </w:p>
        </w:tc>
      </w:tr>
      <w:tr w:rsidR="00F50F59" w14:paraId="2F385F3F" w14:textId="77777777" w:rsidTr="00F73CAB">
        <w:trPr>
          <w:jc w:val="center"/>
        </w:trPr>
        <w:tc>
          <w:tcPr>
            <w:tcW w:w="3840" w:type="dxa"/>
            <w:tcBorders>
              <w:left w:val="nil"/>
              <w:right w:val="nil"/>
            </w:tcBorders>
            <w:vAlign w:val="center"/>
          </w:tcPr>
          <w:p w14:paraId="179B2726" w14:textId="77777777" w:rsidR="00F50F59" w:rsidRDefault="00F50F59" w:rsidP="00F73CAB">
            <w:pPr>
              <w:keepLines/>
              <w:ind w:left="144"/>
            </w:pPr>
            <w:r>
              <w:rPr>
                <w:color w:val="000000"/>
                <w:sz w:val="17"/>
              </w:rPr>
              <w:t>Female</w:t>
            </w:r>
          </w:p>
        </w:tc>
        <w:tc>
          <w:tcPr>
            <w:tcW w:w="1380" w:type="dxa"/>
            <w:tcBorders>
              <w:left w:val="nil"/>
              <w:right w:val="nil"/>
            </w:tcBorders>
            <w:vAlign w:val="center"/>
          </w:tcPr>
          <w:p w14:paraId="36399AFF" w14:textId="77777777" w:rsidR="00F50F59" w:rsidRDefault="00F50F59" w:rsidP="00F73CAB">
            <w:pPr>
              <w:keepLines/>
              <w:jc w:val="center"/>
            </w:pPr>
            <w:r>
              <w:rPr>
                <w:color w:val="000000"/>
                <w:sz w:val="17"/>
              </w:rPr>
              <w:t>26 (36.6%)</w:t>
            </w:r>
          </w:p>
        </w:tc>
        <w:tc>
          <w:tcPr>
            <w:tcW w:w="1380" w:type="dxa"/>
            <w:tcBorders>
              <w:left w:val="nil"/>
              <w:right w:val="nil"/>
            </w:tcBorders>
            <w:vAlign w:val="center"/>
          </w:tcPr>
          <w:p w14:paraId="5AFBF955" w14:textId="77777777" w:rsidR="00F50F59" w:rsidRDefault="00F50F59" w:rsidP="00F73CAB">
            <w:pPr>
              <w:keepLines/>
              <w:jc w:val="center"/>
            </w:pPr>
            <w:r>
              <w:rPr>
                <w:color w:val="000000"/>
                <w:sz w:val="17"/>
              </w:rPr>
              <w:t>10 (52.6%)</w:t>
            </w:r>
          </w:p>
        </w:tc>
        <w:tc>
          <w:tcPr>
            <w:tcW w:w="1380" w:type="dxa"/>
            <w:tcBorders>
              <w:left w:val="nil"/>
              <w:right w:val="nil"/>
            </w:tcBorders>
            <w:vAlign w:val="center"/>
          </w:tcPr>
          <w:p w14:paraId="0F9923C6" w14:textId="77777777" w:rsidR="00F50F59" w:rsidRDefault="00F50F59" w:rsidP="00F73CAB">
            <w:pPr>
              <w:keepLines/>
              <w:jc w:val="center"/>
            </w:pPr>
            <w:r>
              <w:rPr>
                <w:color w:val="000000"/>
                <w:sz w:val="17"/>
              </w:rPr>
              <w:t>16 (30.8%)</w:t>
            </w:r>
          </w:p>
        </w:tc>
        <w:tc>
          <w:tcPr>
            <w:tcW w:w="960" w:type="dxa"/>
            <w:tcBorders>
              <w:left w:val="nil"/>
              <w:right w:val="nil"/>
            </w:tcBorders>
            <w:vAlign w:val="center"/>
          </w:tcPr>
          <w:p w14:paraId="00FE1A02" w14:textId="77777777" w:rsidR="00F50F59" w:rsidRDefault="00F50F59" w:rsidP="00F73CAB">
            <w:pPr>
              <w:keepLines/>
              <w:jc w:val="center"/>
            </w:pPr>
          </w:p>
        </w:tc>
      </w:tr>
      <w:tr w:rsidR="00F50F59" w14:paraId="7736E054" w14:textId="77777777" w:rsidTr="00F73CAB">
        <w:trPr>
          <w:jc w:val="center"/>
        </w:trPr>
        <w:tc>
          <w:tcPr>
            <w:tcW w:w="3840" w:type="dxa"/>
            <w:tcBorders>
              <w:left w:val="nil"/>
              <w:right w:val="nil"/>
            </w:tcBorders>
            <w:vAlign w:val="center"/>
          </w:tcPr>
          <w:p w14:paraId="20AAC749" w14:textId="77777777" w:rsidR="00F50F59" w:rsidRDefault="00F50F59" w:rsidP="00F73CAB">
            <w:pPr>
              <w:keepLines/>
              <w:ind w:left="144"/>
            </w:pPr>
            <w:r>
              <w:rPr>
                <w:color w:val="000000"/>
                <w:sz w:val="17"/>
              </w:rPr>
              <w:t>Male</w:t>
            </w:r>
          </w:p>
        </w:tc>
        <w:tc>
          <w:tcPr>
            <w:tcW w:w="1380" w:type="dxa"/>
            <w:tcBorders>
              <w:left w:val="nil"/>
              <w:right w:val="nil"/>
            </w:tcBorders>
            <w:vAlign w:val="center"/>
          </w:tcPr>
          <w:p w14:paraId="52AC00DD" w14:textId="77777777" w:rsidR="00F50F59" w:rsidRDefault="00F50F59" w:rsidP="00F73CAB">
            <w:pPr>
              <w:keepLines/>
              <w:jc w:val="center"/>
            </w:pPr>
            <w:r>
              <w:rPr>
                <w:color w:val="000000"/>
                <w:sz w:val="17"/>
              </w:rPr>
              <w:t>45 (63.4%)</w:t>
            </w:r>
          </w:p>
        </w:tc>
        <w:tc>
          <w:tcPr>
            <w:tcW w:w="1380" w:type="dxa"/>
            <w:tcBorders>
              <w:left w:val="nil"/>
              <w:right w:val="nil"/>
            </w:tcBorders>
            <w:vAlign w:val="center"/>
          </w:tcPr>
          <w:p w14:paraId="2BAA0F77" w14:textId="77777777" w:rsidR="00F50F59" w:rsidRDefault="00F50F59" w:rsidP="00F73CAB">
            <w:pPr>
              <w:keepLines/>
              <w:jc w:val="center"/>
            </w:pPr>
            <w:r>
              <w:rPr>
                <w:color w:val="000000"/>
                <w:sz w:val="17"/>
              </w:rPr>
              <w:t>9 (47.4%)</w:t>
            </w:r>
          </w:p>
        </w:tc>
        <w:tc>
          <w:tcPr>
            <w:tcW w:w="1380" w:type="dxa"/>
            <w:tcBorders>
              <w:left w:val="nil"/>
              <w:right w:val="nil"/>
            </w:tcBorders>
            <w:vAlign w:val="center"/>
          </w:tcPr>
          <w:p w14:paraId="36201D0D" w14:textId="77777777" w:rsidR="00F50F59" w:rsidRDefault="00F50F59" w:rsidP="00F73CAB">
            <w:pPr>
              <w:keepLines/>
              <w:jc w:val="center"/>
            </w:pPr>
            <w:r>
              <w:rPr>
                <w:color w:val="000000"/>
                <w:sz w:val="17"/>
              </w:rPr>
              <w:t>36 (69.2%)</w:t>
            </w:r>
          </w:p>
        </w:tc>
        <w:tc>
          <w:tcPr>
            <w:tcW w:w="960" w:type="dxa"/>
            <w:tcBorders>
              <w:left w:val="nil"/>
              <w:right w:val="nil"/>
            </w:tcBorders>
            <w:vAlign w:val="center"/>
          </w:tcPr>
          <w:p w14:paraId="090746E1" w14:textId="77777777" w:rsidR="00F50F59" w:rsidRDefault="00F50F59" w:rsidP="00F73CAB">
            <w:pPr>
              <w:keepLines/>
              <w:jc w:val="center"/>
            </w:pPr>
          </w:p>
        </w:tc>
      </w:tr>
      <w:tr w:rsidR="00F50F59" w14:paraId="419214A9" w14:textId="77777777" w:rsidTr="00F73CAB">
        <w:trPr>
          <w:jc w:val="center"/>
        </w:trPr>
        <w:tc>
          <w:tcPr>
            <w:tcW w:w="3840" w:type="dxa"/>
            <w:tcBorders>
              <w:left w:val="nil"/>
              <w:right w:val="nil"/>
            </w:tcBorders>
            <w:vAlign w:val="center"/>
          </w:tcPr>
          <w:p w14:paraId="0F48F85F" w14:textId="77777777" w:rsidR="00F50F59" w:rsidRDefault="00F50F59" w:rsidP="00F73CAB">
            <w:pPr>
              <w:keepLines/>
            </w:pPr>
            <w:r>
              <w:rPr>
                <w:b/>
                <w:color w:val="000000"/>
                <w:sz w:val="17"/>
              </w:rPr>
              <w:t>Disease stage</w:t>
            </w:r>
          </w:p>
        </w:tc>
        <w:tc>
          <w:tcPr>
            <w:tcW w:w="1380" w:type="dxa"/>
            <w:tcBorders>
              <w:left w:val="nil"/>
              <w:right w:val="nil"/>
            </w:tcBorders>
            <w:vAlign w:val="center"/>
          </w:tcPr>
          <w:p w14:paraId="7D6CFFBE" w14:textId="77777777" w:rsidR="00F50F59" w:rsidRDefault="00F50F59" w:rsidP="00F73CAB">
            <w:pPr>
              <w:keepLines/>
              <w:jc w:val="center"/>
            </w:pPr>
          </w:p>
        </w:tc>
        <w:tc>
          <w:tcPr>
            <w:tcW w:w="1380" w:type="dxa"/>
            <w:tcBorders>
              <w:left w:val="nil"/>
              <w:right w:val="nil"/>
            </w:tcBorders>
            <w:vAlign w:val="center"/>
          </w:tcPr>
          <w:p w14:paraId="599C14CE" w14:textId="77777777" w:rsidR="00F50F59" w:rsidRDefault="00F50F59" w:rsidP="00F73CAB">
            <w:pPr>
              <w:keepLines/>
              <w:jc w:val="center"/>
            </w:pPr>
          </w:p>
        </w:tc>
        <w:tc>
          <w:tcPr>
            <w:tcW w:w="1380" w:type="dxa"/>
            <w:tcBorders>
              <w:left w:val="nil"/>
              <w:right w:val="nil"/>
            </w:tcBorders>
            <w:vAlign w:val="center"/>
          </w:tcPr>
          <w:p w14:paraId="53D71B8B" w14:textId="77777777" w:rsidR="00F50F59" w:rsidRDefault="00F50F59" w:rsidP="00F73CAB">
            <w:pPr>
              <w:keepLines/>
              <w:jc w:val="center"/>
            </w:pPr>
          </w:p>
        </w:tc>
        <w:tc>
          <w:tcPr>
            <w:tcW w:w="960" w:type="dxa"/>
            <w:tcBorders>
              <w:left w:val="nil"/>
              <w:right w:val="nil"/>
            </w:tcBorders>
            <w:vAlign w:val="center"/>
          </w:tcPr>
          <w:p w14:paraId="7E48953C" w14:textId="77777777" w:rsidR="00F50F59" w:rsidRDefault="00F50F59" w:rsidP="00F73CAB">
            <w:pPr>
              <w:keepLines/>
              <w:jc w:val="center"/>
            </w:pPr>
            <w:r>
              <w:rPr>
                <w:b/>
                <w:color w:val="000000"/>
                <w:sz w:val="17"/>
              </w:rPr>
              <w:t>0.149</w:t>
            </w:r>
          </w:p>
        </w:tc>
      </w:tr>
      <w:tr w:rsidR="00F50F59" w14:paraId="56847C94" w14:textId="77777777" w:rsidTr="00F73CAB">
        <w:trPr>
          <w:jc w:val="center"/>
        </w:trPr>
        <w:tc>
          <w:tcPr>
            <w:tcW w:w="3840" w:type="dxa"/>
            <w:tcBorders>
              <w:left w:val="nil"/>
              <w:right w:val="nil"/>
            </w:tcBorders>
            <w:vAlign w:val="center"/>
          </w:tcPr>
          <w:p w14:paraId="1C2F6699" w14:textId="77777777" w:rsidR="00F50F59" w:rsidRDefault="00F50F59" w:rsidP="00F73CAB">
            <w:pPr>
              <w:keepLines/>
              <w:ind w:left="144"/>
            </w:pPr>
            <w:r>
              <w:rPr>
                <w:color w:val="000000"/>
                <w:sz w:val="17"/>
              </w:rPr>
              <w:t>I-II</w:t>
            </w:r>
          </w:p>
        </w:tc>
        <w:tc>
          <w:tcPr>
            <w:tcW w:w="1380" w:type="dxa"/>
            <w:tcBorders>
              <w:left w:val="nil"/>
              <w:right w:val="nil"/>
            </w:tcBorders>
            <w:vAlign w:val="center"/>
          </w:tcPr>
          <w:p w14:paraId="617FAED5" w14:textId="77777777" w:rsidR="00F50F59" w:rsidRDefault="00F50F59" w:rsidP="00F73CAB">
            <w:pPr>
              <w:keepLines/>
              <w:jc w:val="center"/>
            </w:pPr>
            <w:r>
              <w:rPr>
                <w:color w:val="000000"/>
                <w:sz w:val="17"/>
              </w:rPr>
              <w:t>7 (9.9%)</w:t>
            </w:r>
          </w:p>
        </w:tc>
        <w:tc>
          <w:tcPr>
            <w:tcW w:w="1380" w:type="dxa"/>
            <w:tcBorders>
              <w:left w:val="nil"/>
              <w:right w:val="nil"/>
            </w:tcBorders>
            <w:vAlign w:val="center"/>
          </w:tcPr>
          <w:p w14:paraId="7A630481" w14:textId="77777777" w:rsidR="00F50F59" w:rsidRDefault="00F50F59" w:rsidP="00F73CAB">
            <w:pPr>
              <w:keepLines/>
              <w:jc w:val="center"/>
            </w:pPr>
            <w:r>
              <w:rPr>
                <w:color w:val="000000"/>
                <w:sz w:val="17"/>
              </w:rPr>
              <w:t>2 (10.5%)</w:t>
            </w:r>
          </w:p>
        </w:tc>
        <w:tc>
          <w:tcPr>
            <w:tcW w:w="1380" w:type="dxa"/>
            <w:tcBorders>
              <w:left w:val="nil"/>
              <w:right w:val="nil"/>
            </w:tcBorders>
            <w:vAlign w:val="center"/>
          </w:tcPr>
          <w:p w14:paraId="43B0D4FB" w14:textId="77777777" w:rsidR="00F50F59" w:rsidRDefault="00F50F59" w:rsidP="00F73CAB">
            <w:pPr>
              <w:keepLines/>
              <w:jc w:val="center"/>
            </w:pPr>
            <w:r>
              <w:rPr>
                <w:color w:val="000000"/>
                <w:sz w:val="17"/>
              </w:rPr>
              <w:t>5 (9.6%)</w:t>
            </w:r>
          </w:p>
        </w:tc>
        <w:tc>
          <w:tcPr>
            <w:tcW w:w="960" w:type="dxa"/>
            <w:tcBorders>
              <w:left w:val="nil"/>
              <w:right w:val="nil"/>
            </w:tcBorders>
            <w:vAlign w:val="center"/>
          </w:tcPr>
          <w:p w14:paraId="71E76E6F" w14:textId="77777777" w:rsidR="00F50F59" w:rsidRDefault="00F50F59" w:rsidP="00F73CAB">
            <w:pPr>
              <w:keepLines/>
              <w:jc w:val="center"/>
            </w:pPr>
          </w:p>
        </w:tc>
      </w:tr>
      <w:tr w:rsidR="00F50F59" w14:paraId="56AD9385" w14:textId="77777777" w:rsidTr="00F73CAB">
        <w:trPr>
          <w:jc w:val="center"/>
        </w:trPr>
        <w:tc>
          <w:tcPr>
            <w:tcW w:w="3840" w:type="dxa"/>
            <w:tcBorders>
              <w:left w:val="nil"/>
              <w:right w:val="nil"/>
            </w:tcBorders>
            <w:vAlign w:val="center"/>
          </w:tcPr>
          <w:p w14:paraId="33AC151B" w14:textId="77777777" w:rsidR="00F50F59" w:rsidRDefault="00F50F59" w:rsidP="00F73CAB">
            <w:pPr>
              <w:keepLines/>
              <w:ind w:left="144"/>
            </w:pPr>
            <w:r>
              <w:rPr>
                <w:color w:val="000000"/>
                <w:sz w:val="17"/>
              </w:rPr>
              <w:t>III</w:t>
            </w:r>
          </w:p>
        </w:tc>
        <w:tc>
          <w:tcPr>
            <w:tcW w:w="1380" w:type="dxa"/>
            <w:tcBorders>
              <w:left w:val="nil"/>
              <w:right w:val="nil"/>
            </w:tcBorders>
            <w:vAlign w:val="center"/>
          </w:tcPr>
          <w:p w14:paraId="6BB27064" w14:textId="77777777" w:rsidR="00F50F59" w:rsidRDefault="00F50F59" w:rsidP="00F73CAB">
            <w:pPr>
              <w:keepLines/>
              <w:jc w:val="center"/>
            </w:pPr>
            <w:r>
              <w:rPr>
                <w:color w:val="000000"/>
                <w:sz w:val="17"/>
              </w:rPr>
              <w:t>32 (45.1%)</w:t>
            </w:r>
          </w:p>
        </w:tc>
        <w:tc>
          <w:tcPr>
            <w:tcW w:w="1380" w:type="dxa"/>
            <w:tcBorders>
              <w:left w:val="nil"/>
              <w:right w:val="nil"/>
            </w:tcBorders>
            <w:vAlign w:val="center"/>
          </w:tcPr>
          <w:p w14:paraId="378EA663" w14:textId="77777777" w:rsidR="00F50F59" w:rsidRDefault="00F50F59" w:rsidP="00F73CAB">
            <w:pPr>
              <w:keepLines/>
              <w:jc w:val="center"/>
            </w:pPr>
            <w:r>
              <w:rPr>
                <w:color w:val="000000"/>
                <w:sz w:val="17"/>
              </w:rPr>
              <w:t>5 (26.3%)</w:t>
            </w:r>
          </w:p>
        </w:tc>
        <w:tc>
          <w:tcPr>
            <w:tcW w:w="1380" w:type="dxa"/>
            <w:tcBorders>
              <w:left w:val="nil"/>
              <w:right w:val="nil"/>
            </w:tcBorders>
            <w:vAlign w:val="center"/>
          </w:tcPr>
          <w:p w14:paraId="7691F9C1" w14:textId="77777777" w:rsidR="00F50F59" w:rsidRDefault="00F50F59" w:rsidP="00F73CAB">
            <w:pPr>
              <w:keepLines/>
              <w:jc w:val="center"/>
            </w:pPr>
            <w:r>
              <w:rPr>
                <w:color w:val="000000"/>
                <w:sz w:val="17"/>
              </w:rPr>
              <w:t>27 (51.9%)</w:t>
            </w:r>
          </w:p>
        </w:tc>
        <w:tc>
          <w:tcPr>
            <w:tcW w:w="960" w:type="dxa"/>
            <w:tcBorders>
              <w:left w:val="nil"/>
              <w:right w:val="nil"/>
            </w:tcBorders>
            <w:vAlign w:val="center"/>
          </w:tcPr>
          <w:p w14:paraId="5927607D" w14:textId="77777777" w:rsidR="00F50F59" w:rsidRDefault="00F50F59" w:rsidP="00F73CAB">
            <w:pPr>
              <w:keepLines/>
              <w:jc w:val="center"/>
            </w:pPr>
          </w:p>
        </w:tc>
      </w:tr>
      <w:tr w:rsidR="00F50F59" w14:paraId="3906BA0C" w14:textId="77777777" w:rsidTr="00F73CAB">
        <w:trPr>
          <w:jc w:val="center"/>
        </w:trPr>
        <w:tc>
          <w:tcPr>
            <w:tcW w:w="3840" w:type="dxa"/>
            <w:tcBorders>
              <w:left w:val="nil"/>
              <w:right w:val="nil"/>
            </w:tcBorders>
            <w:vAlign w:val="center"/>
          </w:tcPr>
          <w:p w14:paraId="5C0135AC" w14:textId="77777777" w:rsidR="00F50F59" w:rsidRDefault="00F50F59" w:rsidP="00F73CAB">
            <w:pPr>
              <w:keepLines/>
              <w:ind w:left="144"/>
            </w:pPr>
            <w:r>
              <w:rPr>
                <w:color w:val="000000"/>
                <w:sz w:val="17"/>
              </w:rPr>
              <w:t>IV</w:t>
            </w:r>
          </w:p>
        </w:tc>
        <w:tc>
          <w:tcPr>
            <w:tcW w:w="1380" w:type="dxa"/>
            <w:tcBorders>
              <w:left w:val="nil"/>
              <w:right w:val="nil"/>
            </w:tcBorders>
            <w:vAlign w:val="center"/>
          </w:tcPr>
          <w:p w14:paraId="3574F7F4" w14:textId="77777777" w:rsidR="00F50F59" w:rsidRDefault="00F50F59" w:rsidP="00F73CAB">
            <w:pPr>
              <w:keepLines/>
              <w:jc w:val="center"/>
            </w:pPr>
            <w:r>
              <w:rPr>
                <w:color w:val="000000"/>
                <w:sz w:val="17"/>
              </w:rPr>
              <w:t>32 (45.1%)</w:t>
            </w:r>
          </w:p>
        </w:tc>
        <w:tc>
          <w:tcPr>
            <w:tcW w:w="1380" w:type="dxa"/>
            <w:tcBorders>
              <w:left w:val="nil"/>
              <w:right w:val="nil"/>
            </w:tcBorders>
            <w:vAlign w:val="center"/>
          </w:tcPr>
          <w:p w14:paraId="635917C4" w14:textId="77777777" w:rsidR="00F50F59" w:rsidRDefault="00F50F59" w:rsidP="00F73CAB">
            <w:pPr>
              <w:keepLines/>
              <w:jc w:val="center"/>
            </w:pPr>
            <w:r>
              <w:rPr>
                <w:color w:val="000000"/>
                <w:sz w:val="17"/>
              </w:rPr>
              <w:t>12 (63.2%)</w:t>
            </w:r>
          </w:p>
        </w:tc>
        <w:tc>
          <w:tcPr>
            <w:tcW w:w="1380" w:type="dxa"/>
            <w:tcBorders>
              <w:left w:val="nil"/>
              <w:right w:val="nil"/>
            </w:tcBorders>
            <w:vAlign w:val="center"/>
          </w:tcPr>
          <w:p w14:paraId="6BF1A905" w14:textId="77777777" w:rsidR="00F50F59" w:rsidRDefault="00F50F59" w:rsidP="00F73CAB">
            <w:pPr>
              <w:keepLines/>
              <w:jc w:val="center"/>
            </w:pPr>
            <w:r>
              <w:rPr>
                <w:color w:val="000000"/>
                <w:sz w:val="17"/>
              </w:rPr>
              <w:t>20 (38.5%)</w:t>
            </w:r>
          </w:p>
        </w:tc>
        <w:tc>
          <w:tcPr>
            <w:tcW w:w="960" w:type="dxa"/>
            <w:tcBorders>
              <w:left w:val="nil"/>
              <w:right w:val="nil"/>
            </w:tcBorders>
            <w:vAlign w:val="center"/>
          </w:tcPr>
          <w:p w14:paraId="30EE1775" w14:textId="77777777" w:rsidR="00F50F59" w:rsidRDefault="00F50F59" w:rsidP="00F73CAB">
            <w:pPr>
              <w:keepLines/>
              <w:jc w:val="center"/>
            </w:pPr>
          </w:p>
        </w:tc>
      </w:tr>
      <w:tr w:rsidR="00F50F59" w14:paraId="0E79FF0C" w14:textId="77777777" w:rsidTr="00F73CAB">
        <w:trPr>
          <w:jc w:val="center"/>
        </w:trPr>
        <w:tc>
          <w:tcPr>
            <w:tcW w:w="3840" w:type="dxa"/>
            <w:tcBorders>
              <w:left w:val="nil"/>
              <w:right w:val="nil"/>
            </w:tcBorders>
            <w:vAlign w:val="center"/>
          </w:tcPr>
          <w:p w14:paraId="521C3055" w14:textId="77777777" w:rsidR="00F50F59" w:rsidRDefault="00F50F59" w:rsidP="00F73CAB">
            <w:pPr>
              <w:keepLines/>
            </w:pPr>
            <w:r>
              <w:rPr>
                <w:b/>
                <w:color w:val="000000"/>
                <w:sz w:val="17"/>
              </w:rPr>
              <w:t>MSI status</w:t>
            </w:r>
          </w:p>
        </w:tc>
        <w:tc>
          <w:tcPr>
            <w:tcW w:w="1380" w:type="dxa"/>
            <w:tcBorders>
              <w:left w:val="nil"/>
              <w:right w:val="nil"/>
            </w:tcBorders>
            <w:vAlign w:val="center"/>
          </w:tcPr>
          <w:p w14:paraId="1E76FBC8" w14:textId="77777777" w:rsidR="00F50F59" w:rsidRDefault="00F50F59" w:rsidP="00F73CAB">
            <w:pPr>
              <w:keepLines/>
              <w:jc w:val="center"/>
            </w:pPr>
          </w:p>
        </w:tc>
        <w:tc>
          <w:tcPr>
            <w:tcW w:w="1380" w:type="dxa"/>
            <w:tcBorders>
              <w:left w:val="nil"/>
              <w:right w:val="nil"/>
            </w:tcBorders>
            <w:vAlign w:val="center"/>
          </w:tcPr>
          <w:p w14:paraId="55A5E565" w14:textId="77777777" w:rsidR="00F50F59" w:rsidRDefault="00F50F59" w:rsidP="00F73CAB">
            <w:pPr>
              <w:keepLines/>
              <w:jc w:val="center"/>
            </w:pPr>
          </w:p>
        </w:tc>
        <w:tc>
          <w:tcPr>
            <w:tcW w:w="1380" w:type="dxa"/>
            <w:tcBorders>
              <w:left w:val="nil"/>
              <w:right w:val="nil"/>
            </w:tcBorders>
            <w:vAlign w:val="center"/>
          </w:tcPr>
          <w:p w14:paraId="585E474E" w14:textId="77777777" w:rsidR="00F50F59" w:rsidRDefault="00F50F59" w:rsidP="00F73CAB">
            <w:pPr>
              <w:keepLines/>
              <w:jc w:val="center"/>
            </w:pPr>
          </w:p>
        </w:tc>
        <w:tc>
          <w:tcPr>
            <w:tcW w:w="960" w:type="dxa"/>
            <w:tcBorders>
              <w:left w:val="nil"/>
              <w:right w:val="nil"/>
            </w:tcBorders>
            <w:vAlign w:val="center"/>
          </w:tcPr>
          <w:p w14:paraId="33E25F97" w14:textId="77777777" w:rsidR="00F50F59" w:rsidRDefault="00F50F59" w:rsidP="00F73CAB">
            <w:pPr>
              <w:keepLines/>
              <w:jc w:val="center"/>
            </w:pPr>
            <w:r>
              <w:rPr>
                <w:b/>
                <w:color w:val="000000"/>
                <w:sz w:val="17"/>
              </w:rPr>
              <w:t>0.197</w:t>
            </w:r>
          </w:p>
        </w:tc>
      </w:tr>
      <w:tr w:rsidR="00F50F59" w14:paraId="0419419E" w14:textId="77777777" w:rsidTr="00F73CAB">
        <w:trPr>
          <w:jc w:val="center"/>
        </w:trPr>
        <w:tc>
          <w:tcPr>
            <w:tcW w:w="3840" w:type="dxa"/>
            <w:tcBorders>
              <w:left w:val="nil"/>
              <w:right w:val="nil"/>
            </w:tcBorders>
            <w:vAlign w:val="center"/>
          </w:tcPr>
          <w:p w14:paraId="793A2501" w14:textId="77777777" w:rsidR="00F50F59" w:rsidRDefault="00F50F59" w:rsidP="00F73CAB">
            <w:pPr>
              <w:keepLines/>
              <w:ind w:left="144"/>
            </w:pPr>
            <w:r>
              <w:rPr>
                <w:color w:val="000000"/>
                <w:sz w:val="17"/>
              </w:rPr>
              <w:t>MSS</w:t>
            </w:r>
          </w:p>
        </w:tc>
        <w:tc>
          <w:tcPr>
            <w:tcW w:w="1380" w:type="dxa"/>
            <w:tcBorders>
              <w:left w:val="nil"/>
              <w:right w:val="nil"/>
            </w:tcBorders>
            <w:vAlign w:val="center"/>
          </w:tcPr>
          <w:p w14:paraId="46AA99AA" w14:textId="77777777" w:rsidR="00F50F59" w:rsidRDefault="00F50F59" w:rsidP="00F73CAB">
            <w:pPr>
              <w:keepLines/>
              <w:jc w:val="center"/>
            </w:pPr>
            <w:r>
              <w:rPr>
                <w:color w:val="000000"/>
                <w:sz w:val="17"/>
              </w:rPr>
              <w:t>63 (88.7%)</w:t>
            </w:r>
          </w:p>
        </w:tc>
        <w:tc>
          <w:tcPr>
            <w:tcW w:w="1380" w:type="dxa"/>
            <w:tcBorders>
              <w:left w:val="nil"/>
              <w:right w:val="nil"/>
            </w:tcBorders>
            <w:vAlign w:val="center"/>
          </w:tcPr>
          <w:p w14:paraId="19D5E3CE" w14:textId="77777777" w:rsidR="00F50F59" w:rsidRDefault="00F50F59" w:rsidP="00F73CAB">
            <w:pPr>
              <w:keepLines/>
              <w:jc w:val="center"/>
            </w:pPr>
            <w:r>
              <w:rPr>
                <w:color w:val="000000"/>
                <w:sz w:val="17"/>
              </w:rPr>
              <w:t>15 (78.9%)</w:t>
            </w:r>
          </w:p>
        </w:tc>
        <w:tc>
          <w:tcPr>
            <w:tcW w:w="1380" w:type="dxa"/>
            <w:tcBorders>
              <w:left w:val="nil"/>
              <w:right w:val="nil"/>
            </w:tcBorders>
            <w:vAlign w:val="center"/>
          </w:tcPr>
          <w:p w14:paraId="3D910F88" w14:textId="77777777" w:rsidR="00F50F59" w:rsidRDefault="00F50F59" w:rsidP="00F73CAB">
            <w:pPr>
              <w:keepLines/>
              <w:jc w:val="center"/>
            </w:pPr>
            <w:r>
              <w:rPr>
                <w:color w:val="000000"/>
                <w:sz w:val="17"/>
              </w:rPr>
              <w:t>48 (92.3%)</w:t>
            </w:r>
          </w:p>
        </w:tc>
        <w:tc>
          <w:tcPr>
            <w:tcW w:w="960" w:type="dxa"/>
            <w:tcBorders>
              <w:left w:val="nil"/>
              <w:right w:val="nil"/>
            </w:tcBorders>
            <w:vAlign w:val="center"/>
          </w:tcPr>
          <w:p w14:paraId="010DA901" w14:textId="77777777" w:rsidR="00F50F59" w:rsidRDefault="00F50F59" w:rsidP="00F73CAB">
            <w:pPr>
              <w:keepLines/>
              <w:jc w:val="center"/>
            </w:pPr>
          </w:p>
        </w:tc>
      </w:tr>
      <w:tr w:rsidR="00F50F59" w14:paraId="2B204F71" w14:textId="77777777" w:rsidTr="00F73CAB">
        <w:trPr>
          <w:jc w:val="center"/>
        </w:trPr>
        <w:tc>
          <w:tcPr>
            <w:tcW w:w="3840" w:type="dxa"/>
            <w:tcBorders>
              <w:left w:val="nil"/>
              <w:right w:val="nil"/>
            </w:tcBorders>
            <w:vAlign w:val="center"/>
          </w:tcPr>
          <w:p w14:paraId="57F6EAFE" w14:textId="77777777" w:rsidR="00F50F59" w:rsidRDefault="00F50F59" w:rsidP="00F73CAB">
            <w:pPr>
              <w:keepLines/>
              <w:ind w:left="144"/>
            </w:pPr>
            <w:r>
              <w:rPr>
                <w:color w:val="000000"/>
                <w:sz w:val="17"/>
              </w:rPr>
              <w:t>MSI-H</w:t>
            </w:r>
          </w:p>
        </w:tc>
        <w:tc>
          <w:tcPr>
            <w:tcW w:w="1380" w:type="dxa"/>
            <w:tcBorders>
              <w:left w:val="nil"/>
              <w:right w:val="nil"/>
            </w:tcBorders>
            <w:vAlign w:val="center"/>
          </w:tcPr>
          <w:p w14:paraId="36A1F822" w14:textId="77777777" w:rsidR="00F50F59" w:rsidRDefault="00F50F59" w:rsidP="00F73CAB">
            <w:pPr>
              <w:keepLines/>
              <w:jc w:val="center"/>
            </w:pPr>
            <w:r>
              <w:rPr>
                <w:color w:val="000000"/>
                <w:sz w:val="17"/>
              </w:rPr>
              <w:t>8 (11.3%)</w:t>
            </w:r>
          </w:p>
        </w:tc>
        <w:tc>
          <w:tcPr>
            <w:tcW w:w="1380" w:type="dxa"/>
            <w:tcBorders>
              <w:left w:val="nil"/>
              <w:right w:val="nil"/>
            </w:tcBorders>
            <w:vAlign w:val="center"/>
          </w:tcPr>
          <w:p w14:paraId="7EB9137A" w14:textId="77777777" w:rsidR="00F50F59" w:rsidRDefault="00F50F59" w:rsidP="00F73CAB">
            <w:pPr>
              <w:keepLines/>
              <w:jc w:val="center"/>
            </w:pPr>
            <w:r>
              <w:rPr>
                <w:color w:val="000000"/>
                <w:sz w:val="17"/>
              </w:rPr>
              <w:t>4 (21.1%)</w:t>
            </w:r>
          </w:p>
        </w:tc>
        <w:tc>
          <w:tcPr>
            <w:tcW w:w="1380" w:type="dxa"/>
            <w:tcBorders>
              <w:left w:val="nil"/>
              <w:right w:val="nil"/>
            </w:tcBorders>
            <w:vAlign w:val="center"/>
          </w:tcPr>
          <w:p w14:paraId="1D2D3B70" w14:textId="77777777" w:rsidR="00F50F59" w:rsidRDefault="00F50F59" w:rsidP="00F73CAB">
            <w:pPr>
              <w:keepLines/>
              <w:jc w:val="center"/>
            </w:pPr>
            <w:r>
              <w:rPr>
                <w:color w:val="000000"/>
                <w:sz w:val="17"/>
              </w:rPr>
              <w:t>4 (7.7%)</w:t>
            </w:r>
          </w:p>
        </w:tc>
        <w:tc>
          <w:tcPr>
            <w:tcW w:w="960" w:type="dxa"/>
            <w:tcBorders>
              <w:left w:val="nil"/>
              <w:right w:val="nil"/>
            </w:tcBorders>
            <w:vAlign w:val="center"/>
          </w:tcPr>
          <w:p w14:paraId="6B4E04F0" w14:textId="77777777" w:rsidR="00F50F59" w:rsidRDefault="00F50F59" w:rsidP="00F73CAB">
            <w:pPr>
              <w:keepLines/>
              <w:jc w:val="center"/>
            </w:pPr>
          </w:p>
        </w:tc>
      </w:tr>
      <w:tr w:rsidR="00F50F59" w14:paraId="6FC35135" w14:textId="77777777" w:rsidTr="00F73CAB">
        <w:trPr>
          <w:jc w:val="center"/>
        </w:trPr>
        <w:tc>
          <w:tcPr>
            <w:tcW w:w="3840" w:type="dxa"/>
            <w:tcBorders>
              <w:left w:val="nil"/>
              <w:right w:val="nil"/>
            </w:tcBorders>
            <w:vAlign w:val="center"/>
          </w:tcPr>
          <w:p w14:paraId="11947D64" w14:textId="77777777" w:rsidR="00F50F59" w:rsidRDefault="00F50F59" w:rsidP="00F73CAB">
            <w:pPr>
              <w:keepLines/>
            </w:pPr>
            <w:r>
              <w:rPr>
                <w:b/>
                <w:color w:val="000000"/>
                <w:sz w:val="17"/>
              </w:rPr>
              <w:t>Best recorded response</w:t>
            </w:r>
          </w:p>
        </w:tc>
        <w:tc>
          <w:tcPr>
            <w:tcW w:w="1380" w:type="dxa"/>
            <w:tcBorders>
              <w:left w:val="nil"/>
              <w:right w:val="nil"/>
            </w:tcBorders>
            <w:vAlign w:val="center"/>
          </w:tcPr>
          <w:p w14:paraId="089B28EB" w14:textId="77777777" w:rsidR="00F50F59" w:rsidRDefault="00F50F59" w:rsidP="00F73CAB">
            <w:pPr>
              <w:keepLines/>
              <w:jc w:val="center"/>
            </w:pPr>
          </w:p>
        </w:tc>
        <w:tc>
          <w:tcPr>
            <w:tcW w:w="1380" w:type="dxa"/>
            <w:tcBorders>
              <w:left w:val="nil"/>
              <w:right w:val="nil"/>
            </w:tcBorders>
            <w:vAlign w:val="center"/>
          </w:tcPr>
          <w:p w14:paraId="437D6CB4" w14:textId="77777777" w:rsidR="00F50F59" w:rsidRDefault="00F50F59" w:rsidP="00F73CAB">
            <w:pPr>
              <w:keepLines/>
              <w:jc w:val="center"/>
            </w:pPr>
          </w:p>
        </w:tc>
        <w:tc>
          <w:tcPr>
            <w:tcW w:w="1380" w:type="dxa"/>
            <w:tcBorders>
              <w:left w:val="nil"/>
              <w:right w:val="nil"/>
            </w:tcBorders>
            <w:vAlign w:val="center"/>
          </w:tcPr>
          <w:p w14:paraId="3DC00B1C" w14:textId="77777777" w:rsidR="00F50F59" w:rsidRDefault="00F50F59" w:rsidP="00F73CAB">
            <w:pPr>
              <w:keepLines/>
              <w:jc w:val="center"/>
            </w:pPr>
          </w:p>
        </w:tc>
        <w:tc>
          <w:tcPr>
            <w:tcW w:w="960" w:type="dxa"/>
            <w:tcBorders>
              <w:left w:val="nil"/>
              <w:right w:val="nil"/>
            </w:tcBorders>
            <w:vAlign w:val="center"/>
          </w:tcPr>
          <w:p w14:paraId="0B770339" w14:textId="77777777" w:rsidR="00F50F59" w:rsidRDefault="00F50F59" w:rsidP="00F73CAB">
            <w:pPr>
              <w:keepLines/>
              <w:jc w:val="center"/>
            </w:pPr>
            <w:r>
              <w:rPr>
                <w:b/>
                <w:color w:val="000000"/>
                <w:sz w:val="17"/>
              </w:rPr>
              <w:t>&lt;0.001</w:t>
            </w:r>
          </w:p>
        </w:tc>
      </w:tr>
      <w:tr w:rsidR="00F50F59" w14:paraId="0BDC9906" w14:textId="77777777" w:rsidTr="00F73CAB">
        <w:trPr>
          <w:jc w:val="center"/>
        </w:trPr>
        <w:tc>
          <w:tcPr>
            <w:tcW w:w="3840" w:type="dxa"/>
            <w:tcBorders>
              <w:left w:val="nil"/>
              <w:right w:val="nil"/>
            </w:tcBorders>
            <w:vAlign w:val="center"/>
          </w:tcPr>
          <w:p w14:paraId="330F649A" w14:textId="77777777" w:rsidR="00F50F59" w:rsidRDefault="00F50F59" w:rsidP="00F73CAB">
            <w:pPr>
              <w:keepLines/>
              <w:ind w:left="144"/>
            </w:pPr>
            <w:r>
              <w:rPr>
                <w:color w:val="000000"/>
                <w:sz w:val="17"/>
              </w:rPr>
              <w:t>Progressive disease</w:t>
            </w:r>
          </w:p>
        </w:tc>
        <w:tc>
          <w:tcPr>
            <w:tcW w:w="1380" w:type="dxa"/>
            <w:tcBorders>
              <w:left w:val="nil"/>
              <w:right w:val="nil"/>
            </w:tcBorders>
            <w:vAlign w:val="center"/>
          </w:tcPr>
          <w:p w14:paraId="709335A5" w14:textId="77777777" w:rsidR="00F50F59" w:rsidRDefault="00F50F59" w:rsidP="00F73CAB">
            <w:pPr>
              <w:keepLines/>
              <w:jc w:val="center"/>
            </w:pPr>
            <w:r>
              <w:rPr>
                <w:color w:val="000000"/>
                <w:sz w:val="17"/>
              </w:rPr>
              <w:t>50 (70.4%)</w:t>
            </w:r>
          </w:p>
        </w:tc>
        <w:tc>
          <w:tcPr>
            <w:tcW w:w="1380" w:type="dxa"/>
            <w:tcBorders>
              <w:left w:val="nil"/>
              <w:right w:val="nil"/>
            </w:tcBorders>
            <w:vAlign w:val="center"/>
          </w:tcPr>
          <w:p w14:paraId="5A7DE2A4" w14:textId="77777777" w:rsidR="00F50F59" w:rsidRDefault="00F50F59" w:rsidP="00F73CAB">
            <w:pPr>
              <w:keepLines/>
              <w:jc w:val="center"/>
            </w:pPr>
            <w:r>
              <w:rPr>
                <w:color w:val="000000"/>
                <w:sz w:val="17"/>
              </w:rPr>
              <w:t>5 (26.3%)</w:t>
            </w:r>
          </w:p>
        </w:tc>
        <w:tc>
          <w:tcPr>
            <w:tcW w:w="1380" w:type="dxa"/>
            <w:tcBorders>
              <w:left w:val="nil"/>
              <w:right w:val="nil"/>
            </w:tcBorders>
            <w:vAlign w:val="center"/>
          </w:tcPr>
          <w:p w14:paraId="2A6C9668" w14:textId="77777777" w:rsidR="00F50F59" w:rsidRDefault="00F50F59" w:rsidP="00F73CAB">
            <w:pPr>
              <w:keepLines/>
              <w:jc w:val="center"/>
            </w:pPr>
            <w:r>
              <w:rPr>
                <w:color w:val="000000"/>
                <w:sz w:val="17"/>
              </w:rPr>
              <w:t>45 (86.5%)</w:t>
            </w:r>
          </w:p>
        </w:tc>
        <w:tc>
          <w:tcPr>
            <w:tcW w:w="960" w:type="dxa"/>
            <w:tcBorders>
              <w:left w:val="nil"/>
              <w:right w:val="nil"/>
            </w:tcBorders>
            <w:vAlign w:val="center"/>
          </w:tcPr>
          <w:p w14:paraId="22D2CBAE" w14:textId="77777777" w:rsidR="00F50F59" w:rsidRDefault="00F50F59" w:rsidP="00F73CAB">
            <w:pPr>
              <w:keepLines/>
              <w:jc w:val="center"/>
            </w:pPr>
          </w:p>
        </w:tc>
      </w:tr>
      <w:tr w:rsidR="00F50F59" w14:paraId="4054BE49" w14:textId="77777777" w:rsidTr="00F73CAB">
        <w:trPr>
          <w:jc w:val="center"/>
        </w:trPr>
        <w:tc>
          <w:tcPr>
            <w:tcW w:w="3840" w:type="dxa"/>
            <w:tcBorders>
              <w:left w:val="nil"/>
              <w:right w:val="nil"/>
            </w:tcBorders>
            <w:vAlign w:val="center"/>
          </w:tcPr>
          <w:p w14:paraId="28E7213F" w14:textId="77777777" w:rsidR="00F50F59" w:rsidRDefault="00F50F59" w:rsidP="00F73CAB">
            <w:pPr>
              <w:keepLines/>
              <w:ind w:left="144"/>
            </w:pPr>
            <w:r>
              <w:rPr>
                <w:color w:val="000000"/>
                <w:sz w:val="17"/>
              </w:rPr>
              <w:t>Stable disease</w:t>
            </w:r>
          </w:p>
        </w:tc>
        <w:tc>
          <w:tcPr>
            <w:tcW w:w="1380" w:type="dxa"/>
            <w:tcBorders>
              <w:left w:val="nil"/>
              <w:right w:val="nil"/>
            </w:tcBorders>
            <w:vAlign w:val="center"/>
          </w:tcPr>
          <w:p w14:paraId="45F32BDA" w14:textId="77777777" w:rsidR="00F50F59" w:rsidRDefault="00F50F59" w:rsidP="00F73CAB">
            <w:pPr>
              <w:keepLines/>
              <w:jc w:val="center"/>
            </w:pPr>
            <w:r>
              <w:rPr>
                <w:color w:val="000000"/>
                <w:sz w:val="17"/>
              </w:rPr>
              <w:t>21 (29.6%)</w:t>
            </w:r>
          </w:p>
        </w:tc>
        <w:tc>
          <w:tcPr>
            <w:tcW w:w="1380" w:type="dxa"/>
            <w:tcBorders>
              <w:left w:val="nil"/>
              <w:right w:val="nil"/>
            </w:tcBorders>
            <w:vAlign w:val="center"/>
          </w:tcPr>
          <w:p w14:paraId="1CE62C5B" w14:textId="77777777" w:rsidR="00F50F59" w:rsidRDefault="00F50F59" w:rsidP="00F73CAB">
            <w:pPr>
              <w:keepLines/>
              <w:jc w:val="center"/>
            </w:pPr>
            <w:r>
              <w:rPr>
                <w:color w:val="000000"/>
                <w:sz w:val="17"/>
              </w:rPr>
              <w:t>14 (73.7%)</w:t>
            </w:r>
          </w:p>
        </w:tc>
        <w:tc>
          <w:tcPr>
            <w:tcW w:w="1380" w:type="dxa"/>
            <w:tcBorders>
              <w:left w:val="nil"/>
              <w:right w:val="nil"/>
            </w:tcBorders>
            <w:vAlign w:val="center"/>
          </w:tcPr>
          <w:p w14:paraId="45405096" w14:textId="77777777" w:rsidR="00F50F59" w:rsidRDefault="00F50F59" w:rsidP="00F73CAB">
            <w:pPr>
              <w:keepLines/>
              <w:jc w:val="center"/>
            </w:pPr>
            <w:r>
              <w:rPr>
                <w:color w:val="000000"/>
                <w:sz w:val="17"/>
              </w:rPr>
              <w:t>7 (13.5%)</w:t>
            </w:r>
          </w:p>
        </w:tc>
        <w:tc>
          <w:tcPr>
            <w:tcW w:w="960" w:type="dxa"/>
            <w:tcBorders>
              <w:left w:val="nil"/>
              <w:right w:val="nil"/>
            </w:tcBorders>
            <w:vAlign w:val="center"/>
          </w:tcPr>
          <w:p w14:paraId="4F6066CE" w14:textId="77777777" w:rsidR="00F50F59" w:rsidRDefault="00F50F59" w:rsidP="00F73CAB">
            <w:pPr>
              <w:keepLines/>
              <w:jc w:val="center"/>
            </w:pPr>
          </w:p>
        </w:tc>
      </w:tr>
      <w:tr w:rsidR="00F50F59" w14:paraId="1053EDD8" w14:textId="77777777" w:rsidTr="00F73CAB">
        <w:trPr>
          <w:jc w:val="center"/>
        </w:trPr>
        <w:tc>
          <w:tcPr>
            <w:tcW w:w="3840" w:type="dxa"/>
            <w:tcBorders>
              <w:left w:val="nil"/>
              <w:right w:val="nil"/>
            </w:tcBorders>
            <w:vAlign w:val="center"/>
          </w:tcPr>
          <w:p w14:paraId="0E14BB02" w14:textId="77777777" w:rsidR="00F50F59" w:rsidRDefault="00F50F59" w:rsidP="00F73CAB">
            <w:pPr>
              <w:keepLines/>
            </w:pPr>
            <w:r>
              <w:rPr>
                <w:color w:val="000000"/>
                <w:sz w:val="17"/>
              </w:rPr>
              <w:t>Median progression-free survival, months</w:t>
            </w:r>
          </w:p>
        </w:tc>
        <w:tc>
          <w:tcPr>
            <w:tcW w:w="1380" w:type="dxa"/>
            <w:tcBorders>
              <w:left w:val="nil"/>
              <w:right w:val="nil"/>
            </w:tcBorders>
            <w:vAlign w:val="center"/>
          </w:tcPr>
          <w:p w14:paraId="4C56EFF3" w14:textId="77777777" w:rsidR="00F50F59" w:rsidRDefault="00F50F59" w:rsidP="00F73CAB">
            <w:pPr>
              <w:keepLines/>
              <w:jc w:val="center"/>
            </w:pPr>
            <w:r>
              <w:rPr>
                <w:color w:val="000000"/>
                <w:sz w:val="17"/>
              </w:rPr>
              <w:t>7.0 (5.0-10.0)</w:t>
            </w:r>
          </w:p>
        </w:tc>
        <w:tc>
          <w:tcPr>
            <w:tcW w:w="1380" w:type="dxa"/>
            <w:tcBorders>
              <w:left w:val="nil"/>
              <w:right w:val="nil"/>
            </w:tcBorders>
            <w:vAlign w:val="center"/>
          </w:tcPr>
          <w:p w14:paraId="3E402E45" w14:textId="77777777" w:rsidR="00F50F59" w:rsidRDefault="00F50F59" w:rsidP="00F73CAB">
            <w:pPr>
              <w:keepLines/>
              <w:jc w:val="center"/>
            </w:pPr>
            <w:r>
              <w:rPr>
                <w:color w:val="000000"/>
                <w:sz w:val="17"/>
              </w:rPr>
              <w:t>11.0 (9.0-16.0)</w:t>
            </w:r>
          </w:p>
        </w:tc>
        <w:tc>
          <w:tcPr>
            <w:tcW w:w="1380" w:type="dxa"/>
            <w:tcBorders>
              <w:left w:val="nil"/>
              <w:right w:val="nil"/>
            </w:tcBorders>
            <w:vAlign w:val="center"/>
          </w:tcPr>
          <w:p w14:paraId="3F3BE39C" w14:textId="77777777" w:rsidR="00F50F59" w:rsidRDefault="00F50F59" w:rsidP="00F73CAB">
            <w:pPr>
              <w:keepLines/>
              <w:jc w:val="center"/>
            </w:pPr>
            <w:r>
              <w:rPr>
                <w:color w:val="000000"/>
                <w:sz w:val="17"/>
              </w:rPr>
              <w:t>5.0 (3.0-7.0)</w:t>
            </w:r>
          </w:p>
        </w:tc>
        <w:tc>
          <w:tcPr>
            <w:tcW w:w="960" w:type="dxa"/>
            <w:tcBorders>
              <w:left w:val="nil"/>
              <w:right w:val="nil"/>
            </w:tcBorders>
            <w:vAlign w:val="center"/>
          </w:tcPr>
          <w:p w14:paraId="7797A9A4" w14:textId="77777777" w:rsidR="00F50F59" w:rsidRDefault="00F50F59" w:rsidP="00F73CAB">
            <w:pPr>
              <w:keepLines/>
              <w:jc w:val="center"/>
            </w:pPr>
            <w:r>
              <w:rPr>
                <w:color w:val="000000"/>
                <w:sz w:val="17"/>
              </w:rPr>
              <w:t>0.001</w:t>
            </w:r>
          </w:p>
        </w:tc>
      </w:tr>
      <w:tr w:rsidR="00F50F59" w14:paraId="34A18022" w14:textId="77777777" w:rsidTr="00F73CAB">
        <w:trPr>
          <w:jc w:val="center"/>
        </w:trPr>
        <w:tc>
          <w:tcPr>
            <w:tcW w:w="3840" w:type="dxa"/>
            <w:tcBorders>
              <w:left w:val="nil"/>
              <w:bottom w:val="single" w:sz="12" w:space="0" w:color="000000"/>
              <w:right w:val="nil"/>
            </w:tcBorders>
            <w:vAlign w:val="center"/>
          </w:tcPr>
          <w:p w14:paraId="7ED83548" w14:textId="77777777" w:rsidR="00F50F59" w:rsidRDefault="00F50F59" w:rsidP="00F73CAB">
            <w:pPr>
              <w:keepLines/>
            </w:pPr>
            <w:r>
              <w:rPr>
                <w:color w:val="000000"/>
                <w:sz w:val="17"/>
              </w:rPr>
              <w:t>Progression events</w:t>
            </w:r>
          </w:p>
        </w:tc>
        <w:tc>
          <w:tcPr>
            <w:tcW w:w="1380" w:type="dxa"/>
            <w:tcBorders>
              <w:left w:val="nil"/>
              <w:bottom w:val="single" w:sz="12" w:space="0" w:color="000000"/>
              <w:right w:val="nil"/>
            </w:tcBorders>
            <w:vAlign w:val="center"/>
          </w:tcPr>
          <w:p w14:paraId="478105BD" w14:textId="77777777" w:rsidR="00F50F59" w:rsidRDefault="00F50F59" w:rsidP="00F73CAB">
            <w:pPr>
              <w:keepLines/>
              <w:jc w:val="center"/>
            </w:pPr>
            <w:r>
              <w:rPr>
                <w:color w:val="000000"/>
                <w:sz w:val="17"/>
              </w:rPr>
              <w:t>71 (100.0%)</w:t>
            </w:r>
          </w:p>
        </w:tc>
        <w:tc>
          <w:tcPr>
            <w:tcW w:w="1380" w:type="dxa"/>
            <w:tcBorders>
              <w:left w:val="nil"/>
              <w:bottom w:val="single" w:sz="12" w:space="0" w:color="000000"/>
              <w:right w:val="nil"/>
            </w:tcBorders>
            <w:vAlign w:val="center"/>
          </w:tcPr>
          <w:p w14:paraId="3BC603CB" w14:textId="77777777" w:rsidR="00F50F59" w:rsidRDefault="00F50F59" w:rsidP="00F73CAB">
            <w:pPr>
              <w:keepLines/>
              <w:jc w:val="center"/>
            </w:pPr>
            <w:r>
              <w:rPr>
                <w:color w:val="000000"/>
                <w:sz w:val="17"/>
              </w:rPr>
              <w:t>19 (100.0%)</w:t>
            </w:r>
          </w:p>
        </w:tc>
        <w:tc>
          <w:tcPr>
            <w:tcW w:w="1380" w:type="dxa"/>
            <w:tcBorders>
              <w:left w:val="nil"/>
              <w:bottom w:val="single" w:sz="12" w:space="0" w:color="000000"/>
              <w:right w:val="nil"/>
            </w:tcBorders>
            <w:vAlign w:val="center"/>
          </w:tcPr>
          <w:p w14:paraId="368C5E4F" w14:textId="77777777" w:rsidR="00F50F59" w:rsidRDefault="00F50F59" w:rsidP="00F73CAB">
            <w:pPr>
              <w:keepLines/>
              <w:jc w:val="center"/>
            </w:pPr>
            <w:r>
              <w:rPr>
                <w:color w:val="000000"/>
                <w:sz w:val="17"/>
              </w:rPr>
              <w:t>52 (100.0%)</w:t>
            </w:r>
          </w:p>
        </w:tc>
        <w:tc>
          <w:tcPr>
            <w:tcW w:w="960" w:type="dxa"/>
            <w:tcBorders>
              <w:left w:val="nil"/>
              <w:bottom w:val="single" w:sz="12" w:space="0" w:color="000000"/>
              <w:right w:val="nil"/>
            </w:tcBorders>
            <w:vAlign w:val="center"/>
          </w:tcPr>
          <w:p w14:paraId="420AD531" w14:textId="77777777" w:rsidR="00F50F59" w:rsidRDefault="00F50F59" w:rsidP="00F73CAB">
            <w:pPr>
              <w:keepLines/>
              <w:jc w:val="center"/>
            </w:pPr>
            <w:r>
              <w:rPr>
                <w:color w:val="000000"/>
                <w:sz w:val="17"/>
              </w:rPr>
              <w:t>-</w:t>
            </w:r>
          </w:p>
        </w:tc>
      </w:tr>
    </w:tbl>
    <w:p w14:paraId="32BD6F32" w14:textId="210483DC" w:rsidR="003851C7" w:rsidRDefault="00F50F59" w:rsidP="00F50F59">
      <w:pPr>
        <w:keepLines/>
        <w:spacing w:before="100"/>
        <w:rPr>
          <w:color w:val="000000"/>
          <w:sz w:val="15"/>
        </w:rPr>
      </w:pPr>
      <w:r>
        <w:rPr>
          <w:color w:val="000000"/>
          <w:sz w:val="15"/>
        </w:rPr>
        <w:t>P values compare the CEMIP-low and CEMIP-high groups. Age was compared using the two-sided Mann-Whitney U test; categorical variables were compared using the two-sided Fisher exact test or Fisher-Freeman-Halton exact test, as appropriate; progression-free survival was compared using the log-rank test. Median progression-free survival and 95% CIs were estimated by Kaplan-Meier analysis. Stages I-II comprise stages I, IIA, IIB and IIC; stage III comprises stages IIIB and IIIC. No complete or partial responses were recorded; response is therefore reported as best recorded response rather than objective response rate. The assay, scoring procedure and cutoff used to define CEMIP-high and CEMIP-low groups are described in the Methods. CI, confidence interval; MSI-H, microsatellite instability-high; MSS, microsatellite stable; PD, progressive disease; SD, stable disease.</w:t>
      </w:r>
    </w:p>
    <w:p w14:paraId="454350A2" w14:textId="77777777" w:rsidR="003851C7" w:rsidRDefault="003851C7">
      <w:pPr>
        <w:rPr>
          <w:color w:val="000000"/>
          <w:sz w:val="15"/>
        </w:rPr>
      </w:pPr>
      <w:r>
        <w:rPr>
          <w:color w:val="000000"/>
          <w:sz w:val="15"/>
        </w:rPr>
        <w:br w:type="page"/>
      </w:r>
    </w:p>
    <w:p w14:paraId="766FD6B8" w14:textId="77777777" w:rsidR="00F50F59" w:rsidRDefault="00F50F59" w:rsidP="00F50F59">
      <w:pPr>
        <w:keepNext/>
        <w:keepLines/>
        <w:spacing w:after="100"/>
      </w:pPr>
      <w:r>
        <w:rPr>
          <w:b/>
          <w:color w:val="000000"/>
          <w:sz w:val="22"/>
        </w:rPr>
        <w:lastRenderedPageBreak/>
        <w:t>Supplementary Table S2A | Firth logistic regression for disease control</w:t>
      </w:r>
    </w:p>
    <w:tbl>
      <w:tblPr>
        <w:tblW w:w="8160" w:type="dxa"/>
        <w:jc w:val="center"/>
        <w:tblLayout w:type="fixed"/>
        <w:tblLook w:val="04A0" w:firstRow="1" w:lastRow="0" w:firstColumn="1" w:lastColumn="0" w:noHBand="0" w:noVBand="1"/>
      </w:tblPr>
      <w:tblGrid>
        <w:gridCol w:w="2880"/>
        <w:gridCol w:w="1740"/>
        <w:gridCol w:w="900"/>
        <w:gridCol w:w="1740"/>
        <w:gridCol w:w="900"/>
      </w:tblGrid>
      <w:tr w:rsidR="00F50F59" w14:paraId="030E0555" w14:textId="77777777" w:rsidTr="00F73CAB">
        <w:trPr>
          <w:tblHeader/>
          <w:jc w:val="center"/>
        </w:trPr>
        <w:tc>
          <w:tcPr>
            <w:tcW w:w="288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3B8D3672" w14:textId="77777777" w:rsidR="00F50F59" w:rsidRDefault="00F50F59" w:rsidP="00F73CAB">
            <w:pPr>
              <w:keepLines/>
              <w:jc w:val="center"/>
            </w:pPr>
            <w:r>
              <w:rPr>
                <w:b/>
                <w:color w:val="000000"/>
                <w:sz w:val="16"/>
              </w:rPr>
              <w:t>Variable</w:t>
            </w:r>
          </w:p>
        </w:tc>
        <w:tc>
          <w:tcPr>
            <w:tcW w:w="174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336E98F1" w14:textId="77777777" w:rsidR="00F50F59" w:rsidRDefault="00F50F59" w:rsidP="00F73CAB">
            <w:pPr>
              <w:keepLines/>
              <w:jc w:val="center"/>
            </w:pPr>
            <w:r>
              <w:rPr>
                <w:b/>
                <w:color w:val="000000"/>
                <w:sz w:val="16"/>
              </w:rPr>
              <w:t>Univariable OR</w:t>
            </w:r>
            <w:r>
              <w:rPr>
                <w:b/>
                <w:color w:val="000000"/>
                <w:sz w:val="16"/>
              </w:rPr>
              <w:br/>
              <w:t>(95% CI)</w:t>
            </w:r>
          </w:p>
        </w:tc>
        <w:tc>
          <w:tcPr>
            <w:tcW w:w="9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34EE341C" w14:textId="77777777" w:rsidR="00F50F59" w:rsidRDefault="00F50F59" w:rsidP="00F73CAB">
            <w:pPr>
              <w:keepLines/>
              <w:jc w:val="center"/>
            </w:pPr>
            <w:r>
              <w:rPr>
                <w:b/>
                <w:color w:val="000000"/>
                <w:sz w:val="16"/>
              </w:rPr>
              <w:t>P value</w:t>
            </w:r>
          </w:p>
        </w:tc>
        <w:tc>
          <w:tcPr>
            <w:tcW w:w="174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3151F8DB" w14:textId="77777777" w:rsidR="00F50F59" w:rsidRDefault="00F50F59" w:rsidP="00F73CAB">
            <w:pPr>
              <w:keepLines/>
              <w:jc w:val="center"/>
            </w:pPr>
            <w:r>
              <w:rPr>
                <w:b/>
                <w:color w:val="000000"/>
                <w:sz w:val="16"/>
              </w:rPr>
              <w:t>Adjusted OR</w:t>
            </w:r>
            <w:r>
              <w:rPr>
                <w:b/>
                <w:color w:val="000000"/>
                <w:sz w:val="16"/>
              </w:rPr>
              <w:br/>
              <w:t>(95% CI)</w:t>
            </w:r>
          </w:p>
        </w:tc>
        <w:tc>
          <w:tcPr>
            <w:tcW w:w="9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30C4A581" w14:textId="77777777" w:rsidR="00F50F59" w:rsidRDefault="00F50F59" w:rsidP="00F73CAB">
            <w:pPr>
              <w:keepLines/>
              <w:jc w:val="center"/>
            </w:pPr>
            <w:r>
              <w:rPr>
                <w:b/>
                <w:color w:val="000000"/>
                <w:sz w:val="16"/>
              </w:rPr>
              <w:t>P value</w:t>
            </w:r>
          </w:p>
        </w:tc>
      </w:tr>
      <w:tr w:rsidR="00F50F59" w14:paraId="127C1873" w14:textId="77777777" w:rsidTr="00F73CAB">
        <w:trPr>
          <w:jc w:val="center"/>
        </w:trPr>
        <w:tc>
          <w:tcPr>
            <w:tcW w:w="2880" w:type="dxa"/>
            <w:tcBorders>
              <w:left w:val="nil"/>
              <w:right w:val="nil"/>
            </w:tcBorders>
            <w:vAlign w:val="center"/>
          </w:tcPr>
          <w:p w14:paraId="4BEF3B96" w14:textId="77777777" w:rsidR="00F50F59" w:rsidRDefault="00F50F59" w:rsidP="00F73CAB">
            <w:pPr>
              <w:keepLines/>
            </w:pPr>
            <w:r>
              <w:rPr>
                <w:color w:val="000000"/>
                <w:sz w:val="17"/>
              </w:rPr>
              <w:t>High versus low CEMIP</w:t>
            </w:r>
          </w:p>
        </w:tc>
        <w:tc>
          <w:tcPr>
            <w:tcW w:w="1740" w:type="dxa"/>
            <w:tcBorders>
              <w:left w:val="nil"/>
              <w:right w:val="nil"/>
            </w:tcBorders>
            <w:vAlign w:val="center"/>
          </w:tcPr>
          <w:p w14:paraId="33CDBBB1" w14:textId="77777777" w:rsidR="00F50F59" w:rsidRDefault="00F50F59" w:rsidP="00F73CAB">
            <w:pPr>
              <w:keepLines/>
              <w:jc w:val="center"/>
            </w:pPr>
            <w:r>
              <w:rPr>
                <w:color w:val="000000"/>
                <w:sz w:val="17"/>
              </w:rPr>
              <w:t>0.06 (0.02-0.21)</w:t>
            </w:r>
          </w:p>
        </w:tc>
        <w:tc>
          <w:tcPr>
            <w:tcW w:w="900" w:type="dxa"/>
            <w:tcBorders>
              <w:left w:val="nil"/>
              <w:right w:val="nil"/>
            </w:tcBorders>
            <w:vAlign w:val="center"/>
          </w:tcPr>
          <w:p w14:paraId="76A649BE" w14:textId="77777777" w:rsidR="00F50F59" w:rsidRDefault="00F50F59" w:rsidP="00F73CAB">
            <w:pPr>
              <w:keepLines/>
              <w:jc w:val="center"/>
            </w:pPr>
            <w:r>
              <w:rPr>
                <w:color w:val="000000"/>
                <w:sz w:val="17"/>
              </w:rPr>
              <w:t>&lt;0.001</w:t>
            </w:r>
          </w:p>
        </w:tc>
        <w:tc>
          <w:tcPr>
            <w:tcW w:w="1740" w:type="dxa"/>
            <w:tcBorders>
              <w:left w:val="nil"/>
              <w:right w:val="nil"/>
            </w:tcBorders>
            <w:vAlign w:val="center"/>
          </w:tcPr>
          <w:p w14:paraId="6467F30F" w14:textId="77777777" w:rsidR="00F50F59" w:rsidRDefault="00F50F59" w:rsidP="00F73CAB">
            <w:pPr>
              <w:keepLines/>
              <w:jc w:val="center"/>
            </w:pPr>
            <w:r>
              <w:rPr>
                <w:color w:val="000000"/>
                <w:sz w:val="17"/>
              </w:rPr>
              <w:t>0.09 (0.02-0.31)</w:t>
            </w:r>
          </w:p>
        </w:tc>
        <w:tc>
          <w:tcPr>
            <w:tcW w:w="900" w:type="dxa"/>
            <w:tcBorders>
              <w:left w:val="nil"/>
              <w:right w:val="nil"/>
            </w:tcBorders>
            <w:vAlign w:val="center"/>
          </w:tcPr>
          <w:p w14:paraId="02E47C2A" w14:textId="77777777" w:rsidR="00F50F59" w:rsidRDefault="00F50F59" w:rsidP="00F73CAB">
            <w:pPr>
              <w:keepLines/>
              <w:jc w:val="center"/>
            </w:pPr>
            <w:r>
              <w:rPr>
                <w:color w:val="000000"/>
                <w:sz w:val="17"/>
              </w:rPr>
              <w:t>&lt;0.001</w:t>
            </w:r>
          </w:p>
        </w:tc>
      </w:tr>
      <w:tr w:rsidR="00F50F59" w14:paraId="71994B15" w14:textId="77777777" w:rsidTr="00F73CAB">
        <w:trPr>
          <w:jc w:val="center"/>
        </w:trPr>
        <w:tc>
          <w:tcPr>
            <w:tcW w:w="2880" w:type="dxa"/>
            <w:tcBorders>
              <w:left w:val="nil"/>
              <w:right w:val="nil"/>
            </w:tcBorders>
            <w:vAlign w:val="center"/>
          </w:tcPr>
          <w:p w14:paraId="3DC2A84E" w14:textId="77777777" w:rsidR="00F50F59" w:rsidRDefault="00F50F59" w:rsidP="00F73CAB">
            <w:pPr>
              <w:keepLines/>
            </w:pPr>
            <w:r>
              <w:rPr>
                <w:color w:val="000000"/>
                <w:sz w:val="17"/>
              </w:rPr>
              <w:t>Age, per 10-year increase</w:t>
            </w:r>
          </w:p>
        </w:tc>
        <w:tc>
          <w:tcPr>
            <w:tcW w:w="1740" w:type="dxa"/>
            <w:tcBorders>
              <w:left w:val="nil"/>
              <w:right w:val="nil"/>
            </w:tcBorders>
            <w:vAlign w:val="center"/>
          </w:tcPr>
          <w:p w14:paraId="6FBF8F7A" w14:textId="77777777" w:rsidR="00F50F59" w:rsidRDefault="00F50F59" w:rsidP="00F73CAB">
            <w:pPr>
              <w:keepLines/>
              <w:jc w:val="center"/>
            </w:pPr>
            <w:r>
              <w:rPr>
                <w:color w:val="000000"/>
                <w:sz w:val="17"/>
              </w:rPr>
              <w:t>0.88 (0.58-1.36)</w:t>
            </w:r>
          </w:p>
        </w:tc>
        <w:tc>
          <w:tcPr>
            <w:tcW w:w="900" w:type="dxa"/>
            <w:tcBorders>
              <w:left w:val="nil"/>
              <w:right w:val="nil"/>
            </w:tcBorders>
            <w:vAlign w:val="center"/>
          </w:tcPr>
          <w:p w14:paraId="22F01EAD" w14:textId="77777777" w:rsidR="00F50F59" w:rsidRDefault="00F50F59" w:rsidP="00F73CAB">
            <w:pPr>
              <w:keepLines/>
              <w:jc w:val="center"/>
            </w:pPr>
            <w:r>
              <w:rPr>
                <w:color w:val="000000"/>
                <w:sz w:val="17"/>
              </w:rPr>
              <w:t>0.567</w:t>
            </w:r>
          </w:p>
        </w:tc>
        <w:tc>
          <w:tcPr>
            <w:tcW w:w="1740" w:type="dxa"/>
            <w:tcBorders>
              <w:left w:val="nil"/>
              <w:right w:val="nil"/>
            </w:tcBorders>
            <w:vAlign w:val="center"/>
          </w:tcPr>
          <w:p w14:paraId="70D5A74A" w14:textId="77777777" w:rsidR="00F50F59" w:rsidRDefault="00F50F59" w:rsidP="00F73CAB">
            <w:pPr>
              <w:keepLines/>
              <w:jc w:val="center"/>
            </w:pPr>
            <w:r>
              <w:rPr>
                <w:color w:val="000000"/>
                <w:sz w:val="17"/>
              </w:rPr>
              <w:t>0.78 (0.45-1.35)</w:t>
            </w:r>
          </w:p>
        </w:tc>
        <w:tc>
          <w:tcPr>
            <w:tcW w:w="900" w:type="dxa"/>
            <w:tcBorders>
              <w:left w:val="nil"/>
              <w:right w:val="nil"/>
            </w:tcBorders>
            <w:vAlign w:val="center"/>
          </w:tcPr>
          <w:p w14:paraId="4F7FB6EC" w14:textId="77777777" w:rsidR="00F50F59" w:rsidRDefault="00F50F59" w:rsidP="00F73CAB">
            <w:pPr>
              <w:keepLines/>
              <w:jc w:val="center"/>
            </w:pPr>
            <w:r>
              <w:rPr>
                <w:color w:val="000000"/>
                <w:sz w:val="17"/>
              </w:rPr>
              <w:t>0.373</w:t>
            </w:r>
          </w:p>
        </w:tc>
      </w:tr>
      <w:tr w:rsidR="00F50F59" w14:paraId="309E4C96" w14:textId="77777777" w:rsidTr="00F73CAB">
        <w:trPr>
          <w:jc w:val="center"/>
        </w:trPr>
        <w:tc>
          <w:tcPr>
            <w:tcW w:w="2880" w:type="dxa"/>
            <w:tcBorders>
              <w:left w:val="nil"/>
              <w:right w:val="nil"/>
            </w:tcBorders>
            <w:vAlign w:val="center"/>
          </w:tcPr>
          <w:p w14:paraId="20E24C2F" w14:textId="77777777" w:rsidR="00F50F59" w:rsidRDefault="00F50F59" w:rsidP="00F73CAB">
            <w:pPr>
              <w:keepLines/>
            </w:pPr>
            <w:r>
              <w:rPr>
                <w:color w:val="000000"/>
                <w:sz w:val="17"/>
              </w:rPr>
              <w:t>Male versus female</w:t>
            </w:r>
          </w:p>
        </w:tc>
        <w:tc>
          <w:tcPr>
            <w:tcW w:w="1740" w:type="dxa"/>
            <w:tcBorders>
              <w:left w:val="nil"/>
              <w:right w:val="nil"/>
            </w:tcBorders>
            <w:vAlign w:val="center"/>
          </w:tcPr>
          <w:p w14:paraId="24915BC0" w14:textId="77777777" w:rsidR="00F50F59" w:rsidRDefault="00F50F59" w:rsidP="00F73CAB">
            <w:pPr>
              <w:keepLines/>
              <w:jc w:val="center"/>
            </w:pPr>
            <w:r>
              <w:rPr>
                <w:color w:val="000000"/>
                <w:sz w:val="17"/>
              </w:rPr>
              <w:t>0.52 (0.19-1.46)</w:t>
            </w:r>
          </w:p>
        </w:tc>
        <w:tc>
          <w:tcPr>
            <w:tcW w:w="900" w:type="dxa"/>
            <w:tcBorders>
              <w:left w:val="nil"/>
              <w:right w:val="nil"/>
            </w:tcBorders>
            <w:vAlign w:val="center"/>
          </w:tcPr>
          <w:p w14:paraId="7779A2D2" w14:textId="77777777" w:rsidR="00F50F59" w:rsidRDefault="00F50F59" w:rsidP="00F73CAB">
            <w:pPr>
              <w:keepLines/>
              <w:jc w:val="center"/>
            </w:pPr>
            <w:r>
              <w:rPr>
                <w:color w:val="000000"/>
                <w:sz w:val="17"/>
              </w:rPr>
              <w:t>0.215</w:t>
            </w:r>
          </w:p>
        </w:tc>
        <w:tc>
          <w:tcPr>
            <w:tcW w:w="1740" w:type="dxa"/>
            <w:tcBorders>
              <w:left w:val="nil"/>
              <w:right w:val="nil"/>
            </w:tcBorders>
            <w:vAlign w:val="center"/>
          </w:tcPr>
          <w:p w14:paraId="10685CD6" w14:textId="77777777" w:rsidR="00F50F59" w:rsidRDefault="00F50F59" w:rsidP="00F73CAB">
            <w:pPr>
              <w:keepLines/>
              <w:jc w:val="center"/>
            </w:pPr>
            <w:r>
              <w:rPr>
                <w:color w:val="000000"/>
                <w:sz w:val="17"/>
              </w:rPr>
              <w:t>0.94 (0.26-3.62)</w:t>
            </w:r>
          </w:p>
        </w:tc>
        <w:tc>
          <w:tcPr>
            <w:tcW w:w="900" w:type="dxa"/>
            <w:tcBorders>
              <w:left w:val="nil"/>
              <w:right w:val="nil"/>
            </w:tcBorders>
            <w:vAlign w:val="center"/>
          </w:tcPr>
          <w:p w14:paraId="0EBE2BAD" w14:textId="77777777" w:rsidR="00F50F59" w:rsidRDefault="00F50F59" w:rsidP="00F73CAB">
            <w:pPr>
              <w:keepLines/>
              <w:jc w:val="center"/>
            </w:pPr>
            <w:r>
              <w:rPr>
                <w:color w:val="000000"/>
                <w:sz w:val="17"/>
              </w:rPr>
              <w:t>0.923</w:t>
            </w:r>
          </w:p>
        </w:tc>
      </w:tr>
      <w:tr w:rsidR="00F50F59" w14:paraId="1078EC95" w14:textId="77777777" w:rsidTr="00F73CAB">
        <w:trPr>
          <w:jc w:val="center"/>
        </w:trPr>
        <w:tc>
          <w:tcPr>
            <w:tcW w:w="2880" w:type="dxa"/>
            <w:tcBorders>
              <w:left w:val="nil"/>
              <w:right w:val="nil"/>
            </w:tcBorders>
            <w:vAlign w:val="center"/>
          </w:tcPr>
          <w:p w14:paraId="43ECEDEF" w14:textId="77777777" w:rsidR="00F50F59" w:rsidRDefault="00F50F59" w:rsidP="00F73CAB">
            <w:pPr>
              <w:keepLines/>
            </w:pPr>
            <w:r>
              <w:rPr>
                <w:color w:val="000000"/>
                <w:sz w:val="17"/>
              </w:rPr>
              <w:t>MSI-H versus MSS</w:t>
            </w:r>
          </w:p>
        </w:tc>
        <w:tc>
          <w:tcPr>
            <w:tcW w:w="1740" w:type="dxa"/>
            <w:tcBorders>
              <w:left w:val="nil"/>
              <w:right w:val="nil"/>
            </w:tcBorders>
            <w:vAlign w:val="center"/>
          </w:tcPr>
          <w:p w14:paraId="7370C2B0" w14:textId="77777777" w:rsidR="00F50F59" w:rsidRDefault="00F50F59" w:rsidP="00F73CAB">
            <w:pPr>
              <w:keepLines/>
              <w:jc w:val="center"/>
            </w:pPr>
            <w:r>
              <w:rPr>
                <w:color w:val="000000"/>
                <w:sz w:val="17"/>
              </w:rPr>
              <w:t>4.52 (1.08-21.48)</w:t>
            </w:r>
          </w:p>
        </w:tc>
        <w:tc>
          <w:tcPr>
            <w:tcW w:w="900" w:type="dxa"/>
            <w:tcBorders>
              <w:left w:val="nil"/>
              <w:right w:val="nil"/>
            </w:tcBorders>
            <w:vAlign w:val="center"/>
          </w:tcPr>
          <w:p w14:paraId="47E9C41C" w14:textId="77777777" w:rsidR="00F50F59" w:rsidRDefault="00F50F59" w:rsidP="00F73CAB">
            <w:pPr>
              <w:keepLines/>
              <w:jc w:val="center"/>
            </w:pPr>
            <w:r>
              <w:rPr>
                <w:color w:val="000000"/>
                <w:sz w:val="17"/>
              </w:rPr>
              <w:t>0.039</w:t>
            </w:r>
          </w:p>
        </w:tc>
        <w:tc>
          <w:tcPr>
            <w:tcW w:w="1740" w:type="dxa"/>
            <w:tcBorders>
              <w:left w:val="nil"/>
              <w:right w:val="nil"/>
            </w:tcBorders>
            <w:vAlign w:val="center"/>
          </w:tcPr>
          <w:p w14:paraId="6E154ED8" w14:textId="77777777" w:rsidR="00F50F59" w:rsidRDefault="00F50F59" w:rsidP="00F73CAB">
            <w:pPr>
              <w:keepLines/>
              <w:jc w:val="center"/>
            </w:pPr>
            <w:r>
              <w:rPr>
                <w:color w:val="000000"/>
                <w:sz w:val="17"/>
              </w:rPr>
              <w:t>5.21 (0.77-39.69)</w:t>
            </w:r>
          </w:p>
        </w:tc>
        <w:tc>
          <w:tcPr>
            <w:tcW w:w="900" w:type="dxa"/>
            <w:tcBorders>
              <w:left w:val="nil"/>
              <w:right w:val="nil"/>
            </w:tcBorders>
            <w:vAlign w:val="center"/>
          </w:tcPr>
          <w:p w14:paraId="427EAB28" w14:textId="77777777" w:rsidR="00F50F59" w:rsidRDefault="00F50F59" w:rsidP="00F73CAB">
            <w:pPr>
              <w:keepLines/>
              <w:jc w:val="center"/>
            </w:pPr>
            <w:r>
              <w:rPr>
                <w:color w:val="000000"/>
                <w:sz w:val="17"/>
              </w:rPr>
              <w:t>0.091</w:t>
            </w:r>
          </w:p>
        </w:tc>
      </w:tr>
      <w:tr w:rsidR="00F50F59" w14:paraId="0D4F4A49" w14:textId="77777777" w:rsidTr="00F73CAB">
        <w:trPr>
          <w:jc w:val="center"/>
        </w:trPr>
        <w:tc>
          <w:tcPr>
            <w:tcW w:w="2880" w:type="dxa"/>
            <w:tcBorders>
              <w:left w:val="nil"/>
              <w:bottom w:val="single" w:sz="12" w:space="0" w:color="000000"/>
              <w:right w:val="nil"/>
            </w:tcBorders>
            <w:vAlign w:val="center"/>
          </w:tcPr>
          <w:p w14:paraId="0A18DBCF" w14:textId="77777777" w:rsidR="00F50F59" w:rsidRDefault="00F50F59" w:rsidP="00F73CAB">
            <w:pPr>
              <w:keepLines/>
            </w:pPr>
            <w:r>
              <w:rPr>
                <w:color w:val="000000"/>
                <w:sz w:val="17"/>
              </w:rPr>
              <w:t>Stage IV versus stages I-III</w:t>
            </w:r>
          </w:p>
        </w:tc>
        <w:tc>
          <w:tcPr>
            <w:tcW w:w="1740" w:type="dxa"/>
            <w:tcBorders>
              <w:left w:val="nil"/>
              <w:bottom w:val="single" w:sz="12" w:space="0" w:color="000000"/>
              <w:right w:val="nil"/>
            </w:tcBorders>
            <w:vAlign w:val="center"/>
          </w:tcPr>
          <w:p w14:paraId="76B55935" w14:textId="77777777" w:rsidR="00F50F59" w:rsidRDefault="00F50F59" w:rsidP="00F73CAB">
            <w:pPr>
              <w:keepLines/>
              <w:jc w:val="center"/>
            </w:pPr>
            <w:r>
              <w:rPr>
                <w:color w:val="000000"/>
                <w:sz w:val="17"/>
              </w:rPr>
              <w:t>1.96 (0.72-5.51)</w:t>
            </w:r>
          </w:p>
        </w:tc>
        <w:tc>
          <w:tcPr>
            <w:tcW w:w="900" w:type="dxa"/>
            <w:tcBorders>
              <w:left w:val="nil"/>
              <w:bottom w:val="single" w:sz="12" w:space="0" w:color="000000"/>
              <w:right w:val="nil"/>
            </w:tcBorders>
            <w:vAlign w:val="center"/>
          </w:tcPr>
          <w:p w14:paraId="262C2B42" w14:textId="77777777" w:rsidR="00F50F59" w:rsidRDefault="00F50F59" w:rsidP="00F73CAB">
            <w:pPr>
              <w:keepLines/>
              <w:jc w:val="center"/>
            </w:pPr>
            <w:r>
              <w:rPr>
                <w:color w:val="000000"/>
                <w:sz w:val="17"/>
              </w:rPr>
              <w:t>0.191</w:t>
            </w:r>
          </w:p>
        </w:tc>
        <w:tc>
          <w:tcPr>
            <w:tcW w:w="1740" w:type="dxa"/>
            <w:tcBorders>
              <w:left w:val="nil"/>
              <w:bottom w:val="single" w:sz="12" w:space="0" w:color="000000"/>
              <w:right w:val="nil"/>
            </w:tcBorders>
            <w:vAlign w:val="center"/>
          </w:tcPr>
          <w:p w14:paraId="07845720" w14:textId="77777777" w:rsidR="00F50F59" w:rsidRDefault="00F50F59" w:rsidP="00F73CAB">
            <w:pPr>
              <w:keepLines/>
              <w:jc w:val="center"/>
            </w:pPr>
            <w:r>
              <w:rPr>
                <w:color w:val="000000"/>
                <w:sz w:val="17"/>
              </w:rPr>
              <w:t>1.80 (0.45-7.48)</w:t>
            </w:r>
          </w:p>
        </w:tc>
        <w:tc>
          <w:tcPr>
            <w:tcW w:w="900" w:type="dxa"/>
            <w:tcBorders>
              <w:left w:val="nil"/>
              <w:bottom w:val="single" w:sz="12" w:space="0" w:color="000000"/>
              <w:right w:val="nil"/>
            </w:tcBorders>
            <w:vAlign w:val="center"/>
          </w:tcPr>
          <w:p w14:paraId="7B0F196C" w14:textId="77777777" w:rsidR="00F50F59" w:rsidRDefault="00F50F59" w:rsidP="00F73CAB">
            <w:pPr>
              <w:keepLines/>
              <w:jc w:val="center"/>
            </w:pPr>
            <w:r>
              <w:rPr>
                <w:color w:val="000000"/>
                <w:sz w:val="17"/>
              </w:rPr>
              <w:t>0.401</w:t>
            </w:r>
          </w:p>
        </w:tc>
      </w:tr>
    </w:tbl>
    <w:p w14:paraId="35E18459" w14:textId="0894712B" w:rsidR="00F50F59" w:rsidRDefault="00F50F59" w:rsidP="00F50F59">
      <w:pPr>
        <w:keepLines/>
        <w:spacing w:before="100"/>
        <w:rPr>
          <w:color w:val="000000"/>
          <w:sz w:val="15"/>
        </w:rPr>
      </w:pPr>
      <w:r>
        <w:rPr>
          <w:color w:val="000000"/>
          <w:sz w:val="15"/>
        </w:rPr>
        <w:t>Disease control was defined as stable disease (SD=1) versus progressive disease (PD=0). Firth penalized logistic regression was used because of sparse outcome-covariate patterns. The adjusted model included all variables shown. Profile penalized-likelihood 95% CIs and penalized likelihood-ratio P values are reported. The analysis included all 71 patients, with 21 disease-control events and no missing values in the variables analyzed. Results are exploratory. CI, confidence interval; OR, odds ratio.</w:t>
      </w:r>
    </w:p>
    <w:p w14:paraId="41C62429" w14:textId="044307E9" w:rsidR="005E5066" w:rsidRDefault="005E5066">
      <w:r>
        <w:br w:type="page"/>
      </w:r>
    </w:p>
    <w:p w14:paraId="279F1C28" w14:textId="77777777" w:rsidR="00F50F59" w:rsidRDefault="00F50F59" w:rsidP="00F50F59">
      <w:pPr>
        <w:keepNext/>
        <w:keepLines/>
        <w:spacing w:after="100"/>
      </w:pPr>
      <w:r>
        <w:rPr>
          <w:b/>
          <w:color w:val="000000"/>
          <w:sz w:val="22"/>
        </w:rPr>
        <w:lastRenderedPageBreak/>
        <w:t>Supplementary Table S2B | Cox regression for progression-free survival</w:t>
      </w:r>
    </w:p>
    <w:tbl>
      <w:tblPr>
        <w:tblW w:w="8160" w:type="dxa"/>
        <w:jc w:val="center"/>
        <w:tblLayout w:type="fixed"/>
        <w:tblLook w:val="04A0" w:firstRow="1" w:lastRow="0" w:firstColumn="1" w:lastColumn="0" w:noHBand="0" w:noVBand="1"/>
      </w:tblPr>
      <w:tblGrid>
        <w:gridCol w:w="2880"/>
        <w:gridCol w:w="1740"/>
        <w:gridCol w:w="900"/>
        <w:gridCol w:w="1740"/>
        <w:gridCol w:w="900"/>
      </w:tblGrid>
      <w:tr w:rsidR="00F50F59" w14:paraId="40F10017" w14:textId="77777777" w:rsidTr="00F73CAB">
        <w:trPr>
          <w:tblHeader/>
          <w:jc w:val="center"/>
        </w:trPr>
        <w:tc>
          <w:tcPr>
            <w:tcW w:w="288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1E07EB7F" w14:textId="77777777" w:rsidR="00F50F59" w:rsidRDefault="00F50F59" w:rsidP="00F73CAB">
            <w:pPr>
              <w:keepLines/>
              <w:jc w:val="center"/>
            </w:pPr>
            <w:r>
              <w:rPr>
                <w:b/>
                <w:color w:val="000000"/>
                <w:sz w:val="16"/>
              </w:rPr>
              <w:t>Variable</w:t>
            </w:r>
          </w:p>
        </w:tc>
        <w:tc>
          <w:tcPr>
            <w:tcW w:w="174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30E22D1F" w14:textId="77777777" w:rsidR="00F50F59" w:rsidRDefault="00F50F59" w:rsidP="00F73CAB">
            <w:pPr>
              <w:keepLines/>
              <w:jc w:val="center"/>
            </w:pPr>
            <w:r>
              <w:rPr>
                <w:b/>
                <w:color w:val="000000"/>
                <w:sz w:val="16"/>
              </w:rPr>
              <w:t>Univariable HR</w:t>
            </w:r>
            <w:r>
              <w:rPr>
                <w:b/>
                <w:color w:val="000000"/>
                <w:sz w:val="16"/>
              </w:rPr>
              <w:br/>
              <w:t>(95% CI)</w:t>
            </w:r>
          </w:p>
        </w:tc>
        <w:tc>
          <w:tcPr>
            <w:tcW w:w="9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6FE9CAC3" w14:textId="77777777" w:rsidR="00F50F59" w:rsidRDefault="00F50F59" w:rsidP="00F73CAB">
            <w:pPr>
              <w:keepLines/>
              <w:jc w:val="center"/>
            </w:pPr>
            <w:r>
              <w:rPr>
                <w:b/>
                <w:color w:val="000000"/>
                <w:sz w:val="16"/>
              </w:rPr>
              <w:t>P value</w:t>
            </w:r>
          </w:p>
        </w:tc>
        <w:tc>
          <w:tcPr>
            <w:tcW w:w="174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77148622" w14:textId="77777777" w:rsidR="00F50F59" w:rsidRDefault="00F50F59" w:rsidP="00F73CAB">
            <w:pPr>
              <w:keepLines/>
              <w:jc w:val="center"/>
            </w:pPr>
            <w:r>
              <w:rPr>
                <w:b/>
                <w:color w:val="000000"/>
                <w:sz w:val="16"/>
              </w:rPr>
              <w:t>Adjusted HR</w:t>
            </w:r>
            <w:r>
              <w:rPr>
                <w:b/>
                <w:color w:val="000000"/>
                <w:sz w:val="16"/>
              </w:rPr>
              <w:br/>
              <w:t>(95% CI)</w:t>
            </w:r>
          </w:p>
        </w:tc>
        <w:tc>
          <w:tcPr>
            <w:tcW w:w="9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696ACABF" w14:textId="77777777" w:rsidR="00F50F59" w:rsidRDefault="00F50F59" w:rsidP="00F73CAB">
            <w:pPr>
              <w:keepLines/>
              <w:jc w:val="center"/>
            </w:pPr>
            <w:r>
              <w:rPr>
                <w:b/>
                <w:color w:val="000000"/>
                <w:sz w:val="16"/>
              </w:rPr>
              <w:t>P value</w:t>
            </w:r>
          </w:p>
        </w:tc>
      </w:tr>
      <w:tr w:rsidR="00F50F59" w14:paraId="61C72D1B" w14:textId="77777777" w:rsidTr="00F73CAB">
        <w:trPr>
          <w:jc w:val="center"/>
        </w:trPr>
        <w:tc>
          <w:tcPr>
            <w:tcW w:w="2880" w:type="dxa"/>
            <w:tcBorders>
              <w:left w:val="nil"/>
              <w:right w:val="nil"/>
            </w:tcBorders>
            <w:vAlign w:val="center"/>
          </w:tcPr>
          <w:p w14:paraId="789D521C" w14:textId="77777777" w:rsidR="00F50F59" w:rsidRDefault="00F50F59" w:rsidP="00F73CAB">
            <w:pPr>
              <w:keepLines/>
            </w:pPr>
            <w:r>
              <w:rPr>
                <w:color w:val="000000"/>
                <w:sz w:val="17"/>
              </w:rPr>
              <w:t>High versus low CEMIP</w:t>
            </w:r>
          </w:p>
        </w:tc>
        <w:tc>
          <w:tcPr>
            <w:tcW w:w="1740" w:type="dxa"/>
            <w:tcBorders>
              <w:left w:val="nil"/>
              <w:right w:val="nil"/>
            </w:tcBorders>
            <w:vAlign w:val="center"/>
          </w:tcPr>
          <w:p w14:paraId="4664019E" w14:textId="77777777" w:rsidR="00F50F59" w:rsidRDefault="00F50F59" w:rsidP="00F73CAB">
            <w:pPr>
              <w:keepLines/>
              <w:jc w:val="center"/>
            </w:pPr>
            <w:r>
              <w:rPr>
                <w:color w:val="000000"/>
                <w:sz w:val="17"/>
              </w:rPr>
              <w:t>2.35 (1.36-4.04)</w:t>
            </w:r>
          </w:p>
        </w:tc>
        <w:tc>
          <w:tcPr>
            <w:tcW w:w="900" w:type="dxa"/>
            <w:tcBorders>
              <w:left w:val="nil"/>
              <w:right w:val="nil"/>
            </w:tcBorders>
            <w:vAlign w:val="center"/>
          </w:tcPr>
          <w:p w14:paraId="059EF793" w14:textId="77777777" w:rsidR="00F50F59" w:rsidRDefault="00F50F59" w:rsidP="00F73CAB">
            <w:pPr>
              <w:keepLines/>
              <w:jc w:val="center"/>
            </w:pPr>
            <w:r>
              <w:rPr>
                <w:color w:val="000000"/>
                <w:sz w:val="17"/>
              </w:rPr>
              <w:t>0.002</w:t>
            </w:r>
          </w:p>
        </w:tc>
        <w:tc>
          <w:tcPr>
            <w:tcW w:w="1740" w:type="dxa"/>
            <w:tcBorders>
              <w:left w:val="nil"/>
              <w:right w:val="nil"/>
            </w:tcBorders>
            <w:vAlign w:val="center"/>
          </w:tcPr>
          <w:p w14:paraId="3E8C6877" w14:textId="77777777" w:rsidR="00F50F59" w:rsidRDefault="00F50F59" w:rsidP="00F73CAB">
            <w:pPr>
              <w:keepLines/>
              <w:jc w:val="center"/>
            </w:pPr>
            <w:r>
              <w:rPr>
                <w:color w:val="000000"/>
                <w:sz w:val="17"/>
              </w:rPr>
              <w:t>4.57 (2.28-9.16)</w:t>
            </w:r>
          </w:p>
        </w:tc>
        <w:tc>
          <w:tcPr>
            <w:tcW w:w="900" w:type="dxa"/>
            <w:tcBorders>
              <w:left w:val="nil"/>
              <w:right w:val="nil"/>
            </w:tcBorders>
            <w:vAlign w:val="center"/>
          </w:tcPr>
          <w:p w14:paraId="2B908190" w14:textId="77777777" w:rsidR="00F50F59" w:rsidRDefault="00F50F59" w:rsidP="00F73CAB">
            <w:pPr>
              <w:keepLines/>
              <w:jc w:val="center"/>
            </w:pPr>
            <w:r>
              <w:rPr>
                <w:color w:val="000000"/>
                <w:sz w:val="17"/>
              </w:rPr>
              <w:t>&lt;0.001</w:t>
            </w:r>
          </w:p>
        </w:tc>
      </w:tr>
      <w:tr w:rsidR="00F50F59" w14:paraId="791B111D" w14:textId="77777777" w:rsidTr="00F73CAB">
        <w:trPr>
          <w:jc w:val="center"/>
        </w:trPr>
        <w:tc>
          <w:tcPr>
            <w:tcW w:w="2880" w:type="dxa"/>
            <w:tcBorders>
              <w:left w:val="nil"/>
              <w:right w:val="nil"/>
            </w:tcBorders>
            <w:vAlign w:val="center"/>
          </w:tcPr>
          <w:p w14:paraId="311A3CB3" w14:textId="77777777" w:rsidR="00F50F59" w:rsidRDefault="00F50F59" w:rsidP="00F73CAB">
            <w:pPr>
              <w:keepLines/>
            </w:pPr>
            <w:r>
              <w:rPr>
                <w:color w:val="000000"/>
                <w:sz w:val="17"/>
              </w:rPr>
              <w:t>Age, per 10-year increase</w:t>
            </w:r>
          </w:p>
        </w:tc>
        <w:tc>
          <w:tcPr>
            <w:tcW w:w="1740" w:type="dxa"/>
            <w:tcBorders>
              <w:left w:val="nil"/>
              <w:right w:val="nil"/>
            </w:tcBorders>
            <w:vAlign w:val="center"/>
          </w:tcPr>
          <w:p w14:paraId="56977B57" w14:textId="77777777" w:rsidR="00F50F59" w:rsidRDefault="00F50F59" w:rsidP="00F73CAB">
            <w:pPr>
              <w:keepLines/>
              <w:jc w:val="center"/>
            </w:pPr>
            <w:r>
              <w:rPr>
                <w:color w:val="000000"/>
                <w:sz w:val="17"/>
              </w:rPr>
              <w:t>1.19 (0.95-1.48)</w:t>
            </w:r>
          </w:p>
        </w:tc>
        <w:tc>
          <w:tcPr>
            <w:tcW w:w="900" w:type="dxa"/>
            <w:tcBorders>
              <w:left w:val="nil"/>
              <w:right w:val="nil"/>
            </w:tcBorders>
            <w:vAlign w:val="center"/>
          </w:tcPr>
          <w:p w14:paraId="0C638A0E" w14:textId="77777777" w:rsidR="00F50F59" w:rsidRDefault="00F50F59" w:rsidP="00F73CAB">
            <w:pPr>
              <w:keepLines/>
              <w:jc w:val="center"/>
            </w:pPr>
            <w:r>
              <w:rPr>
                <w:color w:val="000000"/>
                <w:sz w:val="17"/>
              </w:rPr>
              <w:t>0.127</w:t>
            </w:r>
          </w:p>
        </w:tc>
        <w:tc>
          <w:tcPr>
            <w:tcW w:w="1740" w:type="dxa"/>
            <w:tcBorders>
              <w:left w:val="nil"/>
              <w:right w:val="nil"/>
            </w:tcBorders>
            <w:vAlign w:val="center"/>
          </w:tcPr>
          <w:p w14:paraId="61B3FF92" w14:textId="77777777" w:rsidR="00F50F59" w:rsidRDefault="00F50F59" w:rsidP="00F73CAB">
            <w:pPr>
              <w:keepLines/>
              <w:jc w:val="center"/>
            </w:pPr>
            <w:r>
              <w:rPr>
                <w:color w:val="000000"/>
                <w:sz w:val="17"/>
              </w:rPr>
              <w:t>1.16 (0.94-1.44)</w:t>
            </w:r>
          </w:p>
        </w:tc>
        <w:tc>
          <w:tcPr>
            <w:tcW w:w="900" w:type="dxa"/>
            <w:tcBorders>
              <w:left w:val="nil"/>
              <w:right w:val="nil"/>
            </w:tcBorders>
            <w:vAlign w:val="center"/>
          </w:tcPr>
          <w:p w14:paraId="51605EA0" w14:textId="77777777" w:rsidR="00F50F59" w:rsidRDefault="00F50F59" w:rsidP="00F73CAB">
            <w:pPr>
              <w:keepLines/>
              <w:jc w:val="center"/>
            </w:pPr>
            <w:r>
              <w:rPr>
                <w:color w:val="000000"/>
                <w:sz w:val="17"/>
              </w:rPr>
              <w:t>0.165</w:t>
            </w:r>
          </w:p>
        </w:tc>
      </w:tr>
      <w:tr w:rsidR="00F50F59" w14:paraId="328DE877" w14:textId="77777777" w:rsidTr="00F73CAB">
        <w:trPr>
          <w:jc w:val="center"/>
        </w:trPr>
        <w:tc>
          <w:tcPr>
            <w:tcW w:w="2880" w:type="dxa"/>
            <w:tcBorders>
              <w:left w:val="nil"/>
              <w:right w:val="nil"/>
            </w:tcBorders>
            <w:vAlign w:val="center"/>
          </w:tcPr>
          <w:p w14:paraId="1E6C8271" w14:textId="77777777" w:rsidR="00F50F59" w:rsidRDefault="00F50F59" w:rsidP="00F73CAB">
            <w:pPr>
              <w:keepLines/>
            </w:pPr>
            <w:r>
              <w:rPr>
                <w:color w:val="000000"/>
                <w:sz w:val="17"/>
              </w:rPr>
              <w:t>Male versus female</w:t>
            </w:r>
          </w:p>
        </w:tc>
        <w:tc>
          <w:tcPr>
            <w:tcW w:w="1740" w:type="dxa"/>
            <w:tcBorders>
              <w:left w:val="nil"/>
              <w:right w:val="nil"/>
            </w:tcBorders>
            <w:vAlign w:val="center"/>
          </w:tcPr>
          <w:p w14:paraId="43D4FB19" w14:textId="77777777" w:rsidR="00F50F59" w:rsidRDefault="00F50F59" w:rsidP="00F73CAB">
            <w:pPr>
              <w:keepLines/>
              <w:jc w:val="center"/>
            </w:pPr>
            <w:r>
              <w:rPr>
                <w:color w:val="000000"/>
                <w:sz w:val="17"/>
              </w:rPr>
              <w:t>0.85 (0.52-1.38)</w:t>
            </w:r>
          </w:p>
        </w:tc>
        <w:tc>
          <w:tcPr>
            <w:tcW w:w="900" w:type="dxa"/>
            <w:tcBorders>
              <w:left w:val="nil"/>
              <w:right w:val="nil"/>
            </w:tcBorders>
            <w:vAlign w:val="center"/>
          </w:tcPr>
          <w:p w14:paraId="5CB1C3F3" w14:textId="77777777" w:rsidR="00F50F59" w:rsidRDefault="00F50F59" w:rsidP="00F73CAB">
            <w:pPr>
              <w:keepLines/>
              <w:jc w:val="center"/>
            </w:pPr>
            <w:r>
              <w:rPr>
                <w:color w:val="000000"/>
                <w:sz w:val="17"/>
              </w:rPr>
              <w:t>0.502</w:t>
            </w:r>
          </w:p>
        </w:tc>
        <w:tc>
          <w:tcPr>
            <w:tcW w:w="1740" w:type="dxa"/>
            <w:tcBorders>
              <w:left w:val="nil"/>
              <w:right w:val="nil"/>
            </w:tcBorders>
            <w:vAlign w:val="center"/>
          </w:tcPr>
          <w:p w14:paraId="2AB72143" w14:textId="77777777" w:rsidR="00F50F59" w:rsidRDefault="00F50F59" w:rsidP="00F73CAB">
            <w:pPr>
              <w:keepLines/>
              <w:jc w:val="center"/>
            </w:pPr>
            <w:r>
              <w:rPr>
                <w:color w:val="000000"/>
                <w:sz w:val="17"/>
              </w:rPr>
              <w:t>0.80 (0.47-1.35)</w:t>
            </w:r>
          </w:p>
        </w:tc>
        <w:tc>
          <w:tcPr>
            <w:tcW w:w="900" w:type="dxa"/>
            <w:tcBorders>
              <w:left w:val="nil"/>
              <w:right w:val="nil"/>
            </w:tcBorders>
            <w:vAlign w:val="center"/>
          </w:tcPr>
          <w:p w14:paraId="4E83D4F7" w14:textId="77777777" w:rsidR="00F50F59" w:rsidRDefault="00F50F59" w:rsidP="00F73CAB">
            <w:pPr>
              <w:keepLines/>
              <w:jc w:val="center"/>
            </w:pPr>
            <w:r>
              <w:rPr>
                <w:color w:val="000000"/>
                <w:sz w:val="17"/>
              </w:rPr>
              <w:t>0.404</w:t>
            </w:r>
          </w:p>
        </w:tc>
      </w:tr>
      <w:tr w:rsidR="00F50F59" w14:paraId="2743BDB7" w14:textId="77777777" w:rsidTr="00F73CAB">
        <w:trPr>
          <w:jc w:val="center"/>
        </w:trPr>
        <w:tc>
          <w:tcPr>
            <w:tcW w:w="2880" w:type="dxa"/>
            <w:tcBorders>
              <w:left w:val="nil"/>
              <w:right w:val="nil"/>
            </w:tcBorders>
            <w:vAlign w:val="center"/>
          </w:tcPr>
          <w:p w14:paraId="091BE3D1" w14:textId="77777777" w:rsidR="00F50F59" w:rsidRDefault="00F50F59" w:rsidP="00F73CAB">
            <w:pPr>
              <w:keepLines/>
            </w:pPr>
            <w:r>
              <w:rPr>
                <w:color w:val="000000"/>
                <w:sz w:val="17"/>
              </w:rPr>
              <w:t>MSI-H versus MSS</w:t>
            </w:r>
          </w:p>
        </w:tc>
        <w:tc>
          <w:tcPr>
            <w:tcW w:w="1740" w:type="dxa"/>
            <w:tcBorders>
              <w:left w:val="nil"/>
              <w:right w:val="nil"/>
            </w:tcBorders>
            <w:vAlign w:val="center"/>
          </w:tcPr>
          <w:p w14:paraId="0DFF8073" w14:textId="77777777" w:rsidR="00F50F59" w:rsidRDefault="00F50F59" w:rsidP="00F73CAB">
            <w:pPr>
              <w:keepLines/>
              <w:jc w:val="center"/>
            </w:pPr>
            <w:r>
              <w:rPr>
                <w:color w:val="000000"/>
                <w:sz w:val="17"/>
              </w:rPr>
              <w:t>0.42 (0.20-0.88)</w:t>
            </w:r>
          </w:p>
        </w:tc>
        <w:tc>
          <w:tcPr>
            <w:tcW w:w="900" w:type="dxa"/>
            <w:tcBorders>
              <w:left w:val="nil"/>
              <w:right w:val="nil"/>
            </w:tcBorders>
            <w:vAlign w:val="center"/>
          </w:tcPr>
          <w:p w14:paraId="1DEF861C" w14:textId="77777777" w:rsidR="00F50F59" w:rsidRDefault="00F50F59" w:rsidP="00F73CAB">
            <w:pPr>
              <w:keepLines/>
              <w:jc w:val="center"/>
            </w:pPr>
            <w:r>
              <w:rPr>
                <w:color w:val="000000"/>
                <w:sz w:val="17"/>
              </w:rPr>
              <w:t>0.023</w:t>
            </w:r>
          </w:p>
        </w:tc>
        <w:tc>
          <w:tcPr>
            <w:tcW w:w="1740" w:type="dxa"/>
            <w:tcBorders>
              <w:left w:val="nil"/>
              <w:right w:val="nil"/>
            </w:tcBorders>
            <w:vAlign w:val="center"/>
          </w:tcPr>
          <w:p w14:paraId="08F89AD8" w14:textId="77777777" w:rsidR="00F50F59" w:rsidRDefault="00F50F59" w:rsidP="00F73CAB">
            <w:pPr>
              <w:keepLines/>
              <w:jc w:val="center"/>
            </w:pPr>
            <w:r>
              <w:rPr>
                <w:color w:val="000000"/>
                <w:sz w:val="17"/>
              </w:rPr>
              <w:t>0.35 (0.15-0.85)</w:t>
            </w:r>
          </w:p>
        </w:tc>
        <w:tc>
          <w:tcPr>
            <w:tcW w:w="900" w:type="dxa"/>
            <w:tcBorders>
              <w:left w:val="nil"/>
              <w:right w:val="nil"/>
            </w:tcBorders>
            <w:vAlign w:val="center"/>
          </w:tcPr>
          <w:p w14:paraId="44590C90" w14:textId="77777777" w:rsidR="00F50F59" w:rsidRDefault="00F50F59" w:rsidP="00F73CAB">
            <w:pPr>
              <w:keepLines/>
              <w:jc w:val="center"/>
            </w:pPr>
            <w:r>
              <w:rPr>
                <w:color w:val="000000"/>
                <w:sz w:val="17"/>
              </w:rPr>
              <w:t>0.020</w:t>
            </w:r>
          </w:p>
        </w:tc>
      </w:tr>
      <w:tr w:rsidR="00F50F59" w14:paraId="63CC2C9D" w14:textId="77777777" w:rsidTr="00F73CAB">
        <w:trPr>
          <w:jc w:val="center"/>
        </w:trPr>
        <w:tc>
          <w:tcPr>
            <w:tcW w:w="2880" w:type="dxa"/>
            <w:tcBorders>
              <w:left w:val="nil"/>
              <w:bottom w:val="single" w:sz="12" w:space="0" w:color="000000"/>
              <w:right w:val="nil"/>
            </w:tcBorders>
            <w:vAlign w:val="center"/>
          </w:tcPr>
          <w:p w14:paraId="6CD1E14E" w14:textId="77777777" w:rsidR="00F50F59" w:rsidRDefault="00F50F59" w:rsidP="00F73CAB">
            <w:pPr>
              <w:keepLines/>
            </w:pPr>
            <w:r>
              <w:rPr>
                <w:color w:val="000000"/>
                <w:sz w:val="17"/>
              </w:rPr>
              <w:t>Stage IV versus stages I-III</w:t>
            </w:r>
          </w:p>
        </w:tc>
        <w:tc>
          <w:tcPr>
            <w:tcW w:w="1740" w:type="dxa"/>
            <w:tcBorders>
              <w:left w:val="nil"/>
              <w:bottom w:val="single" w:sz="12" w:space="0" w:color="000000"/>
              <w:right w:val="nil"/>
            </w:tcBorders>
            <w:vAlign w:val="center"/>
          </w:tcPr>
          <w:p w14:paraId="4ABD66A5" w14:textId="77777777" w:rsidR="00F50F59" w:rsidRDefault="00F50F59" w:rsidP="00F73CAB">
            <w:pPr>
              <w:keepLines/>
              <w:jc w:val="center"/>
            </w:pPr>
            <w:r>
              <w:rPr>
                <w:color w:val="000000"/>
                <w:sz w:val="17"/>
              </w:rPr>
              <w:t>1.70 (1.04-2.77)</w:t>
            </w:r>
          </w:p>
        </w:tc>
        <w:tc>
          <w:tcPr>
            <w:tcW w:w="900" w:type="dxa"/>
            <w:tcBorders>
              <w:left w:val="nil"/>
              <w:bottom w:val="single" w:sz="12" w:space="0" w:color="000000"/>
              <w:right w:val="nil"/>
            </w:tcBorders>
            <w:vAlign w:val="center"/>
          </w:tcPr>
          <w:p w14:paraId="5F17A4C7" w14:textId="77777777" w:rsidR="00F50F59" w:rsidRDefault="00F50F59" w:rsidP="00F73CAB">
            <w:pPr>
              <w:keepLines/>
              <w:jc w:val="center"/>
            </w:pPr>
            <w:r>
              <w:rPr>
                <w:color w:val="000000"/>
                <w:sz w:val="17"/>
              </w:rPr>
              <w:t>0.033</w:t>
            </w:r>
          </w:p>
        </w:tc>
        <w:tc>
          <w:tcPr>
            <w:tcW w:w="1740" w:type="dxa"/>
            <w:tcBorders>
              <w:left w:val="nil"/>
              <w:bottom w:val="single" w:sz="12" w:space="0" w:color="000000"/>
              <w:right w:val="nil"/>
            </w:tcBorders>
            <w:vAlign w:val="center"/>
          </w:tcPr>
          <w:p w14:paraId="29194228" w14:textId="77777777" w:rsidR="00F50F59" w:rsidRDefault="00F50F59" w:rsidP="00F73CAB">
            <w:pPr>
              <w:keepLines/>
              <w:jc w:val="center"/>
            </w:pPr>
            <w:r>
              <w:rPr>
                <w:color w:val="000000"/>
                <w:sz w:val="17"/>
              </w:rPr>
              <w:t>2.82 (1.47-5.41)</w:t>
            </w:r>
          </w:p>
        </w:tc>
        <w:tc>
          <w:tcPr>
            <w:tcW w:w="900" w:type="dxa"/>
            <w:tcBorders>
              <w:left w:val="nil"/>
              <w:bottom w:val="single" w:sz="12" w:space="0" w:color="000000"/>
              <w:right w:val="nil"/>
            </w:tcBorders>
            <w:vAlign w:val="center"/>
          </w:tcPr>
          <w:p w14:paraId="490BC688" w14:textId="77777777" w:rsidR="00F50F59" w:rsidRDefault="00F50F59" w:rsidP="00F73CAB">
            <w:pPr>
              <w:keepLines/>
              <w:jc w:val="center"/>
            </w:pPr>
            <w:r>
              <w:rPr>
                <w:color w:val="000000"/>
                <w:sz w:val="17"/>
              </w:rPr>
              <w:t>0.002</w:t>
            </w:r>
          </w:p>
        </w:tc>
      </w:tr>
    </w:tbl>
    <w:p w14:paraId="2AD881BE" w14:textId="696612CE" w:rsidR="00F50F59" w:rsidRDefault="00F50F59" w:rsidP="00F50F59">
      <w:pPr>
        <w:keepLines/>
        <w:spacing w:before="100"/>
        <w:rPr>
          <w:color w:val="000000"/>
          <w:sz w:val="15"/>
        </w:rPr>
      </w:pPr>
      <w:r>
        <w:rPr>
          <w:color w:val="000000"/>
          <w:sz w:val="15"/>
        </w:rPr>
        <w:t xml:space="preserve">Cox proportional hazards models used </w:t>
      </w:r>
      <w:proofErr w:type="spellStart"/>
      <w:r>
        <w:rPr>
          <w:color w:val="000000"/>
          <w:sz w:val="15"/>
        </w:rPr>
        <w:t>Efron</w:t>
      </w:r>
      <w:proofErr w:type="spellEnd"/>
      <w:r>
        <w:rPr>
          <w:color w:val="000000"/>
          <w:sz w:val="15"/>
        </w:rPr>
        <w:t xml:space="preserve"> handling of tied event times. The adjusted model included all variables shown. Age was modeled per 10-year increase; stage was grouped as stage IV versus stages I-III. All 71 patients had a recorded progression event and no values were missing for the variables analyzed. The proportional hazards assumption was assessed using scaled Schoenfeld residuals (Supplementary Table S3). Because the assumption was not met for CEMIP group, the adjusted CEMIP HR in this table should be interpreted as an average effect over follow-up; time-specific estimates from an extended Cox model are shown in Supplementary Table S2C. CI, confidence interval; HR, hazard ratio.</w:t>
      </w:r>
    </w:p>
    <w:p w14:paraId="0BEC67D8" w14:textId="1810D94B" w:rsidR="005E5066" w:rsidRDefault="005E5066">
      <w:r>
        <w:br w:type="page"/>
      </w:r>
    </w:p>
    <w:p w14:paraId="50BA5AF4" w14:textId="77777777" w:rsidR="00F50F59" w:rsidRDefault="00F50F59" w:rsidP="00F50F59">
      <w:pPr>
        <w:keepNext/>
        <w:keepLines/>
        <w:spacing w:after="100"/>
      </w:pPr>
      <w:bookmarkStart w:id="0" w:name="_GoBack"/>
      <w:bookmarkEnd w:id="0"/>
      <w:r>
        <w:rPr>
          <w:b/>
          <w:color w:val="000000"/>
          <w:sz w:val="22"/>
        </w:rPr>
        <w:lastRenderedPageBreak/>
        <w:t>Supplementary Table S2C | Time-varying CEMIP effect on progression-free survival</w:t>
      </w:r>
    </w:p>
    <w:tbl>
      <w:tblPr>
        <w:tblW w:w="7980" w:type="dxa"/>
        <w:jc w:val="center"/>
        <w:tblLayout w:type="fixed"/>
        <w:tblLook w:val="04A0" w:firstRow="1" w:lastRow="0" w:firstColumn="1" w:lastColumn="0" w:noHBand="0" w:noVBand="1"/>
      </w:tblPr>
      <w:tblGrid>
        <w:gridCol w:w="3000"/>
        <w:gridCol w:w="3360"/>
        <w:gridCol w:w="1620"/>
      </w:tblGrid>
      <w:tr w:rsidR="00F50F59" w14:paraId="72AB6643" w14:textId="77777777" w:rsidTr="00F73CAB">
        <w:trPr>
          <w:tblHeader/>
          <w:jc w:val="center"/>
        </w:trPr>
        <w:tc>
          <w:tcPr>
            <w:tcW w:w="30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18402FBD" w14:textId="77777777" w:rsidR="00F50F59" w:rsidRDefault="00F50F59" w:rsidP="00F73CAB">
            <w:pPr>
              <w:keepLines/>
              <w:jc w:val="center"/>
            </w:pPr>
            <w:r>
              <w:rPr>
                <w:b/>
                <w:color w:val="000000"/>
                <w:sz w:val="16"/>
              </w:rPr>
              <w:t>Time since treatment initiation</w:t>
            </w:r>
          </w:p>
        </w:tc>
        <w:tc>
          <w:tcPr>
            <w:tcW w:w="336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71742B1E" w14:textId="77777777" w:rsidR="00F50F59" w:rsidRDefault="00F50F59" w:rsidP="00F73CAB">
            <w:pPr>
              <w:keepLines/>
              <w:jc w:val="center"/>
            </w:pPr>
            <w:r>
              <w:rPr>
                <w:b/>
                <w:color w:val="000000"/>
                <w:sz w:val="16"/>
              </w:rPr>
              <w:t>Adjusted HR (95% CI), high versus low CEMIP</w:t>
            </w:r>
          </w:p>
        </w:tc>
        <w:tc>
          <w:tcPr>
            <w:tcW w:w="162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10A7065A" w14:textId="77777777" w:rsidR="00F50F59" w:rsidRDefault="00F50F59" w:rsidP="00F73CAB">
            <w:pPr>
              <w:keepLines/>
              <w:jc w:val="center"/>
            </w:pPr>
            <w:r>
              <w:rPr>
                <w:b/>
                <w:color w:val="000000"/>
                <w:sz w:val="16"/>
              </w:rPr>
              <w:t>P value</w:t>
            </w:r>
          </w:p>
        </w:tc>
      </w:tr>
      <w:tr w:rsidR="00F50F59" w14:paraId="55079440" w14:textId="77777777" w:rsidTr="00F73CAB">
        <w:trPr>
          <w:jc w:val="center"/>
        </w:trPr>
        <w:tc>
          <w:tcPr>
            <w:tcW w:w="3000" w:type="dxa"/>
            <w:tcBorders>
              <w:left w:val="nil"/>
              <w:right w:val="nil"/>
            </w:tcBorders>
            <w:vAlign w:val="center"/>
          </w:tcPr>
          <w:p w14:paraId="347F01B1" w14:textId="77777777" w:rsidR="00F50F59" w:rsidRDefault="00F50F59" w:rsidP="00F73CAB">
            <w:pPr>
              <w:keepLines/>
            </w:pPr>
            <w:r>
              <w:rPr>
                <w:color w:val="000000"/>
                <w:sz w:val="17"/>
              </w:rPr>
              <w:t>3 months</w:t>
            </w:r>
          </w:p>
        </w:tc>
        <w:tc>
          <w:tcPr>
            <w:tcW w:w="3360" w:type="dxa"/>
            <w:tcBorders>
              <w:left w:val="nil"/>
              <w:right w:val="nil"/>
            </w:tcBorders>
            <w:vAlign w:val="center"/>
          </w:tcPr>
          <w:p w14:paraId="0770A5C4" w14:textId="77777777" w:rsidR="00F50F59" w:rsidRDefault="00F50F59" w:rsidP="00F73CAB">
            <w:pPr>
              <w:keepLines/>
              <w:jc w:val="center"/>
            </w:pPr>
            <w:r>
              <w:rPr>
                <w:color w:val="000000"/>
                <w:sz w:val="17"/>
              </w:rPr>
              <w:t>22.47 (3.91-129.15)</w:t>
            </w:r>
          </w:p>
        </w:tc>
        <w:tc>
          <w:tcPr>
            <w:tcW w:w="1620" w:type="dxa"/>
            <w:tcBorders>
              <w:left w:val="nil"/>
              <w:right w:val="nil"/>
            </w:tcBorders>
            <w:vAlign w:val="center"/>
          </w:tcPr>
          <w:p w14:paraId="0794081A" w14:textId="77777777" w:rsidR="00F50F59" w:rsidRDefault="00F50F59" w:rsidP="00F73CAB">
            <w:pPr>
              <w:keepLines/>
              <w:jc w:val="center"/>
            </w:pPr>
            <w:r>
              <w:rPr>
                <w:color w:val="000000"/>
                <w:sz w:val="17"/>
              </w:rPr>
              <w:t>&lt;0.001</w:t>
            </w:r>
          </w:p>
        </w:tc>
      </w:tr>
      <w:tr w:rsidR="00F50F59" w14:paraId="71EC9091" w14:textId="77777777" w:rsidTr="00F73CAB">
        <w:trPr>
          <w:jc w:val="center"/>
        </w:trPr>
        <w:tc>
          <w:tcPr>
            <w:tcW w:w="3000" w:type="dxa"/>
            <w:tcBorders>
              <w:left w:val="nil"/>
              <w:right w:val="nil"/>
            </w:tcBorders>
            <w:vAlign w:val="center"/>
          </w:tcPr>
          <w:p w14:paraId="1ECF4E0B" w14:textId="77777777" w:rsidR="00F50F59" w:rsidRDefault="00F50F59" w:rsidP="00F73CAB">
            <w:pPr>
              <w:keepLines/>
            </w:pPr>
            <w:r>
              <w:rPr>
                <w:color w:val="000000"/>
                <w:sz w:val="17"/>
              </w:rPr>
              <w:t>6 months</w:t>
            </w:r>
          </w:p>
        </w:tc>
        <w:tc>
          <w:tcPr>
            <w:tcW w:w="3360" w:type="dxa"/>
            <w:tcBorders>
              <w:left w:val="nil"/>
              <w:right w:val="nil"/>
            </w:tcBorders>
            <w:vAlign w:val="center"/>
          </w:tcPr>
          <w:p w14:paraId="11F1B9F7" w14:textId="77777777" w:rsidR="00F50F59" w:rsidRDefault="00F50F59" w:rsidP="00F73CAB">
            <w:pPr>
              <w:keepLines/>
              <w:jc w:val="center"/>
            </w:pPr>
            <w:r>
              <w:rPr>
                <w:color w:val="000000"/>
                <w:sz w:val="17"/>
              </w:rPr>
              <w:t>7.86 (2.88-21.45)</w:t>
            </w:r>
          </w:p>
        </w:tc>
        <w:tc>
          <w:tcPr>
            <w:tcW w:w="1620" w:type="dxa"/>
            <w:tcBorders>
              <w:left w:val="nil"/>
              <w:right w:val="nil"/>
            </w:tcBorders>
            <w:vAlign w:val="center"/>
          </w:tcPr>
          <w:p w14:paraId="0177F487" w14:textId="77777777" w:rsidR="00F50F59" w:rsidRDefault="00F50F59" w:rsidP="00F73CAB">
            <w:pPr>
              <w:keepLines/>
              <w:jc w:val="center"/>
            </w:pPr>
            <w:r>
              <w:rPr>
                <w:color w:val="000000"/>
                <w:sz w:val="17"/>
              </w:rPr>
              <w:t>&lt;0.001</w:t>
            </w:r>
          </w:p>
        </w:tc>
      </w:tr>
      <w:tr w:rsidR="00F50F59" w14:paraId="069143DA" w14:textId="77777777" w:rsidTr="00F73CAB">
        <w:trPr>
          <w:jc w:val="center"/>
        </w:trPr>
        <w:tc>
          <w:tcPr>
            <w:tcW w:w="3000" w:type="dxa"/>
            <w:tcBorders>
              <w:left w:val="nil"/>
              <w:bottom w:val="single" w:sz="12" w:space="0" w:color="000000"/>
              <w:right w:val="nil"/>
            </w:tcBorders>
            <w:vAlign w:val="center"/>
          </w:tcPr>
          <w:p w14:paraId="1B730D5B" w14:textId="77777777" w:rsidR="00F50F59" w:rsidRDefault="00F50F59" w:rsidP="00F73CAB">
            <w:pPr>
              <w:keepLines/>
            </w:pPr>
            <w:r>
              <w:rPr>
                <w:color w:val="000000"/>
                <w:sz w:val="17"/>
              </w:rPr>
              <w:t>12 months</w:t>
            </w:r>
          </w:p>
        </w:tc>
        <w:tc>
          <w:tcPr>
            <w:tcW w:w="3360" w:type="dxa"/>
            <w:tcBorders>
              <w:left w:val="nil"/>
              <w:bottom w:val="single" w:sz="12" w:space="0" w:color="000000"/>
              <w:right w:val="nil"/>
            </w:tcBorders>
            <w:vAlign w:val="center"/>
          </w:tcPr>
          <w:p w14:paraId="27D412AF" w14:textId="77777777" w:rsidR="00F50F59" w:rsidRDefault="00F50F59" w:rsidP="00F73CAB">
            <w:pPr>
              <w:keepLines/>
              <w:jc w:val="center"/>
            </w:pPr>
            <w:r>
              <w:rPr>
                <w:color w:val="000000"/>
                <w:sz w:val="17"/>
              </w:rPr>
              <w:t>2.75 (1.24-6.13)</w:t>
            </w:r>
          </w:p>
        </w:tc>
        <w:tc>
          <w:tcPr>
            <w:tcW w:w="1620" w:type="dxa"/>
            <w:tcBorders>
              <w:left w:val="nil"/>
              <w:bottom w:val="single" w:sz="12" w:space="0" w:color="000000"/>
              <w:right w:val="nil"/>
            </w:tcBorders>
            <w:vAlign w:val="center"/>
          </w:tcPr>
          <w:p w14:paraId="0DDD8703" w14:textId="77777777" w:rsidR="00F50F59" w:rsidRDefault="00F50F59" w:rsidP="00F73CAB">
            <w:pPr>
              <w:keepLines/>
              <w:jc w:val="center"/>
            </w:pPr>
            <w:r>
              <w:rPr>
                <w:color w:val="000000"/>
                <w:sz w:val="17"/>
              </w:rPr>
              <w:t>0.013</w:t>
            </w:r>
          </w:p>
        </w:tc>
      </w:tr>
    </w:tbl>
    <w:p w14:paraId="0A8AB406" w14:textId="37146615" w:rsidR="003851C7" w:rsidRDefault="00F50F59" w:rsidP="003851C7">
      <w:pPr>
        <w:keepLines/>
        <w:spacing w:before="100"/>
      </w:pPr>
      <w:r>
        <w:rPr>
          <w:color w:val="000000"/>
          <w:sz w:val="15"/>
        </w:rPr>
        <w:t>Time-specific HRs were estimated from an extended multivariable Cox model containing CEMIP group, CEMIP group x log(time), age, sex, MSI status and stage. The CEMIP-by-log(time) interaction was significant (P=0.025), indicating attenuation of the CEMIP-associated hazard over time. Estimates are exploratory and should be interpreted with the wide CIs and limited cohort size in mind. CI, confidence interval; HR, hazard ratio.</w:t>
      </w:r>
    </w:p>
    <w:p w14:paraId="249CFDA9" w14:textId="77777777" w:rsidR="003851C7" w:rsidRDefault="003851C7">
      <w:r>
        <w:br w:type="page"/>
      </w:r>
    </w:p>
    <w:p w14:paraId="1AB8720C" w14:textId="68D69122" w:rsidR="00F50F59" w:rsidRDefault="00F50F59" w:rsidP="00F50F59">
      <w:pPr>
        <w:keepNext/>
        <w:keepLines/>
        <w:spacing w:after="100"/>
      </w:pPr>
      <w:r>
        <w:rPr>
          <w:b/>
          <w:color w:val="000000"/>
          <w:sz w:val="22"/>
        </w:rPr>
        <w:lastRenderedPageBreak/>
        <w:t>Supplementary Table S3 | Proportional hazards assumption diagnostics</w:t>
      </w:r>
    </w:p>
    <w:tbl>
      <w:tblPr>
        <w:tblW w:w="7980" w:type="dxa"/>
        <w:jc w:val="center"/>
        <w:tblLayout w:type="fixed"/>
        <w:tblLook w:val="04A0" w:firstRow="1" w:lastRow="0" w:firstColumn="1" w:lastColumn="0" w:noHBand="0" w:noVBand="1"/>
      </w:tblPr>
      <w:tblGrid>
        <w:gridCol w:w="3600"/>
        <w:gridCol w:w="1500"/>
        <w:gridCol w:w="1380"/>
        <w:gridCol w:w="1500"/>
      </w:tblGrid>
      <w:tr w:rsidR="00F50F59" w14:paraId="3E95CE8A" w14:textId="77777777" w:rsidTr="00F73CAB">
        <w:trPr>
          <w:tblHeader/>
          <w:jc w:val="center"/>
        </w:trPr>
        <w:tc>
          <w:tcPr>
            <w:tcW w:w="36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30FBECE9" w14:textId="77777777" w:rsidR="00F50F59" w:rsidRDefault="00F50F59" w:rsidP="00F73CAB">
            <w:pPr>
              <w:keepLines/>
              <w:jc w:val="center"/>
            </w:pPr>
            <w:r>
              <w:rPr>
                <w:b/>
                <w:color w:val="000000"/>
                <w:sz w:val="16"/>
              </w:rPr>
              <w:t>Variable</w:t>
            </w:r>
          </w:p>
        </w:tc>
        <w:tc>
          <w:tcPr>
            <w:tcW w:w="15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4BBC631C" w14:textId="77777777" w:rsidR="00F50F59" w:rsidRDefault="00F50F59" w:rsidP="00F73CAB">
            <w:pPr>
              <w:keepLines/>
              <w:jc w:val="center"/>
            </w:pPr>
            <w:r>
              <w:rPr>
                <w:b/>
                <w:color w:val="000000"/>
                <w:sz w:val="16"/>
              </w:rPr>
              <w:t>Chi-square</w:t>
            </w:r>
          </w:p>
        </w:tc>
        <w:tc>
          <w:tcPr>
            <w:tcW w:w="138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1533196B" w14:textId="77777777" w:rsidR="00F50F59" w:rsidRDefault="00F50F59" w:rsidP="00F73CAB">
            <w:pPr>
              <w:keepLines/>
              <w:jc w:val="center"/>
            </w:pPr>
            <w:r>
              <w:rPr>
                <w:b/>
                <w:color w:val="000000"/>
                <w:sz w:val="16"/>
              </w:rPr>
              <w:t>P value</w:t>
            </w:r>
          </w:p>
        </w:tc>
        <w:tc>
          <w:tcPr>
            <w:tcW w:w="1500" w:type="dxa"/>
            <w:tcBorders>
              <w:top w:val="single" w:sz="12" w:space="0" w:color="000000"/>
              <w:left w:val="nil"/>
              <w:bottom w:val="single" w:sz="8" w:space="0" w:color="000000"/>
              <w:right w:val="nil"/>
            </w:tcBorders>
            <w:tcMar>
              <w:top w:w="60" w:type="dxa"/>
              <w:left w:w="90" w:type="dxa"/>
              <w:bottom w:w="60" w:type="dxa"/>
              <w:right w:w="90" w:type="dxa"/>
            </w:tcMar>
            <w:vAlign w:val="center"/>
          </w:tcPr>
          <w:p w14:paraId="6462D517" w14:textId="77777777" w:rsidR="00F50F59" w:rsidRDefault="00F50F59" w:rsidP="00F73CAB">
            <w:pPr>
              <w:keepLines/>
              <w:jc w:val="center"/>
            </w:pPr>
            <w:r>
              <w:rPr>
                <w:b/>
                <w:color w:val="000000"/>
                <w:sz w:val="16"/>
              </w:rPr>
              <w:t>Assumption met</w:t>
            </w:r>
          </w:p>
        </w:tc>
      </w:tr>
      <w:tr w:rsidR="00F50F59" w14:paraId="7CDC51A8" w14:textId="77777777" w:rsidTr="00F73CAB">
        <w:trPr>
          <w:jc w:val="center"/>
        </w:trPr>
        <w:tc>
          <w:tcPr>
            <w:tcW w:w="3600" w:type="dxa"/>
            <w:tcBorders>
              <w:left w:val="nil"/>
              <w:right w:val="nil"/>
            </w:tcBorders>
            <w:vAlign w:val="center"/>
          </w:tcPr>
          <w:p w14:paraId="14214F4A" w14:textId="77777777" w:rsidR="00F50F59" w:rsidRDefault="00F50F59" w:rsidP="00F73CAB">
            <w:pPr>
              <w:keepLines/>
            </w:pPr>
            <w:r>
              <w:rPr>
                <w:color w:val="000000"/>
                <w:sz w:val="17"/>
              </w:rPr>
              <w:t>High versus low CEMIP</w:t>
            </w:r>
          </w:p>
        </w:tc>
        <w:tc>
          <w:tcPr>
            <w:tcW w:w="1500" w:type="dxa"/>
            <w:tcBorders>
              <w:left w:val="nil"/>
              <w:right w:val="nil"/>
            </w:tcBorders>
            <w:vAlign w:val="center"/>
          </w:tcPr>
          <w:p w14:paraId="5CEB847A" w14:textId="77777777" w:rsidR="00F50F59" w:rsidRDefault="00F50F59" w:rsidP="00F73CAB">
            <w:pPr>
              <w:keepLines/>
              <w:jc w:val="center"/>
            </w:pPr>
            <w:r>
              <w:rPr>
                <w:color w:val="000000"/>
                <w:sz w:val="17"/>
              </w:rPr>
              <w:t>5.01</w:t>
            </w:r>
          </w:p>
        </w:tc>
        <w:tc>
          <w:tcPr>
            <w:tcW w:w="1380" w:type="dxa"/>
            <w:tcBorders>
              <w:left w:val="nil"/>
              <w:right w:val="nil"/>
            </w:tcBorders>
            <w:vAlign w:val="center"/>
          </w:tcPr>
          <w:p w14:paraId="524617CF" w14:textId="77777777" w:rsidR="00F50F59" w:rsidRDefault="00F50F59" w:rsidP="00F73CAB">
            <w:pPr>
              <w:keepLines/>
              <w:jc w:val="center"/>
            </w:pPr>
            <w:r>
              <w:rPr>
                <w:color w:val="000000"/>
                <w:sz w:val="17"/>
              </w:rPr>
              <w:t>0.025</w:t>
            </w:r>
          </w:p>
        </w:tc>
        <w:tc>
          <w:tcPr>
            <w:tcW w:w="1500" w:type="dxa"/>
            <w:tcBorders>
              <w:left w:val="nil"/>
              <w:right w:val="nil"/>
            </w:tcBorders>
            <w:vAlign w:val="center"/>
          </w:tcPr>
          <w:p w14:paraId="660C31B8" w14:textId="77777777" w:rsidR="00F50F59" w:rsidRDefault="00F50F59" w:rsidP="00F73CAB">
            <w:pPr>
              <w:keepLines/>
              <w:jc w:val="center"/>
            </w:pPr>
            <w:r>
              <w:rPr>
                <w:color w:val="000000"/>
                <w:sz w:val="17"/>
              </w:rPr>
              <w:t>No</w:t>
            </w:r>
          </w:p>
        </w:tc>
      </w:tr>
      <w:tr w:rsidR="00F50F59" w14:paraId="59F8227B" w14:textId="77777777" w:rsidTr="00F73CAB">
        <w:trPr>
          <w:jc w:val="center"/>
        </w:trPr>
        <w:tc>
          <w:tcPr>
            <w:tcW w:w="3600" w:type="dxa"/>
            <w:tcBorders>
              <w:left w:val="nil"/>
              <w:right w:val="nil"/>
            </w:tcBorders>
            <w:vAlign w:val="center"/>
          </w:tcPr>
          <w:p w14:paraId="2B3596DD" w14:textId="77777777" w:rsidR="00F50F59" w:rsidRDefault="00F50F59" w:rsidP="00F73CAB">
            <w:pPr>
              <w:keepLines/>
            </w:pPr>
            <w:r>
              <w:rPr>
                <w:color w:val="000000"/>
                <w:sz w:val="17"/>
              </w:rPr>
              <w:t>Age, per 10-year increase</w:t>
            </w:r>
          </w:p>
        </w:tc>
        <w:tc>
          <w:tcPr>
            <w:tcW w:w="1500" w:type="dxa"/>
            <w:tcBorders>
              <w:left w:val="nil"/>
              <w:right w:val="nil"/>
            </w:tcBorders>
            <w:vAlign w:val="center"/>
          </w:tcPr>
          <w:p w14:paraId="41E96770" w14:textId="77777777" w:rsidR="00F50F59" w:rsidRDefault="00F50F59" w:rsidP="00F73CAB">
            <w:pPr>
              <w:keepLines/>
              <w:jc w:val="center"/>
            </w:pPr>
            <w:r>
              <w:rPr>
                <w:color w:val="000000"/>
                <w:sz w:val="17"/>
              </w:rPr>
              <w:t>1.09</w:t>
            </w:r>
          </w:p>
        </w:tc>
        <w:tc>
          <w:tcPr>
            <w:tcW w:w="1380" w:type="dxa"/>
            <w:tcBorders>
              <w:left w:val="nil"/>
              <w:right w:val="nil"/>
            </w:tcBorders>
            <w:vAlign w:val="center"/>
          </w:tcPr>
          <w:p w14:paraId="323214A5" w14:textId="77777777" w:rsidR="00F50F59" w:rsidRDefault="00F50F59" w:rsidP="00F73CAB">
            <w:pPr>
              <w:keepLines/>
              <w:jc w:val="center"/>
            </w:pPr>
            <w:r>
              <w:rPr>
                <w:color w:val="000000"/>
                <w:sz w:val="17"/>
              </w:rPr>
              <w:t>0.296</w:t>
            </w:r>
          </w:p>
        </w:tc>
        <w:tc>
          <w:tcPr>
            <w:tcW w:w="1500" w:type="dxa"/>
            <w:tcBorders>
              <w:left w:val="nil"/>
              <w:right w:val="nil"/>
            </w:tcBorders>
            <w:vAlign w:val="center"/>
          </w:tcPr>
          <w:p w14:paraId="464ED96E" w14:textId="77777777" w:rsidR="00F50F59" w:rsidRDefault="00F50F59" w:rsidP="00F73CAB">
            <w:pPr>
              <w:keepLines/>
              <w:jc w:val="center"/>
            </w:pPr>
            <w:r>
              <w:rPr>
                <w:color w:val="000000"/>
                <w:sz w:val="17"/>
              </w:rPr>
              <w:t>Yes</w:t>
            </w:r>
          </w:p>
        </w:tc>
      </w:tr>
      <w:tr w:rsidR="00F50F59" w14:paraId="27891E2D" w14:textId="77777777" w:rsidTr="00F73CAB">
        <w:trPr>
          <w:jc w:val="center"/>
        </w:trPr>
        <w:tc>
          <w:tcPr>
            <w:tcW w:w="3600" w:type="dxa"/>
            <w:tcBorders>
              <w:left w:val="nil"/>
              <w:right w:val="nil"/>
            </w:tcBorders>
            <w:vAlign w:val="center"/>
          </w:tcPr>
          <w:p w14:paraId="1F4FBA81" w14:textId="77777777" w:rsidR="00F50F59" w:rsidRDefault="00F50F59" w:rsidP="00F73CAB">
            <w:pPr>
              <w:keepLines/>
            </w:pPr>
            <w:r>
              <w:rPr>
                <w:color w:val="000000"/>
                <w:sz w:val="17"/>
              </w:rPr>
              <w:t>Male versus female</w:t>
            </w:r>
          </w:p>
        </w:tc>
        <w:tc>
          <w:tcPr>
            <w:tcW w:w="1500" w:type="dxa"/>
            <w:tcBorders>
              <w:left w:val="nil"/>
              <w:right w:val="nil"/>
            </w:tcBorders>
            <w:vAlign w:val="center"/>
          </w:tcPr>
          <w:p w14:paraId="50B296F7" w14:textId="77777777" w:rsidR="00F50F59" w:rsidRDefault="00F50F59" w:rsidP="00F73CAB">
            <w:pPr>
              <w:keepLines/>
              <w:jc w:val="center"/>
            </w:pPr>
            <w:r>
              <w:rPr>
                <w:color w:val="000000"/>
                <w:sz w:val="17"/>
              </w:rPr>
              <w:t>0.47</w:t>
            </w:r>
          </w:p>
        </w:tc>
        <w:tc>
          <w:tcPr>
            <w:tcW w:w="1380" w:type="dxa"/>
            <w:tcBorders>
              <w:left w:val="nil"/>
              <w:right w:val="nil"/>
            </w:tcBorders>
            <w:vAlign w:val="center"/>
          </w:tcPr>
          <w:p w14:paraId="6E567318" w14:textId="77777777" w:rsidR="00F50F59" w:rsidRDefault="00F50F59" w:rsidP="00F73CAB">
            <w:pPr>
              <w:keepLines/>
              <w:jc w:val="center"/>
            </w:pPr>
            <w:r>
              <w:rPr>
                <w:color w:val="000000"/>
                <w:sz w:val="17"/>
              </w:rPr>
              <w:t>0.492</w:t>
            </w:r>
          </w:p>
        </w:tc>
        <w:tc>
          <w:tcPr>
            <w:tcW w:w="1500" w:type="dxa"/>
            <w:tcBorders>
              <w:left w:val="nil"/>
              <w:right w:val="nil"/>
            </w:tcBorders>
            <w:vAlign w:val="center"/>
          </w:tcPr>
          <w:p w14:paraId="058A591B" w14:textId="77777777" w:rsidR="00F50F59" w:rsidRDefault="00F50F59" w:rsidP="00F73CAB">
            <w:pPr>
              <w:keepLines/>
              <w:jc w:val="center"/>
            </w:pPr>
            <w:r>
              <w:rPr>
                <w:color w:val="000000"/>
                <w:sz w:val="17"/>
              </w:rPr>
              <w:t>Yes</w:t>
            </w:r>
          </w:p>
        </w:tc>
      </w:tr>
      <w:tr w:rsidR="00F50F59" w14:paraId="4981E69D" w14:textId="77777777" w:rsidTr="00F73CAB">
        <w:trPr>
          <w:jc w:val="center"/>
        </w:trPr>
        <w:tc>
          <w:tcPr>
            <w:tcW w:w="3600" w:type="dxa"/>
            <w:tcBorders>
              <w:left w:val="nil"/>
              <w:right w:val="nil"/>
            </w:tcBorders>
            <w:vAlign w:val="center"/>
          </w:tcPr>
          <w:p w14:paraId="5257751F" w14:textId="77777777" w:rsidR="00F50F59" w:rsidRDefault="00F50F59" w:rsidP="00F73CAB">
            <w:pPr>
              <w:keepLines/>
            </w:pPr>
            <w:r>
              <w:rPr>
                <w:color w:val="000000"/>
                <w:sz w:val="17"/>
              </w:rPr>
              <w:t>MSI-H versus MSS</w:t>
            </w:r>
          </w:p>
        </w:tc>
        <w:tc>
          <w:tcPr>
            <w:tcW w:w="1500" w:type="dxa"/>
            <w:tcBorders>
              <w:left w:val="nil"/>
              <w:right w:val="nil"/>
            </w:tcBorders>
            <w:vAlign w:val="center"/>
          </w:tcPr>
          <w:p w14:paraId="0034F8C3" w14:textId="77777777" w:rsidR="00F50F59" w:rsidRDefault="00F50F59" w:rsidP="00F73CAB">
            <w:pPr>
              <w:keepLines/>
              <w:jc w:val="center"/>
            </w:pPr>
            <w:r>
              <w:rPr>
                <w:color w:val="000000"/>
                <w:sz w:val="17"/>
              </w:rPr>
              <w:t>0.50</w:t>
            </w:r>
          </w:p>
        </w:tc>
        <w:tc>
          <w:tcPr>
            <w:tcW w:w="1380" w:type="dxa"/>
            <w:tcBorders>
              <w:left w:val="nil"/>
              <w:right w:val="nil"/>
            </w:tcBorders>
            <w:vAlign w:val="center"/>
          </w:tcPr>
          <w:p w14:paraId="0B3803CB" w14:textId="77777777" w:rsidR="00F50F59" w:rsidRDefault="00F50F59" w:rsidP="00F73CAB">
            <w:pPr>
              <w:keepLines/>
              <w:jc w:val="center"/>
            </w:pPr>
            <w:r>
              <w:rPr>
                <w:color w:val="000000"/>
                <w:sz w:val="17"/>
              </w:rPr>
              <w:t>0.481</w:t>
            </w:r>
          </w:p>
        </w:tc>
        <w:tc>
          <w:tcPr>
            <w:tcW w:w="1500" w:type="dxa"/>
            <w:tcBorders>
              <w:left w:val="nil"/>
              <w:right w:val="nil"/>
            </w:tcBorders>
            <w:vAlign w:val="center"/>
          </w:tcPr>
          <w:p w14:paraId="7EF64A00" w14:textId="77777777" w:rsidR="00F50F59" w:rsidRDefault="00F50F59" w:rsidP="00F73CAB">
            <w:pPr>
              <w:keepLines/>
              <w:jc w:val="center"/>
            </w:pPr>
            <w:r>
              <w:rPr>
                <w:color w:val="000000"/>
                <w:sz w:val="17"/>
              </w:rPr>
              <w:t>Yes</w:t>
            </w:r>
          </w:p>
        </w:tc>
      </w:tr>
      <w:tr w:rsidR="00F50F59" w14:paraId="315A903D" w14:textId="77777777" w:rsidTr="00F73CAB">
        <w:trPr>
          <w:jc w:val="center"/>
        </w:trPr>
        <w:tc>
          <w:tcPr>
            <w:tcW w:w="3600" w:type="dxa"/>
            <w:tcBorders>
              <w:left w:val="nil"/>
              <w:bottom w:val="single" w:sz="12" w:space="0" w:color="000000"/>
              <w:right w:val="nil"/>
            </w:tcBorders>
            <w:vAlign w:val="center"/>
          </w:tcPr>
          <w:p w14:paraId="1778F313" w14:textId="77777777" w:rsidR="00F50F59" w:rsidRDefault="00F50F59" w:rsidP="00F73CAB">
            <w:pPr>
              <w:keepLines/>
            </w:pPr>
            <w:r>
              <w:rPr>
                <w:color w:val="000000"/>
                <w:sz w:val="17"/>
              </w:rPr>
              <w:t>Stage IV versus stages I-III</w:t>
            </w:r>
          </w:p>
        </w:tc>
        <w:tc>
          <w:tcPr>
            <w:tcW w:w="1500" w:type="dxa"/>
            <w:tcBorders>
              <w:left w:val="nil"/>
              <w:bottom w:val="single" w:sz="12" w:space="0" w:color="000000"/>
              <w:right w:val="nil"/>
            </w:tcBorders>
            <w:vAlign w:val="center"/>
          </w:tcPr>
          <w:p w14:paraId="1611D1CF" w14:textId="77777777" w:rsidR="00F50F59" w:rsidRDefault="00F50F59" w:rsidP="00F73CAB">
            <w:pPr>
              <w:keepLines/>
              <w:jc w:val="center"/>
            </w:pPr>
            <w:r>
              <w:rPr>
                <w:color w:val="000000"/>
                <w:sz w:val="17"/>
              </w:rPr>
              <w:t>0.27</w:t>
            </w:r>
          </w:p>
        </w:tc>
        <w:tc>
          <w:tcPr>
            <w:tcW w:w="1380" w:type="dxa"/>
            <w:tcBorders>
              <w:left w:val="nil"/>
              <w:bottom w:val="single" w:sz="12" w:space="0" w:color="000000"/>
              <w:right w:val="nil"/>
            </w:tcBorders>
            <w:vAlign w:val="center"/>
          </w:tcPr>
          <w:p w14:paraId="44AAA4A0" w14:textId="77777777" w:rsidR="00F50F59" w:rsidRDefault="00F50F59" w:rsidP="00F73CAB">
            <w:pPr>
              <w:keepLines/>
              <w:jc w:val="center"/>
            </w:pPr>
            <w:r>
              <w:rPr>
                <w:color w:val="000000"/>
                <w:sz w:val="17"/>
              </w:rPr>
              <w:t>0.604</w:t>
            </w:r>
          </w:p>
        </w:tc>
        <w:tc>
          <w:tcPr>
            <w:tcW w:w="1500" w:type="dxa"/>
            <w:tcBorders>
              <w:left w:val="nil"/>
              <w:bottom w:val="single" w:sz="12" w:space="0" w:color="000000"/>
              <w:right w:val="nil"/>
            </w:tcBorders>
            <w:vAlign w:val="center"/>
          </w:tcPr>
          <w:p w14:paraId="617A7154" w14:textId="77777777" w:rsidR="00F50F59" w:rsidRDefault="00F50F59" w:rsidP="00F73CAB">
            <w:pPr>
              <w:keepLines/>
              <w:jc w:val="center"/>
            </w:pPr>
            <w:r>
              <w:rPr>
                <w:color w:val="000000"/>
                <w:sz w:val="17"/>
              </w:rPr>
              <w:t>Yes</w:t>
            </w:r>
          </w:p>
        </w:tc>
      </w:tr>
    </w:tbl>
    <w:p w14:paraId="242427DC" w14:textId="35BC018E" w:rsidR="00196E08" w:rsidRDefault="00F50F59" w:rsidP="003851C7">
      <w:pPr>
        <w:keepLines/>
        <w:spacing w:before="100"/>
      </w:pPr>
      <w:r>
        <w:rPr>
          <w:color w:val="000000"/>
          <w:sz w:val="15"/>
        </w:rPr>
        <w:t>The proportional hazards assumption for the adjusted Cox model was evaluated using the scaled Schoenfeld residual test with rank-transformed time. A two-sided P value &lt;0.05 was considered evidence against proportional hazards. The detected time dependence for CEMIP group was addressed in Supplementary Table S2C.</w:t>
      </w:r>
    </w:p>
    <w:sectPr w:rsidR="00196E08" w:rsidSect="00034616">
      <w:headerReference w:type="even" r:id="rId6"/>
      <w:headerReference w:type="default" r:id="rId7"/>
      <w:footerReference w:type="even" r:id="rId8"/>
      <w:footerReference w:type="default" r:id="rId9"/>
      <w:headerReference w:type="first" r:id="rId10"/>
      <w:footerReference w:type="first" r:id="rId11"/>
      <w:pgSz w:w="12240" w:h="15840"/>
      <w:pgMar w:top="1037" w:right="1037" w:bottom="1037" w:left="1037"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5FDB0" w14:textId="77777777" w:rsidR="004B41B0" w:rsidRDefault="004B41B0" w:rsidP="00F50F59">
      <w:r>
        <w:separator/>
      </w:r>
    </w:p>
  </w:endnote>
  <w:endnote w:type="continuationSeparator" w:id="0">
    <w:p w14:paraId="11E2A2C1" w14:textId="77777777" w:rsidR="004B41B0" w:rsidRDefault="004B41B0" w:rsidP="00F5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4FA32" w14:textId="77777777" w:rsidR="003851C7" w:rsidRDefault="003851C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23D9" w14:textId="77777777" w:rsidR="00833EDA" w:rsidRDefault="00601EC4">
    <w:pPr>
      <w:pStyle w:val="a5"/>
      <w:jc w:val="right"/>
    </w:pPr>
    <w:r>
      <w:rPr>
        <w:rFonts w:ascii="Arial" w:hAnsi="Arial"/>
        <w:color w:val="666666"/>
        <w:sz w:val="16"/>
      </w:rPr>
      <w:t xml:space="preserve">Page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57A06" w14:textId="77777777" w:rsidR="003851C7" w:rsidRDefault="003851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280E5" w14:textId="77777777" w:rsidR="004B41B0" w:rsidRDefault="004B41B0" w:rsidP="00F50F59">
      <w:r>
        <w:separator/>
      </w:r>
    </w:p>
  </w:footnote>
  <w:footnote w:type="continuationSeparator" w:id="0">
    <w:p w14:paraId="295146D0" w14:textId="77777777" w:rsidR="004B41B0" w:rsidRDefault="004B41B0" w:rsidP="00F50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A1C0B" w14:textId="77777777" w:rsidR="003851C7" w:rsidRDefault="003851C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264C5" w14:textId="279A630C" w:rsidR="00833EDA" w:rsidRDefault="004B41B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135D7" w14:textId="77777777" w:rsidR="003851C7" w:rsidRDefault="003851C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E08"/>
    <w:rsid w:val="00196E08"/>
    <w:rsid w:val="003851C7"/>
    <w:rsid w:val="004B41B0"/>
    <w:rsid w:val="005E5066"/>
    <w:rsid w:val="00601EC4"/>
    <w:rsid w:val="00C34426"/>
    <w:rsid w:val="00F50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F7202E"/>
  <w15:chartTrackingRefBased/>
  <w15:docId w15:val="{0E51CD9D-A9EF-4B0A-8C48-0CB73FB4A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0F59"/>
    <w:rPr>
      <w:rFonts w:ascii="Arial" w:eastAsia="Arial" w:hAnsi="Arial"/>
      <w:kern w:val="0"/>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0F59"/>
    <w:pPr>
      <w:widowControl w:val="0"/>
      <w:pBdr>
        <w:bottom w:val="single" w:sz="6" w:space="1" w:color="auto"/>
      </w:pBdr>
      <w:tabs>
        <w:tab w:val="center" w:pos="4153"/>
        <w:tab w:val="right" w:pos="8306"/>
      </w:tabs>
      <w:snapToGrid w:val="0"/>
      <w:jc w:val="center"/>
    </w:pPr>
    <w:rPr>
      <w:rFonts w:asciiTheme="minorHAnsi" w:eastAsiaTheme="minorEastAsia" w:hAnsiTheme="minorHAnsi"/>
      <w:kern w:val="2"/>
      <w:szCs w:val="18"/>
      <w:lang w:eastAsia="zh-CN"/>
    </w:rPr>
  </w:style>
  <w:style w:type="character" w:customStyle="1" w:styleId="a4">
    <w:name w:val="页眉 字符"/>
    <w:basedOn w:val="a0"/>
    <w:link w:val="a3"/>
    <w:uiPriority w:val="99"/>
    <w:rsid w:val="00F50F59"/>
    <w:rPr>
      <w:sz w:val="18"/>
      <w:szCs w:val="18"/>
    </w:rPr>
  </w:style>
  <w:style w:type="paragraph" w:styleId="a5">
    <w:name w:val="footer"/>
    <w:basedOn w:val="a"/>
    <w:link w:val="a6"/>
    <w:uiPriority w:val="99"/>
    <w:unhideWhenUsed/>
    <w:rsid w:val="00F50F59"/>
    <w:pPr>
      <w:widowControl w:val="0"/>
      <w:tabs>
        <w:tab w:val="center" w:pos="4153"/>
        <w:tab w:val="right" w:pos="8306"/>
      </w:tabs>
      <w:snapToGrid w:val="0"/>
    </w:pPr>
    <w:rPr>
      <w:rFonts w:asciiTheme="minorHAnsi" w:eastAsiaTheme="minorEastAsia" w:hAnsiTheme="minorHAnsi"/>
      <w:kern w:val="2"/>
      <w:szCs w:val="18"/>
      <w:lang w:eastAsia="zh-CN"/>
    </w:rPr>
  </w:style>
  <w:style w:type="character" w:customStyle="1" w:styleId="a6">
    <w:name w:val="页脚 字符"/>
    <w:basedOn w:val="a0"/>
    <w:link w:val="a5"/>
    <w:uiPriority w:val="99"/>
    <w:rsid w:val="00F50F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778</Words>
  <Characters>4532</Characters>
  <Application>Microsoft Office Word</Application>
  <DocSecurity>0</DocSecurity>
  <Lines>226</Lines>
  <Paragraphs>196</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jinge Zheng</dc:creator>
  <cp:keywords/>
  <dc:description/>
  <cp:lastModifiedBy>jinge Zheng</cp:lastModifiedBy>
  <cp:revision>4</cp:revision>
  <dcterms:created xsi:type="dcterms:W3CDTF">2026-07-19T16:57:00Z</dcterms:created>
  <dcterms:modified xsi:type="dcterms:W3CDTF">2026-07-24T14:00:00Z</dcterms:modified>
</cp:coreProperties>
</file>