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val="0"/>
          <w:i w:val="0"/>
        </w:rPr>
        <w:t>Supplementary Methods, Tables S1-S2 and Figure S1</w:t>
      </w:r>
    </w:p>
    <w:p>
      <w:pPr>
        <w:jc w:val="center"/>
      </w:pPr>
      <w:r>
        <w:rPr>
          <w:b w:val="0"/>
          <w:i w:val="0"/>
        </w:rPr>
        <w:t>Manuscript: From PubMed counts to evidence-review readiness: a query audit of named KEGG signaling pathways in extracellular-vesicle research</w:t>
      </w:r>
    </w:p>
    <w:p>
      <w:pPr>
        <w:pStyle w:val="Heading1"/>
      </w:pPr>
      <w:r>
        <w:rPr>
          <w:rFonts w:ascii="Times New Roman" w:hAnsi="Times New Roman" w:eastAsia="Times New Roman"/>
          <w:b/>
          <w:color w:val="000000"/>
          <w:sz w:val="26"/>
        </w:rPr>
        <w:t>S1. Study boundary and pathway universe</w:t>
      </w:r>
    </w:p>
    <w:p>
      <w:pPr/>
      <w:r>
        <w:rPr>
          <w:b w:val="0"/>
          <w:i w:val="0"/>
        </w:rPr>
        <w:t xml:space="preserve">The study measures conditional PubMed attention: the share of records in each EV context that name a signaling pathway explicitly. Pathways were searched by name only, without their member genes or proteins, and the counts do not measure biological importance, efficacy, or study quality. The design is a quantitative literature map with human quality assurance of each query, not a systematic or scoping review.</w:t>
      </w:r>
    </w:p>
    <w:p>
      <w:pPr/>
      <w:r>
        <w:rPr>
          <w:rFonts w:ascii="Times New Roman" w:hAnsi="Times New Roman" w:eastAsia="Times New Roman"/>
          <w:color w:val="000000"/>
          <w:sz w:val="22"/>
        </w:rPr>
        <w:t xml:space="preserve">The primary universe was frozen on 26 August 2026 as the intersection of the KEGG human pathway </w:t>
      </w:r>
      <w:r>
        <w:rPr>
          <w:rFonts w:ascii="Times New Roman" w:hAnsi="Times New Roman" w:eastAsia="Times New Roman"/>
          <w:color w:val="000000"/>
          <w:sz w:val="22"/>
        </w:rPr>
        <w:t xml:space="preserve">catalog</w:t>
      </w:r>
      <w:r>
        <w:rPr>
          <w:rFonts w:ascii="Times New Roman" w:hAnsi="Times New Roman" w:eastAsia="Times New Roman"/>
          <w:color w:val="000000"/>
          <w:sz w:val="22"/>
        </w:rPr>
        <w:t xml:space="preserve"> and the Signal-transduction subcategory of the KEGG BRITE hierarchy. It comprised 26 maps. All 26 remained visible regardless of query performance or observed count. </w:t>
      </w:r>
      <w:r>
        <w:rPr>
          <w:rFonts w:ascii="Times New Roman" w:hAnsi="Times New Roman" w:eastAsia="Times New Roman"/>
          <w:color w:val="000000"/>
          <w:sz w:val="22"/>
        </w:rPr>
        <w:t xml:space="preserve">The map hsa04392, Hippo signaling pathway - multiple species, had</w:t>
      </w:r>
      <w:r>
        <w:rPr>
          <w:rFonts w:ascii="Times New Roman" w:hAnsi="Times New Roman" w:eastAsia="Times New Roman"/>
          <w:color w:val="000000"/>
          <w:sz w:val="22"/>
        </w:rPr>
        <w:t xml:space="preserve"> controlled-expansion memberships identical to hsa04390 and was retained as a structural duplicate rather than an independent map.</w:t>
      </w:r>
    </w:p>
    <w:p>
      <w:pPr/>
      <w:r>
        <w:rPr>
          <w:rFonts w:ascii="Times New Roman" w:hAnsi="Times New Roman" w:eastAsia="Times New Roman"/>
          <w:color w:val="000000"/>
          <w:sz w:val="22"/>
        </w:rPr>
        <w:t>The prespecified secondary layer contained all three KEGG Circulatory-system maps and all ten Nervous-system maps. It could be activated only as a complete block if every map passed the same technical, semantic, context, and collision safeguards. Four maps passed and nine remained unresolved, so the 13-map block was dropped in full and was not included in the definitive retrieval. No failed map was replaced.</w:t>
      </w:r>
    </w:p>
    <w:p>
      <w:pPr/>
      <w:r>
        <w:rPr>
          <w:b w:val="0"/>
          <w:i w:val="0"/>
        </w:rPr>
        <w:t>The official KEGG name and a controlled pathway-name expansion were defined for each map. The controlled expansion was the primary specification. The official exact phrase was retained as a lexical sensitivity for the same named-pathway question. Short or polysemous terms remained constrained by words such as signaling, pathway, synaptic, contraction, or transmission. Isolated member genes and proteins were never added.</w:t>
      </w:r>
    </w:p>
    <w:p>
      <w:pPr>
        <w:pStyle w:val="Heading1"/>
      </w:pPr>
      <w:r>
        <w:rPr>
          <w:rFonts w:ascii="Times New Roman" w:hAnsi="Times New Roman" w:eastAsia="Times New Roman"/>
          <w:b/>
          <w:color w:val="000000"/>
          <w:sz w:val="26"/>
        </w:rPr>
        <w:t>S2. Exact EV and context concepts</w:t>
      </w:r>
    </w:p>
    <w:p>
      <w:pPr/>
      <w:r>
        <w:rPr>
          <w:rFonts w:ascii="Times New Roman" w:hAnsi="Times New Roman" w:eastAsia="Times New Roman"/>
          <w:color w:val="000000"/>
          <w:sz w:val="22"/>
        </w:rPr>
        <w:t>Every definitive query used the PubMed Publication Date field from 1 January 2015 through 31 July 2026:</w:t>
      </w:r>
    </w:p>
    <w:p>
      <w:pPr>
        <w:pStyle w:val="QueryBlock"/>
        <w:shd w:fill="F2F2F2"/>
      </w:pPr>
      <w:r>
        <w:rPr>
          <w:rFonts w:ascii="Courier New" w:hAnsi="Courier New" w:eastAsia="Courier New"/>
          <w:color w:val="000000"/>
          <w:sz w:val="17"/>
        </w:rPr>
        <w:t xml:space="preserve">2015/01/01:2026/07/31[dp]</w:t>
      </w:r>
    </w:p>
    <w:p>
      <w:pPr/>
      <w:r>
        <w:rPr>
          <w:rFonts w:ascii="Times New Roman" w:hAnsi="Times New Roman" w:eastAsia="Times New Roman"/>
          <w:color w:val="000000"/>
          <w:sz w:val="22"/>
        </w:rPr>
        <w:t>The EV clause was:</w:t>
      </w:r>
    </w:p>
    <w:p>
      <w:pPr>
        <w:pStyle w:val="QueryBlock"/>
        <w:shd w:fill="F2F2F2"/>
      </w:pPr>
      <w:r>
        <w:rPr>
          <w:rFonts w:ascii="Courier New" w:hAnsi="Courier New" w:eastAsia="Courier New"/>
          <w:color w:val="000000"/>
          <w:sz w:val="17"/>
        </w:rPr>
        <w:t>("Extracellular Vesicles"[Mesh] OR ("extracellular vesicle"[tiab] OR "extracellular vesicles"[tiab] OR exosom*[tiab]))</w:t>
      </w:r>
    </w:p>
    <w:p>
      <w:pPr/>
      <w:r>
        <w:rPr>
          <w:rFonts w:ascii="Times New Roman" w:hAnsi="Times New Roman" w:eastAsia="Times New Roman"/>
          <w:color w:val="000000"/>
          <w:sz w:val="22"/>
        </w:rPr>
        <w:t xml:space="preserve">This concept intentionally preserves the prespecified extracellular-vesicle/exosome scope. </w:t>
      </w:r>
      <w:r>
        <w:rPr>
          <w:rFonts w:ascii="Times New Roman" w:hAnsi="Times New Roman" w:eastAsia="Times New Roman"/>
          <w:color w:val="000000"/>
          <w:sz w:val="22"/>
        </w:rPr>
        <w:t xml:space="preserve">The concept does not include microvesicle*, ectosome*, microparticle*, apoptotic body, or subtype-only terms as text words. A record using only one of these terms could therefore be missed unless it was indexed under the exploded MeSH descriptor Extracellular Vesicles, which includes Cell-Derived Microparticles.</w:t>
      </w:r>
    </w:p>
    <w:p>
      <w:pPr/>
      <w:r>
        <w:rPr>
          <w:rFonts w:ascii="Times New Roman" w:hAnsi="Times New Roman" w:eastAsia="Times New Roman"/>
          <w:color w:val="000000"/>
          <w:sz w:val="22"/>
        </w:rPr>
        <w:t>The final neurodegeneration clause was:</w:t>
      </w:r>
    </w:p>
    <w:p>
      <w:pPr>
        <w:pStyle w:val="QueryBlock"/>
        <w:shd w:fill="F2F2F2"/>
      </w:pPr>
      <w:r>
        <w:rPr>
          <w:rFonts w:ascii="Courier New" w:hAnsi="Courier New" w:eastAsia="Courier New"/>
          <w:color w:val="000000"/>
          <w:sz w:val="17"/>
        </w:rPr>
        <w:t>("Neurodegenerative Diseases"[Majr] OR neurodegenerat*[ti] OR neurodegenerat*[ot] OR "Alzheimer Disease"[Mesh] OR "Parkinson Disease"[Mesh] OR "Amyotrophic Lateral Sclerosis"[Mesh] OR "Frontotemporal Dementia"[Mesh] OR "Huntington Disease"[Mesh] OR Alzheimer*[tiab] OR Parkinson*[tiab] OR "amyotrophic lateral sclerosis"[tiab] OR ALS[tiab] OR "frontotemporal dementia"[tiab] OR Huntington*[tiab])</w:t>
      </w:r>
    </w:p>
    <w:p>
      <w:pPr/>
      <w:r>
        <w:rPr>
          <w:rFonts w:ascii="Times New Roman" w:hAnsi="Times New Roman" w:eastAsia="Times New Roman"/>
          <w:color w:val="000000"/>
          <w:sz w:val="22"/>
        </w:rPr>
        <w:t>The final tumor-metastasis clause was:</w:t>
      </w:r>
    </w:p>
    <w:p>
      <w:pPr>
        <w:pStyle w:val="QueryBlock"/>
        <w:shd w:fill="F2F2F2"/>
      </w:pPr>
      <w:r>
        <w:rPr>
          <w:rFonts w:ascii="Courier New" w:hAnsi="Courier New" w:eastAsia="Courier New"/>
          <w:color w:val="000000"/>
          <w:sz w:val="17"/>
        </w:rPr>
        <w:t>("cancer metastasis"[tiab] OR "cancer metastases"[tiab] OR "tumor metastasis"[tiab] OR "tumor metastases"[tiab] OR "tumour metastasis"[tiab] OR "tumour metastases"[tiab] OR "metastatic cancer"[tiab] OR "metastatic tumor"[tiab] OR "metastatic tumour"[tiab] OR premetastatic[tiab] OR "pre-metastatic"[tiab] OR organotropism[tiab] OR "cancer dissemination"[tiab] OR "tumor dissemination"[tiab] OR "tumour dissemination"[tiab])</w:t>
      </w:r>
    </w:p>
    <w:p>
      <w:pPr/>
      <w:r>
        <w:rPr>
          <w:rFonts w:ascii="Times New Roman" w:hAnsi="Times New Roman" w:eastAsia="Times New Roman"/>
          <w:color w:val="000000"/>
          <w:sz w:val="22"/>
        </w:rPr>
        <w:t>The final cardiac-repair clause was:</w:t>
      </w:r>
    </w:p>
    <w:p>
      <w:pPr>
        <w:pStyle w:val="QueryBlock"/>
        <w:shd w:fill="F2F2F2"/>
      </w:pPr>
      <w:r>
        <w:rPr>
          <w:rFonts w:ascii="Courier New" w:hAnsi="Courier New" w:eastAsia="Courier New"/>
          <w:color w:val="000000"/>
          <w:sz w:val="17"/>
        </w:rPr>
        <w:t>(("myocardial infarction"[tiab] OR ("ischemia-reperfusion"[tiab] AND (cardiac[tiab] OR myocardial[tiab] OR heart[tiab])) OR "heart failure"[tiab] OR "cardiac injury"[tiab]) AND (repair[tiab] OR regeneration[tiab] OR cardioprotection[tiab] OR "post-infarction"[tiab]))</w:t>
      </w:r>
    </w:p>
    <w:p>
      <w:pPr/>
      <w:r>
        <w:rPr>
          <w:rFonts w:ascii="Times New Roman" w:hAnsi="Times New Roman" w:eastAsia="Times New Roman"/>
          <w:color w:val="000000"/>
          <w:sz w:val="22"/>
        </w:rPr>
        <w:t xml:space="preserve">PubMed [tiab] includes title, collection title, abstract, other abstract, and author keywords. </w:t>
      </w:r>
      <w:r>
        <w:rPr>
          <w:rFonts w:ascii="Times New Roman" w:hAnsi="Times New Roman" w:eastAsia="Times New Roman"/>
          <w:color w:val="000000"/>
          <w:sz w:val="22"/>
        </w:rPr>
        <w:t xml:space="preserve">The evidence shown to raters therefore comprised</w:t>
      </w:r>
      <w:r>
        <w:rPr>
          <w:rFonts w:ascii="Times New Roman" w:hAnsi="Times New Roman" w:eastAsia="Times New Roman"/>
          <w:color w:val="000000"/>
          <w:sz w:val="22"/>
        </w:rPr>
        <w:t xml:space="preserve"> title, abstract, and ordered author keywords. </w:t>
      </w:r>
      <w:r>
        <w:rPr>
          <w:rFonts w:ascii="Times New Roman" w:hAnsi="Times New Roman" w:eastAsia="Times New Roman"/>
          <w:color w:val="000000"/>
          <w:sz w:val="22"/>
        </w:rPr>
        <w:t xml:space="preserve">A matching keyword counted only as query evidence; whether the record was substantively in scope was judged separately.</w:t>
      </w:r>
    </w:p>
    <w:p>
      <w:pPr/>
      <w:r>
        <w:rPr>
          <w:rFonts w:ascii="Times New Roman" w:hAnsi="Times New Roman" w:eastAsia="Times New Roman"/>
          <w:color w:val="000000"/>
          <w:sz w:val="22"/>
        </w:rPr>
        <w:t xml:space="preserve">The generic neurodegeneration limb was restricted to MeSH Major Topic, title, or author keyword. The five named-disease limbs retained MeSH and [tiab] terms. In the tumor clause, every term was explicitly fielded and a broad "metastatic disease" phrase was removed before pathway outcomes were retrieved because context quality assurance showed a repeated false-positive mechanism. The cardiac clause included heart failure only when coupled to the repair block.</w:t>
      </w:r>
    </w:p>
    <w:p>
      <w:pPr>
        <w:pStyle w:val="Heading1"/>
      </w:pPr>
      <w:r>
        <w:rPr>
          <w:rFonts w:ascii="Times New Roman" w:hAnsi="Times New Roman" w:eastAsia="Times New Roman"/>
          <w:b/>
          <w:color w:val="000000"/>
          <w:sz w:val="26"/>
        </w:rPr>
        <w:t>S3. Context-clause quality assurance</w:t>
      </w:r>
    </w:p>
    <w:p>
      <w:pPr/>
      <w:r>
        <w:rPr>
          <w:rFonts w:ascii="Times New Roman" w:hAnsi="Times New Roman" w:eastAsia="Times New Roman"/>
          <w:color w:val="000000"/>
          <w:sz w:val="22"/>
        </w:rPr>
        <w:t>Context quality assurance was completed before pathway retrieval. Deterministic samples were built from context-limb probes without displaying query membership, counts, translations, pathway identities, or downstream implications to the raters. The final evidence set contained 56 unique context-PMID units: 50 were in scope, six were off scope, and none remained uncertain.</w:t>
      </w:r>
    </w:p>
    <w:p>
      <w:pPr/>
      <w:r>
        <w:rPr>
          <w:rFonts w:ascii="Times New Roman" w:hAnsi="Times New Roman" w:eastAsia="Times New Roman"/>
          <w:color w:val="000000"/>
          <w:sz w:val="22"/>
        </w:rPr>
        <w:t xml:space="preserve">Forty-six </w:t>
      </w:r>
      <w:r>
        <w:rPr>
          <w:rFonts w:ascii="Times New Roman" w:hAnsi="Times New Roman" w:eastAsia="Times New Roman"/>
          <w:color w:val="000000"/>
          <w:sz w:val="22"/>
        </w:rPr>
        <w:t xml:space="preserve">in-scope judgments were carried </w:t>
      </w:r>
      <w:r>
        <w:rPr>
          <w:rFonts w:ascii="Times New Roman" w:hAnsi="Times New Roman" w:eastAsia="Times New Roman"/>
          <w:color w:val="000000"/>
          <w:sz w:val="22"/>
        </w:rPr>
        <w:t xml:space="preserve">forward </w:t>
      </w:r>
      <w:r>
        <w:rPr>
          <w:rFonts w:ascii="Times New Roman" w:hAnsi="Times New Roman" w:eastAsia="Times New Roman"/>
          <w:color w:val="000000"/>
          <w:sz w:val="22"/>
        </w:rPr>
        <w:t xml:space="preserve">from an earlier quality-assurance iteration</w:t>
      </w:r>
      <w:r>
        <w:rPr>
          <w:rFonts w:ascii="Times New Roman" w:hAnsi="Times New Roman" w:eastAsia="Times New Roman"/>
          <w:color w:val="000000"/>
          <w:sz w:val="22"/>
        </w:rPr>
        <w:t xml:space="preserve"> (45 </w:t>
      </w:r>
      <w:r>
        <w:rPr>
          <w:rFonts w:ascii="Times New Roman" w:hAnsi="Times New Roman" w:eastAsia="Times New Roman"/>
          <w:color w:val="000000"/>
          <w:sz w:val="22"/>
        </w:rPr>
        <w:t xml:space="preserve">clear passes reviewed by one rater</w:t>
      </w:r>
      <w:r>
        <w:rPr>
          <w:rFonts w:ascii="Times New Roman" w:hAnsi="Times New Roman" w:eastAsia="Times New Roman"/>
          <w:color w:val="000000"/>
          <w:sz w:val="22"/>
        </w:rPr>
        <w:t xml:space="preserve">; one, CQA-031, resolved by consensus in that iteration)</w:t>
      </w:r>
      <w:r>
        <w:rPr>
          <w:rFonts w:ascii="Times New Roman" w:hAnsi="Times New Roman" w:eastAsia="Times New Roman"/>
          <w:color w:val="000000"/>
          <w:sz w:val="22"/>
        </w:rPr>
        <w:t xml:space="preserve">; carry-forward required the assigned context, PMID, title, abstract, ordered author keywords, and rating rubric to be identical.</w:t>
      </w:r>
      <w:r>
        <w:rPr>
          <w:rFonts w:ascii="Times New Roman" w:hAnsi="Times New Roman" w:eastAsia="Times New Roman"/>
          <w:color w:val="000000"/>
          <w:sz w:val="22"/>
        </w:rPr>
        <w:t xml:space="preserve"> Ten units were freshly rated by both authors. Nine had exact independent agreement. One cardiac-repair record was resolved jointly as off scope after both authors reviewed the complete displayed evidence. A context limb failed if at least two off-scope records shared one query mechanism, one record exposed a deterministic whole-limb defect, or the limb was structurally unconstrained. None of the final context clauses met a failure condition.</w:t>
      </w:r>
    </w:p>
    <w:p>
      <w:pPr/>
      <w:r>
        <w:rPr>
          <w:rFonts w:ascii="Times New Roman" w:hAnsi="Times New Roman" w:eastAsia="Times New Roman"/>
          <w:color w:val="000000"/>
          <w:sz w:val="22"/>
        </w:rPr>
        <w:t xml:space="preserve">The record-level carry-forward rule preserved an existing scientific judgment; it did not carry a context-level pass. Each context determination was recalculated after the final ratings. Additional file 2, Context_Query_QA, reports the evidence handling and final decisions with fixed de-identified labels Rater A and Rater B. Both raters were manuscript authors; </w:t>
      </w:r>
      <w:r>
        <w:rPr>
          <w:rFonts w:ascii="Times New Roman" w:hAnsi="Times New Roman" w:eastAsia="Times New Roman"/>
          <w:color w:val="000000"/>
          <w:sz w:val="22"/>
        </w:rPr>
        <w:t xml:space="preserve">the labels reduce personal identifiers, and the assessment was not blinded</w:t>
      </w:r>
      <w:r>
        <w:rPr>
          <w:rFonts w:ascii="Times New Roman" w:hAnsi="Times New Roman" w:eastAsia="Times New Roman"/>
          <w:color w:val="000000"/>
          <w:sz w:val="22"/>
        </w:rPr>
        <w:t xml:space="preserve">.</w:t>
      </w:r>
    </w:p>
    <w:p>
      <w:pPr>
        <w:pStyle w:val="Heading1"/>
      </w:pPr>
      <w:r>
        <w:rPr>
          <w:rFonts w:ascii="Times New Roman" w:hAnsi="Times New Roman" w:eastAsia="Times New Roman"/>
          <w:b/>
          <w:color w:val="000000"/>
          <w:sz w:val="26"/>
        </w:rPr>
        <w:t>S4. Pathway-clause quality assurance</w:t>
      </w:r>
    </w:p>
    <w:p>
      <w:pPr/>
      <w:r>
        <w:t xml:space="preserve">The diagnostic registry comprised 39 maps × three contexts × two wording specifications, for 234 exact PubMed queries. </w:t>
      </w:r>
      <w:r>
        <w:t xml:space="preserve">The complete diagnostic retrieval was run once, after context quality assurance had been completed.</w:t>
      </w:r>
      <w:r>
        <w:t xml:space="preserve"> Exact queries, parameters, translations, response-order PMID lists, timestamps, warnings, and response hashes were retained for quality assurance. Diagnostic memberships and counts were never mixed with the definitive analysis; </w:t>
      </w:r>
      <w:r>
        <w:t xml:space="preserve">beyond quality assurance, </w:t>
      </w:r>
      <w:r>
        <w:t xml:space="preserve">the archived diagnostic objects are used only in the exploratory analyses described in S10.</w:t>
      </w:r>
    </w:p>
    <w:p>
      <w:pPr/>
      <w:r>
        <w:t>Three official-exact comparator queries for hsa04392 returned zero records with NCBI's ignored-phrase signal for the unsupported literal label "Hippo signaling pathway - multiple species"[tiab]. A frozen structural-duplicate exception accepted only that exact zero-result, no-error pattern; all other ignored phrases remained fatal. These rows contributed no empirical membership, and controlled expansion remained the sole input to hsa04392 sampling.</w:t>
      </w:r>
    </w:p>
    <w:p>
      <w:pPr/>
      <w:r>
        <w:rPr>
          <w:i w:val="0"/>
        </w:rPr>
        <w:t>The audit followed the decision rules in Supplementary Table S1. Technical execution and PubMed translation were checked before result volume was interpreted. The semantic audit used each map's unique controlled-expansion records across the three contexts. A non-empty map membership set entered record review; a map with no controlled-expansion records entered joint review of its exact context queries and PubMed translations only. Additional file 2 releases the complete 243-record map-level diagnostic sample frame.</w:t>
      </w:r>
    </w:p>
    <w:p>
      <w:pPr/>
      <w:r>
        <w:t xml:space="preserve">The deterministic sampler was frozen before diagnostic retrieval. For one to nine unique controlled-expansion records, it selected the complete cross-context union. For at least ten, it selected ten unique PMIDs using a rotating 4/3/3 quota across neurodegeneration, tumor metastasis, and cardiac repair. Within each context, the quota was split between controlled-expansion-only and official-exact-overlapping records. Candidates were ordered by SHA-256 of the fixed namespace, map ID, context, membership stratum, and PMID. The UTF-8 hash input was JTRM-P1-PATHWAY-QA-v2|pathway_id|context|membership_stratum_or_fallback_token|PMID. The fixed context order was neurodegeneration, tumor metastasis, and cardiac repair: </w:t>
      </w:r>
      <w:r>
        <w:t xml:space="preserve">in the Map order of Additional file 2, map 1 assigned</w:t>
      </w:r>
      <w:r>
        <w:t xml:space="preserve"> the four-record quota to neurodegeneration, map 2 to tumor metastasis, map 3 to cardiac repair, and this three-map cycle then repeated.</w:t>
      </w:r>
    </w:p>
    <w:p>
      <w:pPr/>
      <w:r>
        <w:t xml:space="preserve">If a target stratum could not fill its share, a prespecified within-context hash order was used; any remaining shortfall used one global fallback order. A PMID could be selected only once, ties fell through to fixed fields, and no manual substitution or redraw was permitted. The released frame supplies every diagnostic membership, response rank, hash, selection decision, assigned context, and sample order. </w:t>
      </w:r>
      <w:r>
        <w:t xml:space="preserve">The thresholds and the ten-record sample size were study-specific operational choices intended to detect semantic failure;</w:t>
      </w:r>
      <w:r>
        <w:t xml:space="preserve"> they are not validated precision cut-points or universal recommendations.</w:t>
      </w:r>
    </w:p>
    <w:p>
      <w:pPr>
        <w:keepNext/>
        <w:spacing w:before="160" w:after="80"/>
      </w:pPr>
      <w:r>
        <w:rPr>
          <w:b/>
          <w:i w:val="0"/>
        </w:rPr>
        <w:t>Supplementary Table S1. Prespecified query-audit decision rules</w:t>
      </w:r>
    </w:p>
    <w:tbl>
      <w:tblPr>
        <w:tblStyle w:val="TableGrid"/>
        <w:tblW w:type="auto" w:w="0"/>
        <w:jc w:val="center"/>
        <w:tblLayout w:type="fixed"/>
        <w:tblLook w:firstColumn="1" w:firstRow="1" w:lastColumn="0" w:lastRow="0" w:noHBand="0" w:noVBand="1" w:val="04A0"/>
      </w:tblPr>
      <w:tblGrid>
        <w:gridCol w:w="1000"/>
        <w:gridCol w:w="1600"/>
        <w:gridCol w:w="2100"/>
        <w:gridCol w:w="1750"/>
        <w:gridCol w:w="2670"/>
      </w:tblGrid>
      <w:tr>
        <w:trPr>
          <w:tblHeader w:val="true"/>
          <w:cantSplit w:val="true"/>
        </w:trPr>
        <w:tc>
          <w:tcPr>
            <w:tcW w:type="dxa" w:w="1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i w:val="0"/>
                <w:sz w:val="16"/>
              </w:rPr>
              <w:t>Unique controlled-expansion records per map</w:t>
            </w:r>
          </w:p>
        </w:tc>
        <w:tc>
          <w:tcPr>
            <w:tcW w:type="dxa" w:w="16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i w:val="0"/>
                <w:sz w:val="16"/>
              </w:rPr>
              <w:t>Review set</w:t>
            </w:r>
          </w:p>
        </w:tc>
        <w:tc>
          <w:tcPr>
            <w:tcW w:type="dxa" w:w="21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i w:val="0"/>
                <w:sz w:val="16"/>
              </w:rPr>
              <w:t>Second-rater involvement</w:t>
            </w:r>
          </w:p>
        </w:tc>
        <w:tc>
          <w:tcPr>
            <w:tcW w:type="dxa" w:w="175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i w:val="0"/>
                <w:sz w:val="16"/>
              </w:rPr>
              <w:t>Pathway-content threshold</w:t>
            </w:r>
          </w:p>
        </w:tc>
        <w:tc>
          <w:tcPr>
            <w:tcW w:type="dxa" w:w="267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i w:val="0"/>
                <w:sz w:val="16"/>
              </w:rPr>
              <w:t>Permitted interpretation</w:t>
            </w:r>
          </w:p>
        </w:tc>
      </w:tr>
      <w:tr>
        <w:trPr>
          <w:cantSplit w:val="true"/>
        </w:trPr>
        <w:tc>
          <w:tcPr>
            <w:tcW w:type="dxa" w:w="1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Zero</w:t>
            </w:r>
          </w:p>
        </w:tc>
        <w:tc>
          <w:tcPr>
            <w:tcW w:type="dxa" w:w="16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No record review; exact controlled-expansion context queries and PubMed translations inspected</w:t>
            </w:r>
          </w:p>
        </w:tc>
        <w:tc>
          <w:tcPr>
            <w:tcW w:type="dxa" w:w="21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Both authors</w:t>
            </w:r>
          </w:p>
        </w:tc>
        <w:tc>
          <w:tcPr>
            <w:tcW w:type="dxa" w:w="175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Not empirically assessable</w:t>
            </w:r>
          </w:p>
        </w:tc>
        <w:tc>
          <w:tcPr>
            <w:tcW w:type="dxa" w:w="267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Technically verified empty only; no empirical semantic claim</w:t>
            </w:r>
          </w:p>
        </w:tc>
      </w:tr>
      <w:tr>
        <w:trPr>
          <w:cantSplit w:val="true"/>
        </w:trPr>
        <w:tc>
          <w:tcPr>
            <w:tcW w:type="dxa" w:w="1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 xml:space="preserve">1–4</w:t>
            </w:r>
          </w:p>
        </w:tc>
        <w:tc>
          <w:tcPr>
            <w:tcW w:type="dxa" w:w="16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Complete census</w:t>
            </w:r>
          </w:p>
        </w:tc>
        <w:tc>
          <w:tcPr>
            <w:tcW w:type="dxa" w:w="21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Both authors independently reviewed all records</w:t>
            </w:r>
          </w:p>
        </w:tc>
        <w:tc>
          <w:tcPr>
            <w:tcW w:type="dxa" w:w="175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All records substantive</w:t>
            </w:r>
          </w:p>
        </w:tc>
        <w:tc>
          <w:tcPr>
            <w:tcW w:type="dxa" w:w="2670"/>
            <w:vAlign w:val="center"/>
            <w:tcMar>
              <w:top w:w="70" w:type="dxa"/>
              <w:start w:w="90" w:type="dxa"/>
              <w:bottom w:w="70" w:type="dxa"/>
              <w:end w:w="90" w:type="dxa"/>
            </w:tcMar>
          </w:tcPr>
          <w:p>
            <w:pPr>
              <w:spacing w:before="0" w:after="0" w:line="240" w:lineRule="auto"/>
              <w:jc w:val="left"/>
            </w:pPr>
            <w:r>
              <w:rPr>
                <w:rFonts w:ascii="Times New Roman" w:hAnsi="Times New Roman"/>
                <w:b w:val="0"/>
                <w:i w:val="0"/>
                <w:sz w:val="16"/>
              </w:rPr>
              <w:t>Pathway-clause threshold met; final usability also requires the prespecified EV/context assessment.</w:t>
            </w:r>
          </w:p>
        </w:tc>
      </w:tr>
      <w:tr>
        <w:trPr>
          <w:cantSplit w:val="true"/>
        </w:trPr>
        <w:tc>
          <w:tcPr>
            <w:tcW w:type="dxa" w:w="1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 xml:space="preserve">5–9</w:t>
            </w:r>
          </w:p>
        </w:tc>
        <w:tc>
          <w:tcPr>
            <w:tcW w:type="dxa" w:w="16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Complete census</w:t>
            </w:r>
          </w:p>
        </w:tc>
        <w:tc>
          <w:tcPr>
            <w:tcW w:type="dxa" w:w="21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Both authors independently reviewed all records</w:t>
            </w:r>
          </w:p>
        </w:tc>
        <w:tc>
          <w:tcPr>
            <w:tcW w:type="dxa" w:w="175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All but at most one substantive</w:t>
            </w:r>
          </w:p>
        </w:tc>
        <w:tc>
          <w:tcPr>
            <w:tcW w:type="dxa" w:w="2670"/>
            <w:vAlign w:val="center"/>
            <w:tcMar>
              <w:top w:w="70" w:type="dxa"/>
              <w:start w:w="90" w:type="dxa"/>
              <w:bottom w:w="70" w:type="dxa"/>
              <w:end w:w="90" w:type="dxa"/>
            </w:tcMar>
          </w:tcPr>
          <w:p>
            <w:pPr>
              <w:spacing w:before="0" w:after="0" w:line="240" w:lineRule="auto"/>
              <w:jc w:val="left"/>
            </w:pPr>
            <w:r>
              <w:rPr>
                <w:rFonts w:ascii="Times New Roman" w:hAnsi="Times New Roman"/>
                <w:b w:val="0"/>
                <w:i w:val="0"/>
                <w:sz w:val="16"/>
              </w:rPr>
              <w:t>Pathway-clause threshold met; final usability also requires the prespecified EV/context assessment.</w:t>
            </w:r>
          </w:p>
        </w:tc>
      </w:tr>
      <w:tr>
        <w:trPr>
          <w:cantSplit w:val="true"/>
        </w:trPr>
        <w:tc>
          <w:tcPr>
            <w:tcW w:type="dxa" w:w="1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At least 10</w:t>
            </w:r>
          </w:p>
        </w:tc>
        <w:tc>
          <w:tcPr>
            <w:tcW w:type="dxa" w:w="16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Deterministic sample of 10 unique records</w:t>
            </w:r>
          </w:p>
        </w:tc>
        <w:tc>
          <w:tcPr>
            <w:tcW w:type="dxa" w:w="21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Second author verified every failure and a prespecified 20% of passes</w:t>
            </w:r>
          </w:p>
        </w:tc>
        <w:tc>
          <w:tcPr>
            <w:tcW w:type="dxa" w:w="175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At least 8 of 10 substantive</w:t>
            </w:r>
          </w:p>
        </w:tc>
        <w:tc>
          <w:tcPr>
            <w:tcW w:type="dxa" w:w="2670"/>
            <w:vAlign w:val="center"/>
            <w:tcMar>
              <w:top w:w="70" w:type="dxa"/>
              <w:start w:w="90" w:type="dxa"/>
              <w:bottom w:w="70" w:type="dxa"/>
              <w:end w:w="90" w:type="dxa"/>
            </w:tcMar>
          </w:tcPr>
          <w:p>
            <w:pPr>
              <w:spacing w:before="0" w:after="0" w:line="240" w:lineRule="auto"/>
              <w:jc w:val="left"/>
            </w:pPr>
            <w:r>
              <w:rPr>
                <w:rFonts w:ascii="Times New Roman" w:hAnsi="Times New Roman"/>
                <w:b w:val="0"/>
                <w:i w:val="0"/>
                <w:sz w:val="16"/>
              </w:rPr>
              <w:t>Pathway-clause threshold met; final usability also requires the prespecified EV/context assessment.</w:t>
            </w:r>
          </w:p>
        </w:tc>
      </w:tr>
    </w:tbl>
    <w:p>
      <w:pPr>
        <w:spacing w:before="60" w:after="120"/>
      </w:pPr>
      <w:r>
        <w:rPr>
          <w:i/>
        </w:rPr>
        <w:t xml:space="preserve">Record-volume categories and pathway-content thresholds applied to each map's unique controlled-expansion memberships across the three contexts. EV/context relevance was assessed separately, and final analysis usability combined both judgments. Threshold satisfaction did not override repeated corroborated false-positive mechanisms, unresolved context defects, EV-pathway vocabulary collisions, or context-level safeguards. Disagreements were resolved jointly.</w:t>
      </w:r>
    </w:p>
    <w:p>
      <w:pPr/>
      <w:r>
        <w:rPr>
          <w:rFonts w:ascii="Times New Roman" w:hAnsi="Times New Roman" w:eastAsia="Times New Roman"/>
          <w:color w:val="000000"/>
          <w:sz w:val="22"/>
        </w:rPr>
        <w:t xml:space="preserve">The final pathway evidence ledger contained 170 record rows: 118 freshly rated and 52 carried forward under unchanged evidence and rubric. Ninety rows came from complete sparse censuses and 80 from high-volume ten-record samples. The verifier reviewed 143 rows; 27 prespecified clear passes remained primary-only. Final decision provenance was 104 independently corroborated, 39 jointly resolved after disagreement, and 27 primary-only not selected for verification. No final record remained uncertain. Of the 139 primary units, 116 were reviewed by both raters (83 agreed at first pass, 33 resolved by consensus) and 23 were prespecified clear passes reviewed by one rater; the corresponding secondary figures were 27 (21 and 6) and 4. Agreement and Cohen's κ were computed from the Rater A and Rater B columns of Pathway_Record_QA over the 116 double-rated primary units, with each judgment dichotomized (SUBSTANTIVE_PATHWAY versus the other pathway codes; EV_CONTEXT_RELEVANT versus the other relevance codes).</w:t>
      </w:r>
      <w:r>
        <w:rPr>
          <w:rFonts w:ascii="Times New Roman" w:hAnsi="Times New Roman" w:eastAsia="Times New Roman"/>
          <w:color w:val="000000"/>
          <w:sz w:val="22"/>
        </w:rPr>
        <w:t xml:space="preserve"> Pathway substantiveness agreed in 112 of the 116 units (Cohen's κ = 0.93) and EV/context relevance in 103 (κ = 0.78).</w:t>
      </w:r>
      <w:r>
        <w:rPr>
          <w:rFonts w:ascii="Times New Roman" w:hAnsi="Times New Roman" w:eastAsia="Times New Roman"/>
          <w:color w:val="000000"/>
          <w:sz w:val="22"/>
        </w:rPr>
        <w:t xml:space="preserve"> Single-rater invariance was assessed over all 139 primary units, with each prespecified clear pass (reviewed by one rater by design) counted as a pass under either rater; on that basis no primary map's pathway-content status changes under either rater alone.</w:t>
      </w:r>
    </w:p>
    <w:p>
      <w:pPr/>
      <w:r>
        <w:rPr>
          <w:rFonts w:ascii="Times New Roman" w:hAnsi="Times New Roman" w:eastAsia="Times New Roman"/>
          <w:color w:val="000000"/>
          <w:sz w:val="22"/>
        </w:rPr>
        <w:t xml:space="preserve">Units of the structural duplicate hsa04392 were rated separately from those of hsa04390. Nine records were sampled under both maps; eight received identical final judgments, and one (PMID 36299503; PQA-060 and PQA-071) was judged pathway-substantive under hsa04390 but isolated-component-only under hsa04392, failing EV/context relevance under both. Reconciling this pair in either direction would change the primary pathway-failure count by one (59 or 61 of 139 units) and no map status.</w:t>
      </w:r>
    </w:p>
    <w:p>
      <w:pPr/>
      <w:r>
        <w:rPr>
          <w:rFonts w:ascii="Times New Roman" w:hAnsi="Times New Roman" w:eastAsia="Times New Roman"/>
          <w:color w:val="000000"/>
          <w:sz w:val="22"/>
        </w:rPr>
        <w:t xml:space="preserve">Each record also carried a defect signal: NO_SIGNAL or a flag for a suspected query problem (POSSIBLE_CONTEXT_INTERACTION_DEFECT, POSSIBLE_PATHWAY_TERM_DEFECT, or POSSIBLE_EV_PATHWAY_COLLISION, an EV-pathway vocabulary collision in which EV or pathway vocabulary denotes something else, such as synthetic microparticles).</w:t>
      </w:r>
    </w:p>
    <w:p>
      <w:pPr/>
      <w:r>
        <w:rPr>
          <w:b w:val="0"/>
          <w:i w:val="0"/>
        </w:rPr>
        <w:t xml:space="preserve">EV/context relevance and pathway relevance were coded separately. </w:t>
      </w:r>
      <w:r>
        <w:rPr>
          <w:b w:val="0"/>
          <w:i w:val="0"/>
        </w:rPr>
        <w:t xml:space="preserve">The EV/context categories were</w:t>
      </w:r>
      <w:r>
        <w:rPr>
          <w:b w:val="0"/>
          <w:i w:val="0"/>
        </w:rPr>
        <w:t xml:space="preserve"> EV_CONTEXT_RELEVANT, EV_FAIL, CONTEXT_FAIL, and BOTH_FAIL. The pathway categories were SUBSTANTIVE_PATHWAY, PATHWAY_TERM_ONLY, ISOLATED_COMPONENT_ONLY, and NO_PATHWAY_COMPONENT. A substantive judgment required the named signaling pathway or process to be discussed in the record, not merely a keyword, background phrase, assay label, or isolated component. Local invasion or migration without dissemination did not satisfy the metastasis context.</w:t>
      </w:r>
      <w:r>
        <w:rPr>
          <w:b w:val="0"/>
          <w:i w:val="0"/>
        </w:rPr>
        <w:t xml:space="preserve"> Each unit also received one final reason code: ON_SCOPE if it met both criteria, otherwise the failure mechanism the raters recorded (for example PATHWAY_ONLY_MENTION, INVASION_OR_MIGRATION_ONLY, EV_ONLY_MENTION, or WRONG_DISEASE_OR_PROCESS), with a single code kept when both criteria failed. The reason code PATHWAY_ONLY_MENTION covers only part of the pathway judgment PATHWAY_TERM_ONLY (44 of 70 units). S10 maps the reason codes to candidate redesigns.</w:t>
      </w:r>
    </w:p>
    <w:p>
      <w:pPr/>
      <w:r>
        <w:rPr>
          <w:rFonts w:ascii="Times New Roman" w:hAnsi="Times New Roman"/>
          <w:sz w:val="22"/>
        </w:rPr>
        <w:t>The status ledger separated five dimensions:</w:t>
      </w:r>
    </w:p>
    <w:p>
      <w:pPr>
        <w:pStyle w:val="ListBullet"/>
        <w:spacing w:line="360" w:lineRule="auto"/>
        <w:ind w:left="504" w:hanging="259"/>
      </w:pPr>
      <w:r>
        <w:rPr>
          <w:rFonts w:ascii="Times New Roman" w:hAnsi="Times New Roman" w:eastAsia="Times New Roman"/>
          <w:color w:val="000000"/>
          <w:sz w:val="22"/>
        </w:rPr>
        <w:t>Technical integrity: TECHNICAL_PASS, TECHNICAL_DEFECT, or TECHNICAL_UNRESOLVED.</w:t>
      </w:r>
    </w:p>
    <w:p>
      <w:pPr>
        <w:pStyle w:val="ListBullet"/>
        <w:spacing w:line="360" w:lineRule="auto"/>
        <w:ind w:left="504" w:hanging="259"/>
      </w:pPr>
      <w:r>
        <w:rPr>
          <w:rFonts w:ascii="Times New Roman" w:hAnsi="Times New Roman"/>
          <w:sz w:val="22"/>
        </w:rPr>
        <w:t>Pathway-clause semantic adequacy: EMPIRICAL_PASS, EMPIRICAL_FAIL, EMPIRICAL_UNRESOLVED, or NOT_EMPIRICALLY_ASSESSABLE.</w:t>
      </w:r>
    </w:p>
    <w:p>
      <w:pPr>
        <w:pStyle w:val="ListBullet"/>
      </w:pPr>
      <w:r>
        <w:t xml:space="preserve">EV/context relevance: EV_CONTEXT_RELEVANT, EV_FAIL, CONTEXT_FAIL, or BOTH_FAIL at record level</w:t>
      </w:r>
      <w:r>
        <w:t xml:space="preserve">; for each map and context, Map_Context_Status reports the number of records carrying a defect signal (Qualifying signals) and a context safeguard status.</w:t>
      </w:r>
    </w:p>
    <w:p>
      <w:pPr>
        <w:pStyle w:val="ListBullet"/>
        <w:spacing w:line="360" w:lineRule="auto"/>
        <w:ind w:left="504" w:hanging="259"/>
      </w:pPr>
      <w:r>
        <w:rPr>
          <w:rFonts w:ascii="Times New Roman" w:hAnsi="Times New Roman" w:eastAsia="Times New Roman"/>
          <w:color w:val="000000"/>
          <w:sz w:val="22"/>
        </w:rPr>
        <w:t>Information volume: EMPTY, VERY_SPARSE, SPARSE, or QA_SAMPLE_AVAILABLE.</w:t>
      </w:r>
    </w:p>
    <w:p>
      <w:pPr>
        <w:pStyle w:val="ListBullet"/>
        <w:spacing w:line="360" w:lineRule="auto"/>
        <w:ind w:left="504" w:hanging="259"/>
      </w:pPr>
      <w:r>
        <w:rPr>
          <w:rFonts w:ascii="Times New Roman" w:hAnsi="Times New Roman"/>
          <w:sz w:val="22"/>
        </w:rPr>
        <w:t>Final analysis usability: USABLE, USABLE_WITH_SPARSE_LIMITS, NO_JOINTLY_RELEVANT_AUDIT_RECORD, USABLE_AS_EMPTY_RESULT_ONLY, NOT_USABLE, or STRUCTURAL_ACCOUNTING_ONLY.</w:t>
      </w:r>
    </w:p>
    <w:p>
      <w:pPr/>
      <w:r>
        <w:rPr>
          <w:b w:val="0"/>
          <w:i w:val="0"/>
        </w:rPr>
        <w:t xml:space="preserve">Across the primary universe, seven maps were authorized for definitive execution, 18 were QUERY_UNRESOLVED, and one was a structural duplicate. Notch, NF-kappa B, and mTOR yielded bounded source sets. Ras passed the frozen pathway-clause component audit but its sole record failed the neurodegeneration criterion, so its final </w:t>
      </w:r>
      <w:r>
        <w:rPr>
          <w:b w:val="0"/>
          <w:i w:val="0"/>
        </w:rPr>
        <w:t xml:space="preserve">status was a non-empty result</w:t>
      </w:r>
      <w:r>
        <w:rPr>
          <w:b w:val="0"/>
          <w:i w:val="0"/>
        </w:rPr>
        <w:t xml:space="preserve"> with no jointly relevant audit record. Phosphatidylinositol, phospholipase D, and cGMP-PKG were authorized only as technically verified empty results. QUERY_PASS is an execution label and does not by itself assign final usability. Complete decisions, safeguards, and statuses are supplied in Additional file 2.</w:t>
      </w:r>
    </w:p>
    <w:p>
      <w:pPr>
        <w:pStyle w:val="Heading1"/>
      </w:pPr>
      <w:r>
        <w:rPr>
          <w:rFonts w:ascii="Times New Roman" w:hAnsi="Times New Roman" w:eastAsia="Times New Roman"/>
          <w:b/>
          <w:color w:val="000000"/>
          <w:sz w:val="26"/>
        </w:rPr>
        <w:t>S5. Definitive retrieval and metadata handling</w:t>
      </w:r>
    </w:p>
    <w:p>
      <w:pPr/>
      <w:r>
        <w:rPr>
          <w:b w:val="0"/>
          <w:i w:val="0"/>
        </w:rPr>
        <w:t xml:space="preserve">The definitive registry retained the three context denominators and all 156 primary map-context-specification rows. Exactly 45 queries were executed: three denominators and 42 queries representing both specifications in three contexts for seven primary maps. Three maps yielded bounded source sets, Ras yielded a non-empty but audit-negative result, and three had technically verified empty results. For all 42 executed </w:t>
      </w:r>
      <w:r>
        <w:rPr>
          <w:b w:val="0"/>
          <w:i w:val="0"/>
        </w:rPr>
        <w:t xml:space="preserve">named-pathway</w:t>
      </w:r>
      <w:r>
        <w:rPr>
          <w:b w:val="0"/>
          <w:i w:val="0"/>
        </w:rPr>
        <w:t xml:space="preserve"> queries, diagnostic and definitive memberships were identical, including response order. The 18 unresolved maps and </w:t>
      </w:r>
      <w:r>
        <w:rPr>
          <w:b w:val="0"/>
          <w:i w:val="0"/>
        </w:rPr>
        <w:t xml:space="preserve">the </w:t>
      </w:r>
      <w:r>
        <w:rPr>
          <w:b w:val="0"/>
          <w:i w:val="0"/>
        </w:rPr>
        <w:t xml:space="preserve">structural duplicate remained visible but were not executed. The secondary layer was not authorized because its block-level activation rule failed; its unexecuted definitions remained for accounting.</w:t>
      </w:r>
    </w:p>
    <w:p>
      <w:pPr/>
      <w:r>
        <w:rPr>
          <w:rFonts w:ascii="Times New Roman" w:hAnsi="Times New Roman" w:eastAsia="Times New Roman"/>
          <w:color w:val="000000"/>
          <w:sz w:val="22"/>
        </w:rPr>
        <w:t xml:space="preserve">The completed transaction ran from 2026-08-28T19:11:54Z to 2026-08-28T19:15:58Z. All 45 ESearch requests and 109 EFetch batches completed on their first attempt. ESearch used retmax 9,999 and stable publication-date sorting. Every returned count </w:t>
      </w:r>
      <w:r>
        <w:rPr>
          <w:rFonts w:ascii="Times New Roman" w:hAnsi="Times New Roman" w:eastAsia="Times New Roman"/>
          <w:color w:val="000000"/>
          <w:sz w:val="22"/>
        </w:rPr>
        <w:t xml:space="preserve">equaled</w:t>
      </w:r>
      <w:r>
        <w:rPr>
          <w:rFonts w:ascii="Times New Roman" w:hAnsi="Times New Roman" w:eastAsia="Times New Roman"/>
          <w:color w:val="000000"/>
          <w:sz w:val="22"/>
        </w:rPr>
        <w:t xml:space="preserve"> its complete response-order PMID list. EFetch retrieved metadata once for the union of PMIDs in deterministic batches of at most 50, and every requested PMID was returned exactly once.</w:t>
      </w:r>
    </w:p>
    <w:p>
      <w:pPr/>
      <w:r>
        <w:rPr>
          <w:rFonts w:ascii="Times New Roman" w:hAnsi="Times New Roman" w:eastAsia="Times New Roman"/>
          <w:color w:val="000000"/>
          <w:sz w:val="22"/>
        </w:rPr>
        <w:t xml:space="preserve">Two pre-runs stopped on unexpected responses, as designed, and led to limited parser amendments.</w:t>
      </w:r>
      <w:r>
        <w:rPr>
          <w:rFonts w:ascii="Times New Roman" w:hAnsi="Times New Roman" w:eastAsia="Times New Roman"/>
          <w:color w:val="000000"/>
          <w:sz w:val="22"/>
        </w:rPr>
        <w:t xml:space="preserve"> The first stopped when NCBI represented a valid zero-result query using the exact notice "No items found." The final parser accepted this notice only when Count = 0, the PMID list was empty, and no error existed. The second stopped on a documented PubmedBookArticle record. The final parser retained both PubmedArticle and PubmedBookArticle records. The final parser also contained an ArticleDate year fallback for ordinary articles, but no PubmedArticle in the 5,437-record article census invoked that fallback. Query strings, execution decisions, date filters, and analysis rules were unchanged across these parser-only amendments.</w:t>
      </w:r>
    </w:p>
    <w:p>
      <w:pPr/>
      <w:r>
        <w:t xml:space="preserve">The released </w:t>
      </w:r>
      <w:r>
        <w:t xml:space="preserve">membership table (Additional file 3, Query_PMID_Membership)</w:t>
      </w:r>
      <w:r>
        <w:t xml:space="preserve"> contains 5,537 query-PMID rows and 5,439 unique PMIDs: 5,437 PubmedArticle records and two PubmedBookArticle records. All definitive numerical calculations derive from this </w:t>
      </w:r>
      <w:r>
        <w:t xml:space="preserve">table</w:t>
      </w:r>
      <w:r>
        <w:t xml:space="preserve"> and the corresponding metadata table; the exploratory analyses in S10 also use the frozen Additional file 2 ledgers and the archived diagnostic counts. Categorical query-status displays derive from the separately frozen quality-assurance ledger. </w:t>
      </w:r>
      <w:r>
        <w:t xml:space="preserve">Memberships from earlier exploratory runs, diagnostic memberships, and stopped pre-run outputs do not contribute to any numerical count in the definitive analysis.</w:t>
      </w:r>
    </w:p>
    <w:p>
      <w:pPr>
        <w:pStyle w:val="Heading1"/>
      </w:pPr>
      <w:r>
        <w:rPr>
          <w:rFonts w:ascii="Times New Roman" w:hAnsi="Times New Roman" w:eastAsia="Times New Roman"/>
          <w:b/>
          <w:color w:val="000000"/>
          <w:sz w:val="26"/>
        </w:rPr>
        <w:t>S6. Publication-integrity sensitivity</w:t>
      </w:r>
    </w:p>
    <w:p>
      <w:pPr/>
      <w:r>
        <w:rPr>
          <w:rFonts w:ascii="Times New Roman" w:hAnsi="Times New Roman" w:eastAsia="Times New Roman"/>
          <w:color w:val="000000"/>
          <w:sz w:val="22"/>
        </w:rPr>
        <w:t>Raw memberships were retained as the primary measure. The integrity sensitivity excluded records indexed at retrieval time as retracted publications, retraction notices, notice-only errata or corrections, or expression-of-concern notices. An original article linked to an erratum, correction, or expression of concern remained eligible unless it was itself retracted.</w:t>
      </w:r>
    </w:p>
    <w:p>
      <w:pPr/>
      <w:r>
        <w:rPr>
          <w:rFonts w:ascii="Times New Roman" w:hAnsi="Times New Roman" w:eastAsia="Times New Roman"/>
          <w:color w:val="000000"/>
          <w:sz w:val="22"/>
        </w:rPr>
        <w:t xml:space="preserve">Operational classification used publication types, correction-link directions, and </w:t>
      </w:r>
      <w:r>
        <w:rPr>
          <w:rFonts w:ascii="Times New Roman" w:hAnsi="Times New Roman" w:eastAsia="Times New Roman"/>
          <w:color w:val="000000"/>
          <w:sz w:val="22"/>
        </w:rPr>
        <w:t xml:space="preserve">a fixed list of notice-title prefixes</w:t>
      </w:r>
      <w:r>
        <w:rPr>
          <w:rFonts w:ascii="Times New Roman" w:hAnsi="Times New Roman" w:eastAsia="Times New Roman"/>
          <w:color w:val="000000"/>
          <w:sz w:val="22"/>
        </w:rPr>
        <w:t xml:space="preserve">. Seventy-one unique PMIDs were excluded in the sensitivity: 29 retracted publications, 33 erratum-typed notice records, and nine retraction notices. </w:t>
      </w:r>
      <w:r>
        <w:rPr>
          <w:rFonts w:ascii="Times New Roman" w:hAnsi="Times New Roman" w:eastAsia="Times New Roman"/>
          <w:color w:val="000000"/>
          <w:sz w:val="22"/>
        </w:rPr>
        <w:t xml:space="preserve">Of the nine retraction notices, seven</w:t>
      </w:r>
      <w:r>
        <w:rPr>
          <w:rFonts w:ascii="Times New Roman" w:hAnsi="Times New Roman" w:eastAsia="Times New Roman"/>
          <w:color w:val="000000"/>
          <w:sz w:val="22"/>
        </w:rPr>
        <w:t xml:space="preserve"> were captured by the title rule and two by RetractionOf links. Raw query memberships were never altered. Additional file 3 supplies the metadata fields and operational integrity rules.</w:t>
      </w:r>
    </w:p>
    <w:p>
      <w:pPr/>
      <w:r>
        <w:rPr>
          <w:rFonts w:ascii="Times New Roman" w:hAnsi="Times New Roman" w:eastAsia="Times New Roman"/>
          <w:color w:val="000000"/>
          <w:sz w:val="22"/>
        </w:rPr>
        <w:t>Integrity status is time-dependent. It records PubMed indexing at the definitive retrieval time and does not anticipate later corrections or retractions.</w:t>
      </w:r>
    </w:p>
    <w:p>
      <w:pPr>
        <w:pStyle w:val="Heading1"/>
      </w:pPr>
      <w:r>
        <w:rPr>
          <w:rFonts w:ascii="Times New Roman" w:hAnsi="Times New Roman" w:eastAsia="Times New Roman"/>
          <w:b/>
          <w:color w:val="000000"/>
          <w:sz w:val="26"/>
        </w:rPr>
        <w:t>S7. Numerical definitions and interpretation</w:t>
      </w:r>
    </w:p>
    <w:p>
      <w:pPr/>
      <w:r>
        <w:rPr>
          <w:b w:val="0"/>
          <w:i w:val="0"/>
        </w:rPr>
        <w:t>The study used the quantities in Supplementary Table S2. Raw counts and raw shares were primary; smoothing, log ratios, and record fragility were descriptive sensitivities.</w:t>
      </w:r>
    </w:p>
    <w:p>
      <w:pPr>
        <w:keepNext/>
        <w:spacing w:before="160" w:after="80"/>
      </w:pPr>
      <w:r>
        <w:rPr>
          <w:b/>
          <w:i w:val="0"/>
        </w:rPr>
        <w:t>Supplementary Table S2. Analytical quantities and their roles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val="true"/>
        </w:trPr>
        <w:tc>
          <w:tcPr>
            <w:tcW w:type="dxa" w:w="2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i w:val="0"/>
                <w:sz w:val="16"/>
              </w:rPr>
              <w:t>Quantity</w:t>
            </w:r>
          </w:p>
        </w:tc>
        <w:tc>
          <w:tcPr>
            <w:tcW w:type="dxa" w:w="3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i w:val="0"/>
                <w:sz w:val="16"/>
              </w:rPr>
              <w:t>Definition</w:t>
            </w:r>
          </w:p>
        </w:tc>
        <w:tc>
          <w:tcPr>
            <w:tcW w:type="dxa" w:w="412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i w:val="0"/>
                <w:sz w:val="16"/>
              </w:rPr>
              <w:t>Role</w:t>
            </w:r>
          </w:p>
        </w:tc>
      </w:tr>
      <w:tr>
        <w:trPr>
          <w:cantSplit w:val="true"/>
        </w:trPr>
        <w:tc>
          <w:tcPr>
            <w:tcW w:type="dxa" w:w="2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Raw share</w:t>
            </w:r>
          </w:p>
        </w:tc>
        <w:tc>
          <w:tcPr>
            <w:tcW w:type="dxa" w:w="3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n_pc / N_c</w:t>
            </w:r>
          </w:p>
        </w:tc>
        <w:tc>
          <w:tcPr>
            <w:tcW w:type="dxa" w:w="412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Primary comparison</w:t>
            </w:r>
          </w:p>
        </w:tc>
      </w:tr>
      <w:tr>
        <w:trPr>
          <w:cantSplit w:val="true"/>
        </w:trPr>
        <w:tc>
          <w:tcPr>
            <w:tcW w:type="dxa" w:w="2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Rate per 10,000</w:t>
            </w:r>
          </w:p>
        </w:tc>
        <w:tc>
          <w:tcPr>
            <w:tcW w:type="dxa" w:w="3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 xml:space="preserve">10,000 × n_pc / N_c</w:t>
            </w:r>
          </w:p>
        </w:tc>
        <w:tc>
          <w:tcPr>
            <w:tcW w:type="dxa" w:w="412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Display of the raw share</w:t>
            </w:r>
          </w:p>
        </w:tc>
      </w:tr>
      <w:tr>
        <w:trPr>
          <w:cantSplit w:val="true"/>
        </w:trPr>
        <w:tc>
          <w:tcPr>
            <w:tcW w:type="dxa" w:w="2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Jeffreys-smoothed share</w:t>
            </w:r>
          </w:p>
        </w:tc>
        <w:tc>
          <w:tcPr>
            <w:tcW w:type="dxa" w:w="3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(n_pc + 0.5) / (N_c + 1)</w:t>
            </w:r>
          </w:p>
        </w:tc>
        <w:tc>
          <w:tcPr>
            <w:tcW w:type="dxa" w:w="412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Descriptive sensitivity; avoids undefined ratios</w:t>
            </w:r>
          </w:p>
        </w:tc>
      </w:tr>
      <w:tr>
        <w:trPr>
          <w:cantSplit w:val="true"/>
        </w:trPr>
        <w:tc>
          <w:tcPr>
            <w:tcW w:type="dxa" w:w="2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Pairwise log2 ratio</w:t>
            </w:r>
          </w:p>
        </w:tc>
        <w:tc>
          <w:tcPr>
            <w:tcW w:type="dxa" w:w="3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log2(s_p,a) - log2(s_p,b)</w:t>
            </w:r>
          </w:p>
        </w:tc>
        <w:tc>
          <w:tcPr>
            <w:tcW w:type="dxa" w:w="412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Directional comparison across wording and integrity specifications</w:t>
            </w:r>
          </w:p>
        </w:tc>
      </w:tr>
      <w:tr>
        <w:trPr>
          <w:cantSplit w:val="true"/>
        </w:trPr>
        <w:tc>
          <w:tcPr>
            <w:tcW w:type="dxa" w:w="2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Raw-share record fragility</w:t>
            </w:r>
          </w:p>
        </w:tc>
        <w:tc>
          <w:tcPr>
            <w:tcW w:type="dxa" w:w="300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Minimum one-cell numerator change at fixed denominators needed to tie or reverse the ordering</w:t>
            </w:r>
          </w:p>
        </w:tc>
        <w:tc>
          <w:tcPr>
            <w:tcW w:type="dxa" w:w="4120"/>
            <w:vAlign w:val="center"/>
            <w:tcMar>
              <w:top w:w="70" w:type="dxa"/>
              <w:start w:w="90" w:type="dxa"/>
              <w:bottom w:w="70" w:type="dxa"/>
              <w:end w:w="90" w:type="dxa"/>
            </w:tcMar>
          </w:tcPr>
          <w:p>
            <w:pPr>
              <w:spacing w:before="0" w:after="0" w:line="240" w:lineRule="auto"/>
              <w:jc w:val="left"/>
            </w:pPr>
            <w:r>
              <w:rPr>
                <w:rFonts w:ascii="Times New Roman" w:hAnsi="Times New Roman" w:eastAsia="Times New Roman"/>
                <w:b w:val="0"/>
                <w:i w:val="0"/>
                <w:sz w:val="16"/>
              </w:rPr>
              <w:t>Stability sensitivity</w:t>
            </w:r>
          </w:p>
        </w:tc>
      </w:tr>
    </w:tbl>
    <w:p>
      <w:pPr>
        <w:spacing w:before="60" w:after="120"/>
      </w:pPr>
      <w:r>
        <w:rPr>
          <w:b w:val="0"/>
          <w:i/>
          <w:sz w:val="17"/>
        </w:rPr>
        <w:t xml:space="preserve">Here n_pc is the count for pathway p in context c, N_c is the denominator of context c, and s_p,a and s_p,b are the Jeffreys-smoothed shares of pathway p in the two compared contexts a and b.</w:t>
      </w:r>
      <w:r>
        <w:rPr>
          <w:b w:val="0"/>
          <w:i/>
          <w:sz w:val="17"/>
        </w:rPr>
        <w:t xml:space="preserve"> Direction, log ratio, and fragility were not applicable when both observed counts were zero. Values were not pooled into a rank.</w:t>
      </w:r>
    </w:p>
    <w:p>
      <w:pPr/>
      <w:r>
        <w:rPr>
          <w:rFonts w:ascii="Times New Roman" w:hAnsi="Times New Roman" w:eastAsia="Times New Roman"/>
          <w:color w:val="000000"/>
          <w:sz w:val="22"/>
        </w:rPr>
        <w:t xml:space="preserve">Annual context counts were grouped by publication year from the frozen metadata. The query endpoint was 31 July 2026 under PubMed [dp]. PubMed can match an electronic publication date while the journal citation carries a later print-issue month; 58 admitted records had </w:t>
      </w:r>
      <w:r>
        <w:rPr>
          <w:rFonts w:ascii="Times New Roman" w:hAnsi="Times New Roman" w:eastAsia="Times New Roman"/>
          <w:color w:val="000000"/>
          <w:sz w:val="22"/>
        </w:rPr>
        <w:t xml:space="preserve">August–December</w:t>
      </w:r>
      <w:r>
        <w:rPr>
          <w:rFonts w:ascii="Times New Roman" w:hAnsi="Times New Roman" w:eastAsia="Times New Roman"/>
          <w:color w:val="000000"/>
          <w:sz w:val="22"/>
        </w:rPr>
        <w:t xml:space="preserve"> 2026 issue months. For this reason, Figure 3 shows 2026 only as a partial [dp] endpoint and does not support month-level or full-year interpretation.</w:t>
      </w:r>
    </w:p>
    <w:p>
      <w:pPr>
        <w:pStyle w:val="Heading1"/>
      </w:pPr>
      <w:r>
        <w:rPr/>
        <w:t>S8. Pathway-name wording sensitivity</w:t>
      </w:r>
    </w:p>
    <w:p>
      <w:pPr/>
      <w:r>
        <w:rPr>
          <w:b w:val="0"/>
          <w:i w:val="0"/>
        </w:rPr>
        <w:t xml:space="preserve">For the four executed primary maps that passed the pathway-clause audit, Figure S1 compares exact query-returned counts under controlled-expansion and official-exact wording.</w:t>
      </w:r>
      <w:r>
        <w:rPr>
          <w:b w:val="0"/>
          <w:i w:val="0"/>
        </w:rPr>
        <w:t xml:space="preserve"> Ras is retained here as a wording diagnostic, although its only returned record failed the prespecified context criterion and it did not yield a bounded source set. NF-kappa B returned no official-exact records in any context. </w:t>
      </w:r>
      <w:r>
        <w:rPr>
          <w:b w:val="0"/>
          <w:i w:val="0"/>
        </w:rPr>
        <w:t xml:space="preserve">Official-exact counts in cardiac repair, neurodegeneration, and tumor metastasis were 1, 0, and 2 for Notch and 1, 7, and 3 for mTOR.</w:t>
      </w:r>
      <w:r>
        <w:rPr>
          <w:b w:val="0"/>
          <w:i w:val="0"/>
        </w:rPr>
        <w:t xml:space="preserve"> </w:t>
      </w:r>
      <w:r>
        <w:rPr>
          <w:b w:val="0"/>
          <w:i w:val="0"/>
        </w:rPr>
        <w:t xml:space="preserve">Because the paired queries differ only in the pathway-name term, the differences between the two wordings measure sensitivity to the pathway name.</w:t>
      </w:r>
    </w:p>
    <w:p>
      <w:pPr>
        <w:keepNext/>
        <w:spacing w:before="160" w:after="120"/>
        <w:jc w:val="center"/>
      </w:pPr>
      <w:r>
        <w:drawing>
          <wp:inline xmlns:a="http://schemas.openxmlformats.org/drawingml/2006/main" xmlns:pic="http://schemas.openxmlformats.org/drawingml/2006/picture">
            <wp:extent cx="5303520" cy="2812873"/>
            <wp:docPr id="1" name="Picture 1" title="Figure S1" descr="Count matrices comparing controlled-expansion and official-exact queries for three bounded-source-set maps and Ras as a wording diagnostic across three extracellular-vesicle contexts."/>
            <wp:cNvGraphicFramePr>
              <a:graphicFrameLocks noChangeAspect="1"/>
            </wp:cNvGraphicFramePr>
            <a:graphic>
              <a:graphicData uri="http://schemas.openxmlformats.org/drawingml/2006/picture">
                <pic:pic>
                  <pic:nvPicPr>
                    <pic:cNvPr id="0" name="Figure_S1.png"/>
                    <pic:cNvPicPr/>
                  </pic:nvPicPr>
                  <pic:blipFill>
                    <a:blip r:embed="rId10"/>
                    <a:stretch>
                      <a:fillRect/>
                    </a:stretch>
                  </pic:blipFill>
                  <pic:spPr>
                    <a:xfrm>
                      <a:off x="0" y="0"/>
                      <a:ext cx="5303520" cy="2812873"/>
                    </a:xfrm>
                    <a:prstGeom prst="rect"/>
                  </pic:spPr>
                </pic:pic>
              </a:graphicData>
            </a:graphic>
          </wp:inline>
        </w:drawing>
      </w:r>
    </w:p>
    <w:p>
      <w:pPr/>
      <w:r>
        <w:rPr>
          <w:b w:val="0"/>
          <w:i w:val="0"/>
        </w:rPr>
        <w:t xml:space="preserve">Figure S1. Sensitivity of query-returned counts to pathway-name wording. Exact pathway-query PMID counts are shown for the four executed primary maps </w:t>
      </w:r>
      <w:r>
        <w:rPr>
          <w:b w:val="0"/>
          <w:i w:val="0"/>
        </w:rPr>
        <w:t xml:space="preserve">that passed the pathway-clause audit, in three EV contexts, in panel A under controlled expansion and in panel B under the official KEGG name.</w:t>
      </w:r>
      <w:r>
        <w:rPr>
          <w:b w:val="0"/>
          <w:i w:val="0"/>
        </w:rPr>
        <w:t xml:space="preserve"> Ras is a wording diagnostic only: its one controlled-expansion record failed the context criterion. Counts use the PubMed Publication Date [dp] window of 1 January 2015 to 31 July 2026. </w:t>
      </w:r>
      <w:r>
        <w:rPr>
          <w:b w:val="0"/>
          <w:i w:val="0"/>
        </w:rPr>
        <w:t xml:space="preserve">An official-name zero means only that the exact phrase retrieved no records.</w:t>
      </w:r>
    </w:p>
    <w:p>
      <w:pPr>
        <w:pStyle w:val="Heading1"/>
      </w:pPr>
      <w:r>
        <w:rPr>
          <w:rFonts w:ascii="Times New Roman" w:hAnsi="Times New Roman" w:eastAsia="Times New Roman"/>
          <w:b/>
          <w:color w:val="000000"/>
          <w:sz w:val="26"/>
        </w:rPr>
        <w:t>S9. Guide to released data files</w:t>
      </w:r>
    </w:p>
    <w:p>
      <w:pPr/>
      <w:r>
        <w:t>Terminology: Programme in Additional files 2 and 3 denotes a KEGG pathway or map.</w:t>
      </w:r>
    </w:p>
    <w:p>
      <w:pPr/>
      <w:r>
        <w:t xml:space="preserve">Workbook labels. Additional files 2, 3, and 5 are archived unchanged in the Zenodo record and use operational labels. 'Screening retrieval' and 'query-QA screening' denote the 234-query diagnostic retrieval, not review screening. In the Analysis usability column, USABLE denotes a bounded source set; NO_JOINTLY_RELEVANT_AUDIT_RECORD (with the related codes PRIMARY_NONEMPTY_NO_JOINTLY_RELEVANT_AUDIT_RECORD and PATHWAY_CLAUSE_RETRIEVABLE_NO_JOINTLY_RELEVANT_AUDIT_RECORD, and the figure label NO JOINT MATCH) denotes a non-empty result with no jointly relevant audit record; USABLE_AS_EMPTY_RESULT_ONLY denotes a technically verified empty result; NOT_USABLE, with final query status QUERY_UNRESOLVED, denotes retrieval redesign; and STRUCTURAL_ACCOUNTING_ONLY, with final query status STRUCTURAL_DUPLICATE, denotes the structural duplicate hsa04392. </w:t>
      </w:r>
      <w:r>
        <w:t xml:space="preserve">USABLE_WITH_SPARSE_LIMITS is used only for cholinergic synapse and is explained under Secondary layer in S10.</w:t>
      </w:r>
      <w:r>
        <w:t xml:space="preserve"> QUERY_PASS marks the 11 maps that qualified for execution under the audit rules (bounded, non-empty without a jointly relevant record, or technically verified empty); the four secondary QUERY_PASS maps carry the disposition SECONDARY_COMPLETE_BLOCK_NOT_ANALYZED and were not executed in the definitive retrieval because of the complete-block rule. Final reason codes map to the mechanisms of manuscript Table 3 </w:t>
      </w:r>
      <w:r>
        <w:t xml:space="preserve">through the actions listed under</w:t>
      </w:r>
      <w:r>
        <w:t xml:space="preserve"> Failure-mechanism profiles in S10. In rater rationales, 'a comparator record' stands for a de-identified comparator unit, and 'P5A-025' is a pre-release cross-reference to the same PubMed record rated under another map (Additional file 5, README). Publication years in the manuscript follow Additional file 3; the date shown in Additional file 2 can differ. The all-versions (concept) DOI 10.5281/zenodo.21714797 resolves to the latest version; version 2.1.0 is 10.5281/zenodo.22847006.</w:t>
      </w:r>
    </w:p>
    <w:p>
      <w:pPr>
        <w:spacing w:line="276" w:lineRule="auto" w:after="40"/>
      </w:pPr>
      <w:r>
        <w:t>Additional file 2 (.xlsx), Analysis and query quality assurance, contains de-identified decisions, zero-result reviews, the complete 243-record diagnostic sample frame with deterministic hashes and selection ranks, 39-map status and safeguard ledgers, denominators, results, sensitivities, annual counts, and a data dictionary. Diagnostic evidence was used only for status classification in the definitive analysis and for the exploratory analyses in S10.</w:t>
      </w:r>
    </w:p>
    <w:p>
      <w:pPr>
        <w:spacing w:line="276" w:lineRule="auto" w:after="40"/>
      </w:pPr>
      <w:r>
        <w:t>Additional file 3 (.xlsx), PubMed queries and records, contains 237 query definitions, 45 definitive results, 5,537 query-PMID memberships, metadata for 5,439 unique PMIDs, publication-integrity rules, provenance, and a data dictionary. Queries marked Executed = NO remain for universe accounting; diagnostic memberships were not used numerically in the definitive analysis (S10 describes the exploratory exception).</w:t>
      </w:r>
    </w:p>
    <w:p>
      <w:pPr>
        <w:spacing w:line="276" w:lineRule="auto" w:after="40"/>
      </w:pPr>
      <w:r>
        <w:t>Additional file 4 (.docx), Reproducibility code access, gives the Zenodo DOI (https://doi.org/10.5281/zenodo.22847006; version 2.1.0) for the offline Python code that reconstructs the released tables and Figures 2, 3, and S1 and for the comparative-analysis code that generates Additional file 5 and Figures 4 to 6. The reconstruction code does not call PubMed; the comparative-analysis code replays archived PubMed and MeSH metadata offline; neither reproduces human judgments.</w:t>
      </w:r>
    </w:p>
    <w:p>
      <w:pPr/>
      <w:r>
        <w:t>Additional file 5 (.xlsx), Unaudited counterfactual, MeSH analyses, annotation echo, and failure-mechanism profiles, contains the unaudited ranking (sheet Naive_Ranking) and yield projection, MeSH descriptor coverage and the MeSH Signal Transduction subtree, MeSH indexing status by year, MedlineCitation status and MeSH headings for every definitive-retrieval record (sheet MeSH_By_PMID), MeSH-headed retrieval results, MeSH heading presence for every rated unit, rationale mentions and enrichment-language flags for every rated unit, per-map and corpus flag shares, all bounded-source-set records with audit status, per-map failure profiles with candidate redesigns, and a variable dictionary. The code that generates it, with the archived intermediate files of the reported run, is deposited in the Zenodo record (version 2.1.0). Procedures are described in S10.</w:t>
      </w:r>
    </w:p>
    <w:p>
      <w:pPr>
        <w:pStyle w:val="Heading1"/>
      </w:pPr>
      <w:r>
        <w:t>S10. Comparative analyses: unaudited ranking, MeSH availability and agreement, annotation echo, secondary layer, and failure profiles</w:t>
      </w:r>
    </w:p>
    <w:p>
      <w:pPr/>
      <w:r>
        <w:t>All analyses in this section were specified after the audit results were known and are exploratory. None involved new relevance ratings; every judgment is copied unchanged from Pathway_Record_QA in Additional file 2.</w:t>
      </w:r>
    </w:p>
    <w:p>
      <w:pPr/>
      <w:r>
        <w:t xml:space="preserve">Unaudited normalized ranking. For each of the 26 primary maps and each context, the diagnostic controlled-expansion count n was taken from Additional file 2, Map_Context_Status; these counts were retrieved on 28 August 2026 and are identical to the definitive counts for all 21 executed map-context combinations (seven maps in three contexts). With N the matched EV-context denominator </w:t>
      </w:r>
      <w:r>
        <w:t xml:space="preserve">(650 for cardiac repair, 3,072 for neurodegeneration, and 1,728 for tumor metastasis)</w:t>
      </w:r>
      <w:r>
        <w:t xml:space="preserve">, the Jeffreys-smoothed share was q = (n + 0.5)/(N + 1) and the per-map gap G = max q / min q across contexts. Maps were ranked by G and by total diagnostic memberships. For each map with rated QA units, sampled pathway precision was the share of units judged SUBSTANTIVE_PATHWAY and sampled joint precision the share judged both SUBSTANTIVE_PATHWAY and EV_CONTEXT_RELEVANT. </w:t>
      </w:r>
      <w:r>
        <w:t xml:space="preserve">Projected yields multiplied memberships by these shares. Because the shares come from complete censuses of sparse maps and ten-record samples of high-volume maps, and the same ratings determined each map's status, the projections restate the audit's own ratings.</w:t>
      </w:r>
    </w:p>
    <w:p>
      <w:pPr/>
      <w:r>
        <w:t>MeSH descriptor coverage. Topical descriptors in the MeSH Signal Transduction subtree were enumerated from the NLM MeSH SPARQL endpoint (https://id.nlm.nih.gov/mesh/sparql) with a query selecting descriptors whose tree number begins with G02.111.820. Hand-curated candidate descriptors for each map (pathway-level and component, that is, protein or substance headings for named pathway members) were verified with NCBI E-utilities esearch and esummary against db=mesh, accepting only exact descriptor-name matches; UIs, tree numbers, and year of introduction were recorded verbatim. The curated component list is not exhaustive.</w:t>
      </w:r>
    </w:p>
    <w:p>
      <w:pPr/>
      <w:r>
        <w:t xml:space="preserve">MeSH indexing status and headings. NCBI EFetch (db=pubmed, XML) retrieved, on 18 September 2026 between 03:24 and </w:t>
      </w:r>
      <w:r>
        <w:t xml:space="preserve">03:27</w:t>
      </w:r>
      <w:r>
        <w:t xml:space="preserve"> UTC, the MedlineCitation Status attribute, all MeSH descriptor and qualifier headings with major-topic flags, publication types, and author keywords for the 5,439 definitive-retrieval PMIDs and every PMID in the diagnostic sample frame and QA ledger (Additional file 5, MeSH_By_PMID). Records with Status MEDLINE carried curated headings, with one exception in this corpus; In-Process, PubMed-not-MEDLINE, and Publisher records carried none. PubMed-not-MEDLINE status covers journals not indexed in MEDLINE as well as out-of-scope or pre-coverage articles in MEDLINE journals; the reason was not determined per record.</w:t>
      </w:r>
    </w:p>
    <w:p>
      <w:pPr/>
      <w:r>
        <w:t xml:space="preserve">Agreement with the human audit. For each of the 170 rated QA units the record's headings were tested for the map's pathway-level descriptor, any curated component descriptor, </w:t>
      </w:r>
      <w:r>
        <w:t xml:space="preserve">either of these as a major topic</w:t>
      </w:r>
      <w:r>
        <w:t xml:space="preserve"> (descriptor or any subheading starred, as in PubMed's [Majr] field), the generic descriptor Signal Transduction, and the descriptors Extracellular Vesicles or Exosomes. Against the final pathway judgment (SUBSTANTIVE_PATHWAY versus other codes) and final record relevance (EV_CONTEXT_RELEVANT or CONTEXT_FAIL versus EV_FAIL or BOTH_FAIL for the EV test), sensitivity, specificity, and positive predictive value were computed as exact fractions on the indexed units; units without headings were counted separately. No sampling intervals are reported because the units are a deterministic sample plus censuses and one PMID can contribute more than one unit.</w:t>
      </w:r>
    </w:p>
    <w:p>
      <w:pPr/>
      <w:r>
        <w:t>MeSH-headed retrieval. For the four maps with a pathway-level descriptor, ESearch (db=pubmed, retmax 9,999, sort by publication date) executed, on 18 September 2026, the query EV clause AND context clause AND "&lt;descriptor&gt;"[Mesh] AND date clause, the non-exploded variant [Mesh:NoExp], the union of the frozen pathway clause with the descriptor, and the frozen controlled-expansion query itself. Overlap was computed on the returned PMID lists. These retrievals were not rated.</w:t>
      </w:r>
    </w:p>
    <w:p>
      <w:pPr/>
      <w:r>
        <w:t xml:space="preserve">Annotation echo. (1) Rationale mentions: for every unit with final reason code PATHWAY_ONLY_MENTION, the recorded rationale was tested against a fixed keyword rule (case-insensitive substrings: enrich, KEGG, GO analysis, gene ontology, pathway analysis, network pharmacology, predicted target, predicted-target, target pathway, target-gene, bioinformatic, differentially expressed, annotation, top terms, pathway list, mirPath, KEGG list; whole words: DEG or DEGs, IPA). The rule matched 32 of the 44 rationales; on reading, the match in PQA-111 is the phrase 'named KEGG map' rather than an annotation source, and the unmatched rationales of PQA-026, PQA-030, PQA-114, PQA-129, and PQA-157 describe annotation-derived mentions in other words. (2) Enrichment-language flag: title, abstract, and author keywords were retrieved with EFetch on 18 September 2026 for every definitive-retrieval, diagnostic-frame, and rated PMID and tested in memory against the fixed regular expression given in annotation_echo.py in the deposited comparative-analysis code (Zenodo, version 2.1.0), using the full element text including text inside inline formatting tags; the text was not stored, and for the two book records only the title was available to the flag. An independent re-fetch on the same day reproduced all 5,439 stored flags; </w:t>
      </w:r>
      <w:r>
        <w:t xml:space="preserve">a later retrieval would recompute the flags from the current PubMed text.</w:t>
      </w:r>
      <w:r>
        <w:t xml:space="preserve"> A sensitivity variant removed the enrichment/enriched alternative. </w:t>
      </w:r>
      <w:r>
        <w:t xml:space="preserve">(3) The flag was cross-tabulated with (i) the final judgments of the 170 rated units; (ii) for the 208 primary diagnostic memberships, the judgments of the units rated under the same map; (iii) MeSH heading presence among indexed units; and (iv) for prevalence, the three context denominators and the full definitive retrieval.</w:t>
      </w:r>
      <w:r>
        <w:t xml:space="preserve"> (4) Bounded-set records: every controlled-expansion membership of the Notch, NF-kappa B, and mTOR maps in the definitive retrieval was listed with metadata, first author, and, where the (map, PMID) pair had been rated, the final judgments and rationale. The flag is a post hoc triage stratum built with knowledge of the ledger, not a validated exclusion filter.</w:t>
      </w:r>
    </w:p>
    <w:p>
      <w:pPr/>
      <w:r>
        <w:t xml:space="preserve">Secondary layer. The audit of the 13 Circulatory- and Nervous-system maps was prespecified and used the same rules and Supplementary Table S1 thresholds; only its status census and failure-profile reporting are post hoc. All 78 secondary diagnostic queries ran in the diagnostic retrieval. The 31 rated units comprised </w:t>
      </w:r>
      <w:r>
        <w:t xml:space="preserve">21 census units and the 10 units of one ten-record sample (long-term potentiation)</w:t>
      </w:r>
      <w:r>
        <w:t xml:space="preserve">. Cholinergic synapse met the pathway-clause threshold on a single record that failed EV relevance; its ledger label, USABLE_WITH_SPARSE_LIMITS, rests on the pathway-clause threshold alone, and under the joint criterion it is a non-empty result with no jointly relevant audit record. Adrenergic signaling in cardiomyocytes, vascular smooth muscle contraction, and serotonergic synapse were technically verified empty, and nine maps required retrieval redesign. Because not every map passed, the block did not enter the definitive retrieval.</w:t>
      </w:r>
    </w:p>
    <w:p>
      <w:pPr/>
      <w:r>
        <w:t xml:space="preserve">Failure-mechanism profiles. For every map the final reason codes in Pathway_Record_QA and the context safeguard statuses in Map_Context_Status were counted. </w:t>
      </w:r>
      <w:r>
        <w:t xml:space="preserve">Each recorded reason code, and any context-level defect, was mapped</w:t>
      </w:r>
      <w:r>
        <w:t xml:space="preserve"> to a candidate redesign by a fixed rule whose wording is that of manuscript Table 3: PATHWAY_ONLY_MENTION, require the pathway term in the title or author keywords and flag records with enrichment language for verification; ISOLATED_COMPONENT_ONLY, re-examine ambiguous pathway-name variants and retain the pathway or signaling constraint; INVASION_OR_MIGRATION_ONLY, tighten the metastasis clause to dissemination, organotropism, or distant-site terms; NO_METASTATIC_COMPONENT and NO_REPAIR_COMPONENT, tighten the context clause; EV_ONLY_MENTION, require the EV term in the title or author keywords; WRONG_DISEASE_OR_PROCESS, restrict disease clauses to the title and flag records whose disease mention is a disease-named KEGG map in an enrichment table; NOT_EXTRACELLULAR_VESICLE, NO_PATHWAY_COMPONENT, and OTHER, add exclusion terms or rebuild the clause. A context-level SYSTEMATIC_FALSE_POSITIVE_DEFECT is listed first for the affected context with the action for disease-named KEGG-map mentions.</w:t>
      </w:r>
      <w:r>
        <w:t xml:space="preserve"> For long-term potentiation the context-level defect arose from the pathway term rather than a disease-named map; the fixed rule still lists the disease-map action first, and the pathway-term action listed next is the one that addresses it.</w:t>
      </w:r>
      <w:r>
        <w:t xml:space="preserve"> The remaining codes follow from most to least frequent</w:t>
      </w:r>
      <w:r>
        <w:t xml:space="preserve">, with ties in ledger order; codes that share an action are listed once, and maps that need no redesign have no entry</w:t>
      </w:r>
      <w:r>
        <w:t xml:space="preserve">.</w:t>
      </w:r>
      <w:r>
        <w:t xml:space="preserve"> Candidate redesigns were not applied or tested, except the enrichment-language flag described above.</w:t>
      </w:r>
    </w:p>
    <w:sectPr w:rsidR="00FC693F" w:rsidRPr="0006063C" w:rsidSect="00034616">
      <w:footerReference w:type="default" r:id="rId9"/>
      <w:pgSz w:w="12240" w:h="15840"/>
      <w:pgMar w:top="1440" w:right="1440" w:bottom="1440" w:left="1440" w:header="576"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000000"/>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80" w:line="360" w:lineRule="auto"/>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80" w:line="360" w:lineRule="auto"/>
      <w:outlineLvl w:val="0"/>
    </w:pPr>
    <w:rPr>
      <w:rFonts w:ascii="Times New Roman" w:hAnsi="Times New Roman"/>
      <w:b/>
      <w:bCs/>
      <w:i w:val="0"/>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160" w:after="40" w:line="360" w:lineRule="auto"/>
      <w:outlineLvl w:val="1"/>
    </w:pPr>
    <w:rPr>
      <w:rFonts w:ascii="Times New Roman" w:hAnsi="Times New Roman"/>
      <w:b/>
      <w:bCs/>
      <w:i w:val="0"/>
      <w:color w:val="000000"/>
      <w:sz w:val="22"/>
      <w:szCs w:val="26"/>
    </w:rPr>
  </w:style>
  <w:style w:type="paragraph" w:styleId="Heading3">
    <w:name w:val="heading 3"/>
    <w:basedOn w:val="Normal"/>
    <w:next w:val="Normal"/>
    <w:link w:val="Heading3Char"/>
    <w:uiPriority w:val="9"/>
    <w:unhideWhenUsed/>
    <w:qFormat/>
    <w:rsid w:val="00FC693F"/>
    <w:pPr>
      <w:keepNext/>
      <w:keepLines/>
      <w:widowControl/>
      <w:spacing w:before="120" w:after="40" w:line="360" w:lineRule="auto"/>
      <w:outlineLvl w:val="2"/>
    </w:pPr>
    <w:rPr>
      <w:rFonts w:asciiTheme="majorHAnsi" w:eastAsiaTheme="majorEastAsia" w:hAnsiTheme="majorHAnsi" w:cstheme="majorBidi" w:ascii="Times New Roman" w:hAnsi="Times New Roman"/>
      <w:b/>
      <w:bCs/>
      <w:i/>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360" w:lineRule="auto" w:before="0"/>
      <w:contextualSpacing/>
      <w:jc w:val="center"/>
    </w:pPr>
    <w:rPr>
      <w:rFonts w:ascii="Times New Roman" w:hAnsi="Times New Roman"/>
      <w:b/>
      <w:i w:val="0"/>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ryBlock">
    <w:name w:val="Query Block"/>
    <w:pPr>
      <w:keepLines/>
      <w:spacing w:before="60" w:after="60" w:line="240" w:lineRule="auto"/>
      <w:ind w:left="259" w:right="259"/>
    </w:pPr>
    <w:rPr>
      <w:rFonts w:ascii="Courier New" w:hAnsi="Courier New"/>
      <w:sz w:val="17"/>
    </w:rPr>
  </w:style>
  <w:style w:type="paragraph" w:customStyle="1" w:styleId="ResponseQuote">
    <w:name w:val="Response Quote"/>
    <w:pPr>
      <w:spacing w:before="100" w:after="100" w:line="276" w:lineRule="auto"/>
      <w:ind w:left="403" w:right="259"/>
    </w:pPr>
    <w:rPr>
      <w:rFonts w:ascii="Times New Roman" w:hAnsi="Times New Roman"/>
      <w:i/>
      <w:color w:val="344154"/>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ns0:coreProperties xmlns:dc="http://purl.org/dc/elements/1.1/" xmlns:ns0="http://schemas.openxmlformats.org/package/2006/metadata/core-properties" xmlns:xsi="http://www.w3.org/2001/XMLSchema-instance">
  <dc:title>Supplementary Methods, Tables S1-S2 and Figure S1</dc:title>
  <dc:creator>Michaela Liegertová and Jan Malý</dc:creator>
  <ns0:keywords>extracellular vesicles; PubMed; KEGG; query quality assurance</ns0:keywords>
  <dc:subject>Supplementary information</dc:subject>
  <ns0:lastModifiedBy/>
  <dc:description/>
  <ns0:revision>1</ns0:revision>
  <dcterms:created xmlns:dcterms="http://purl.org/dc/terms/" xsi:type="dcterms:W3CDTF">2026-09-19T11:31:51Z</dcterms:created>
  <dcterms:modified xmlns:dcterms="http://purl.org/dc/terms/" xsi:type="dcterms:W3CDTF">2026-09-19T11:31:51Z</dcterms:modified>
</ns0:coreProperties>
</file>