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2"/>
        </w:rPr>
        <w:t>Additional file 4</w:t>
      </w:r>
    </w:p>
    <w:p>
      <w:pPr>
        <w:spacing w:after="240"/>
      </w:pPr>
      <w:r>
        <w:rPr>
          <w:b w:val="0"/>
          <w:sz w:val="26"/>
        </w:rPr>
        <w:t>Reproducibility code access</w:t>
      </w:r>
    </w:p>
    <w:p>
      <w:pPr>
        <w:spacing w:after="120"/>
      </w:pPr>
      <w:r>
        <w:rPr>
          <w:b/>
          <w:sz w:val="24"/>
        </w:rPr>
        <w:t>Repository access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6803"/>
      </w:tblGrid>
      <w:tr>
        <w:tc>
          <w:tcPr>
            <w:tcW w:type="dxa" w:w="2268"/>
          </w:tcPr>
          <w:p>
            <w:pPr>
              <w:spacing w:after="40"/>
            </w:pPr>
            <w:r>
              <w:rPr>
                <w:b/>
              </w:rPr>
              <w:t>Item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rPr>
                <w:b/>
              </w:rPr>
              <w:t>Details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t>Repository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t>Zenodo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t>Persistent DOI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t>https://doi.org/10.5281/zenodo.22847006 (version 2.1.0)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t>Version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t>2.1.0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t>Archived code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t>Additional_file_4_Reproducibility_code.zip: reconstruction of the released numerical tables and Figures 2, 3, and S1 from Additional files 2 and 3. Comparative_analysis_code.zip: generation of Additional file 5 and Figures 4 to 6 from Additional files 2 and 3 and the archived PubMed and MeSH metadata.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t>Code contents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t>Python scripts, README, requirements, and license in each archive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t>Requirements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t>Python 3.10+; openpyxl 3.1.5; matplotlib 3.10.8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>
              <w:t>Licenses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t>MIT License (code); CC BY 4.0 (workbooks)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/>
          <w:sz w:val="24"/>
        </w:rPr>
        <w:t>Release contents</w:t>
      </w:r>
    </w:p>
    <w:p>
      <w:pPr>
        <w:spacing w:after="120"/>
      </w:pPr>
      <w:r>
        <w:rPr>
          <w:b w:val="0"/>
        </w:rPr>
        <w:t>The Zenodo release contains Additional files 2, 3, and 5 and two code archives. The reconstruction code reads the frozen workbooks, verifies the diagnostic selection hashes and frame-to-QA lineage, checks the primary QA ledger and Ras action status, and regenerates the released numerical tables and Figures 2, 3, and S1; it does not call PubMed. The comparative-analysis code generates every table in Additional file 5 and Figures 4 to 6 from Additional files 2 and 3 and the archived PubMed and MeSH metadata of the reported run; it replays offline, and its retrieval scripts can refresh that metadata from NCBI and NLM. Neither archive reproduces human judgments.</w:t>
      </w:r>
    </w:p>
    <w:p>
      <w:pPr>
        <w:spacing w:after="120"/>
      </w:pPr>
      <w:r>
        <w:rPr>
          <w:b w:val="0"/>
        </w:rPr>
        <w:t>Open the record: https://doi.org/10.5281/zenodo.22847006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4 - Reproducibility code access</dc:title>
  <dc:subject>Reproducibility code access</dc:subject>
  <dc:creator>Michaela Liegertová and Jan Malý</dc:creator>
  <cp:keywords>Additional file 4; Zenodo; PubMed; provenance; reproducibility</cp:keywords>
  <dc:description/>
  <cp:lastModifiedBy>Michaela Liegertová and Jan Malý</cp:lastModifiedBy>
  <cp:revision>1</cp:revision>
  <dcterms:created xsi:type="dcterms:W3CDTF">2026-09-19T11:31:52Z</dcterms:created>
  <dcterms:modified xsi:type="dcterms:W3CDTF">2026-09-19T11:31:52Z</dcterms:modified>
  <cp:category/>
</cp:coreProperties>
</file>